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文献汇总：9月上</w:t>
      </w:r>
    </w:p>
    <w:p>
      <w:pPr>
        <w:spacing w:after="200"/>
        <w:jc w:val="center"/>
      </w:pPr>
      <w:r>
        <w:rPr>
          <w:b w:val="0"/>
          <w:color w:val="888888"/>
          <w:sz w:val="18"/>
        </w:rPr>
        <w:t>2026-09-01 → 2026-09-15 · 共 14 篇</w:t>
      </w:r>
    </w:p>
    <w:p>
      <w:pPr>
        <w:spacing w:before="480" w:after="40"/>
      </w:pPr>
      <w:r>
        <w:rPr>
          <w:b/>
          <w:color w:val="1C5D54"/>
          <w:sz w:val="30"/>
        </w:rPr>
        <w:t>Ⅰ  经济学 · Economics（2）</w:t>
      </w:r>
    </w:p>
    <w:p>
      <w:pPr>
        <w:spacing w:before="240" w:after="120"/>
      </w:pPr>
      <w:r>
        <w:rPr>
          <w:b/>
          <w:color w:val="888888"/>
          <w:sz w:val="22"/>
        </w:rPr>
        <w:t>▎ Journal of Risk and Uncertainty</w:t>
      </w:r>
    </w:p>
    <w:p>
      <w:pPr>
        <w:spacing w:after="40"/>
      </w:pPr>
      <w:r>
        <w:rPr>
          <w:b/>
          <w:color w:val="1A1A1A"/>
          <w:sz w:val="26"/>
        </w:rPr>
        <w:t xml:space="preserve">1. </w:t>
      </w:r>
      <w:hyperlink r:id="rId9">
        <w:r>
          <w:rPr>
            <w:color w:val="004B7A"/>
            <w:u w:val="single"/>
            <w:b/>
            <w:sz w:val="26"/>
          </w:rPr>
          <w:t xml:space="preserve">Sleeping beauties in economics: Allais, Arrow, and the 75th anniversary of the 1952 Paris conference on risk</w:t>
        </w:r>
      </w:hyperlink>
    </w:p>
    <w:p>
      <w:pPr>
        <w:spacing w:after="100"/>
      </w:pPr>
      <w:r>
        <w:rPr>
          <w:b w:val="0"/>
          <w:color w:val="888888"/>
          <w:sz w:val="18"/>
        </w:rPr>
        <w:t>Boldyrev, I., Moscati, I., Sugden, R.</w:t>
      </w:r>
    </w:p>
    <w:p>
      <w:pPr>
        <w:spacing w:after="80"/>
      </w:pPr>
      <w:r>
        <w:rPr>
          <w:b/>
          <w:color w:val="1A1A1A"/>
          <w:sz w:val="22"/>
        </w:rPr>
        <w:t xml:space="preserve">内容简介 · </w:t>
      </w:r>
      <w:r>
        <w:rPr>
          <w:b w:val="0"/>
          <w:sz w:val="22"/>
        </w:rPr>
        <w:t>This paper reconstructs the 1952 Paris conference on risk, detailing Allais's critique of expected utility theory and his paradox, as well as Arrow's state-contingent consumption approach, and explains why these ideas had delayed influence until the late 1970s.</w:t>
      </w:r>
    </w:p>
    <w:p>
      <w:pPr>
        <w:spacing w:before="240" w:after="120"/>
      </w:pPr>
      <w:r>
        <w:rPr>
          <w:b/>
          <w:color w:val="888888"/>
          <w:sz w:val="22"/>
        </w:rPr>
        <w:t>▎ Games and Economic Behavior</w:t>
      </w:r>
    </w:p>
    <w:p>
      <w:pPr>
        <w:spacing w:after="40"/>
      </w:pPr>
      <w:r>
        <w:rPr>
          <w:b/>
          <w:color w:val="1A1A1A"/>
          <w:sz w:val="26"/>
        </w:rPr>
        <w:t xml:space="preserve">2. </w:t>
      </w:r>
      <w:hyperlink r:id="rId10">
        <w:r>
          <w:rPr>
            <w:color w:val="004B7A"/>
            <w:u w:val="single"/>
            <w:b/>
            <w:sz w:val="26"/>
          </w:rPr>
          <w:t xml:space="preserve">Memory overload and asymmetric underreaction</w:t>
        </w:r>
      </w:hyperlink>
    </w:p>
    <w:p>
      <w:pPr>
        <w:spacing w:after="100"/>
      </w:pPr>
      <w:r>
        <w:rPr>
          <w:b w:val="0"/>
          <w:color w:val="888888"/>
          <w:sz w:val="18"/>
        </w:rPr>
        <w:t>Goette, L., Han, H., Leung, B.</w:t>
      </w:r>
    </w:p>
    <w:p>
      <w:pPr>
        <w:spacing w:after="80"/>
      </w:pPr>
      <w:r>
        <w:rPr>
          <w:b/>
          <w:color w:val="1A1A1A"/>
          <w:sz w:val="22"/>
        </w:rPr>
        <w:t xml:space="preserve">内容简介 · </w:t>
      </w:r>
      <w:r>
        <w:rPr>
          <w:b w:val="0"/>
          <w:sz w:val="22"/>
        </w:rPr>
        <w:t>The paper examines how memory overload leads to asymmetric underreaction, likely exploring how cognitive capacity limitations differentially affect the processing of gains versus losses in decision or judgment contexts.</w:t>
      </w:r>
    </w:p>
    <w:p>
      <w:pPr>
        <w:spacing w:before="480" w:after="40"/>
      </w:pPr>
      <w:r>
        <w:rPr>
          <w:b/>
          <w:color w:val="8A2B3A"/>
          <w:sz w:val="30"/>
        </w:rPr>
        <w:t>Ⅱ  心理学 · Psychology（9）</w:t>
      </w:r>
    </w:p>
    <w:p>
      <w:pPr>
        <w:spacing w:before="240" w:after="120"/>
      </w:pPr>
      <w:r>
        <w:rPr>
          <w:b/>
          <w:color w:val="888888"/>
          <w:sz w:val="22"/>
        </w:rPr>
        <w:t>▎ Management Science</w:t>
      </w:r>
    </w:p>
    <w:p>
      <w:pPr>
        <w:spacing w:after="40"/>
      </w:pPr>
      <w:r>
        <w:rPr>
          <w:b/>
          <w:color w:val="1A1A1A"/>
          <w:sz w:val="26"/>
        </w:rPr>
        <w:t xml:space="preserve">3. </w:t>
      </w:r>
      <w:hyperlink r:id="rId11">
        <w:r>
          <w:rPr>
            <w:color w:val="004B7A"/>
            <w:u w:val="single"/>
            <w:b/>
            <w:sz w:val="26"/>
          </w:rPr>
          <w:t xml:space="preserve">Understanding People’s Preferences for Predictions: People Prioritize Being Right over Minimizing How Wrong They Are in Expectation</w:t>
        </w:r>
      </w:hyperlink>
    </w:p>
    <w:p>
      <w:pPr>
        <w:spacing w:after="100"/>
      </w:pPr>
      <w:r>
        <w:rPr>
          <w:b w:val="0"/>
          <w:color w:val="888888"/>
          <w:sz w:val="18"/>
        </w:rPr>
        <w:t>Dietvorst, B.</w:t>
      </w:r>
    </w:p>
    <w:p>
      <w:pPr>
        <w:spacing w:after="80"/>
      </w:pPr>
      <w:r>
        <w:rPr>
          <w:b/>
          <w:color w:val="1A1A1A"/>
          <w:sz w:val="22"/>
        </w:rPr>
        <w:t xml:space="preserve">内容简介 · </w:t>
      </w:r>
      <w:r>
        <w:rPr>
          <w:b w:val="0"/>
          <w:sz w:val="22"/>
        </w:rPr>
        <w:t>This paper shows that laypeople exhibit diminishing sensitivity to prediction error, prioritizing 'being right' (near-perfect predictions) over minimizing expected error magnitude, diverging from normative models that assume mean-prediction or squared-error minimization. Across 16 studies, participants consistently behaved in ways reflecting this non-linear error sensitivity.</w:t>
      </w:r>
    </w:p>
    <w:p>
      <w:pPr>
        <w:spacing w:before="240" w:after="120"/>
      </w:pPr>
      <w:r>
        <w:rPr>
          <w:b/>
          <w:color w:val="888888"/>
          <w:sz w:val="22"/>
        </w:rPr>
        <w:t>▎ JEP: General</w:t>
      </w:r>
    </w:p>
    <w:p>
      <w:pPr>
        <w:spacing w:after="40"/>
      </w:pPr>
      <w:r>
        <w:rPr>
          <w:b/>
          <w:color w:val="1A1A1A"/>
          <w:sz w:val="26"/>
        </w:rPr>
        <w:t xml:space="preserve">4. </w:t>
      </w:r>
      <w:hyperlink r:id="rId12">
        <w:r>
          <w:rPr>
            <w:color w:val="004B7A"/>
            <w:u w:val="single"/>
            <w:b/>
            <w:sz w:val="26"/>
          </w:rPr>
          <w:t xml:space="preserve">Adaptive regulation of confidence following metacognitive conflict: Evidence from behavior and computational modeling.</w:t>
        </w:r>
      </w:hyperlink>
    </w:p>
    <w:p>
      <w:pPr>
        <w:spacing w:after="100"/>
      </w:pPr>
      <w:r>
        <w:rPr>
          <w:b w:val="0"/>
          <w:color w:val="888888"/>
          <w:sz w:val="18"/>
        </w:rPr>
        <w:t>Xing, J., Herregods, S., Vermeylen, L., Desender, K.</w:t>
      </w:r>
    </w:p>
    <w:p>
      <w:pPr>
        <w:spacing w:after="80"/>
      </w:pPr>
      <w:r>
        <w:rPr>
          <w:b/>
          <w:color w:val="1A1A1A"/>
          <w:sz w:val="22"/>
        </w:rPr>
        <w:t xml:space="preserve">内容简介 · </w:t>
      </w:r>
      <w:r>
        <w:rPr>
          <w:b w:val="0"/>
          <w:sz w:val="22"/>
        </w:rPr>
        <w:t>This study investigates how conflicts between internal confidence signals and external feedback ('metacognitive conflict') shape subsequent confidence reports in perceptual decision making, finding that such conflicts reduce future confidence. An evidence accumulation model with post-decisional accumulation reveals that metacognitive conflict shifts the starting point for confidence reporting toward more conservative values.</w:t>
      </w:r>
    </w:p>
    <w:p>
      <w:pPr>
        <w:spacing w:before="240" w:after="120"/>
      </w:pPr>
      <w:r>
        <w:rPr>
          <w:b/>
          <w:color w:val="888888"/>
          <w:sz w:val="22"/>
        </w:rPr>
        <w:t>▎ Journal of Experimental Psychology: Learning, Memory, and Cognition</w:t>
      </w:r>
    </w:p>
    <w:p>
      <w:pPr>
        <w:spacing w:after="40"/>
      </w:pPr>
      <w:r>
        <w:rPr>
          <w:b/>
          <w:color w:val="1A1A1A"/>
          <w:sz w:val="26"/>
        </w:rPr>
        <w:t xml:space="preserve">5. </w:t>
      </w:r>
      <w:hyperlink r:id="rId13">
        <w:r>
          <w:rPr>
            <w:color w:val="004B7A"/>
            <w:u w:val="single"/>
            <w:b/>
            <w:sz w:val="26"/>
          </w:rPr>
          <w:t xml:space="preserve">Trapped by selective attention: The role of attentional processes in the emergence and prevention of learning traps.</w:t>
        </w:r>
      </w:hyperlink>
    </w:p>
    <w:p>
      <w:pPr>
        <w:spacing w:after="100"/>
      </w:pPr>
      <w:r>
        <w:rPr>
          <w:b w:val="0"/>
          <w:color w:val="888888"/>
          <w:sz w:val="18"/>
        </w:rPr>
        <w:t>Watson, P., Liu, Y., Lee, W., Lee, J., Newell, B., Hayes, B.</w:t>
      </w:r>
    </w:p>
    <w:p>
      <w:pPr>
        <w:spacing w:after="80"/>
      </w:pPr>
      <w:r>
        <w:rPr>
          <w:b/>
          <w:color w:val="1A1A1A"/>
          <w:sz w:val="22"/>
        </w:rPr>
        <w:t xml:space="preserve">内容简介 · </w:t>
      </w:r>
      <w:r>
        <w:rPr>
          <w:b w:val="0"/>
          <w:sz w:val="22"/>
        </w:rPr>
        <w:t>Participants learned approach/avoid decisions across feature dimensions, with eye tracking revealing that attentional narrowing to a single dimension underlies 'learning traps'; a visual highlighting manipulation reduced trap prevalence by broadening attention to multiple predictive features.</w:t>
      </w:r>
    </w:p>
    <w:p>
      <w:pPr>
        <w:spacing w:before="240" w:after="120"/>
      </w:pPr>
      <w:r>
        <w:rPr>
          <w:b/>
          <w:color w:val="888888"/>
          <w:sz w:val="22"/>
        </w:rPr>
        <w:t>▎ Cognition</w:t>
      </w:r>
    </w:p>
    <w:p>
      <w:pPr>
        <w:spacing w:after="40"/>
      </w:pPr>
      <w:r>
        <w:rPr>
          <w:b/>
          <w:color w:val="1A1A1A"/>
          <w:sz w:val="26"/>
        </w:rPr>
        <w:t xml:space="preserve">6. </w:t>
      </w:r>
      <w:hyperlink r:id="rId14">
        <w:r>
          <w:rPr>
            <w:color w:val="004B7A"/>
            <w:u w:val="single"/>
            <w:b/>
            <w:sz w:val="26"/>
          </w:rPr>
          <w:t xml:space="preserve">Self-prioritization in response selection: Computational evidence for biased evidence accumulation</w:t>
        </w:r>
      </w:hyperlink>
    </w:p>
    <w:p>
      <w:pPr>
        <w:spacing w:after="100"/>
      </w:pPr>
      <w:r>
        <w:rPr>
          <w:b w:val="0"/>
          <w:color w:val="888888"/>
          <w:sz w:val="18"/>
        </w:rPr>
        <w:t>Han, S., Lin, Y., Yin, S., Chen, A.</w:t>
      </w:r>
    </w:p>
    <w:p>
      <w:pPr>
        <w:spacing w:after="80"/>
      </w:pPr>
      <w:r>
        <w:rPr>
          <w:b/>
          <w:color w:val="1A1A1A"/>
          <w:sz w:val="22"/>
        </w:rPr>
        <w:t xml:space="preserve">内容简介 · </w:t>
      </w:r>
      <w:r>
        <w:rPr>
          <w:b w:val="0"/>
          <w:sz w:val="22"/>
        </w:rPr>
        <w:t>This paper investigates self-prioritization effects in response selection, using computational evidence accumulation models to show that self-relevant stimuli bias the drift diffusion process, affecting response times and choices.</w:t>
      </w:r>
    </w:p>
    <w:p>
      <w:pPr>
        <w:spacing w:before="120" w:after="240"/>
        <w:jc w:val="center"/>
      </w:pPr>
      <w:r>
        <w:rPr>
          <w:b w:val="0"/>
          <w:color w:val="888888"/>
          <w:sz w:val="20"/>
        </w:rPr>
        <w:t>· · ·</w:t>
      </w:r>
    </w:p>
    <w:p>
      <w:pPr>
        <w:spacing w:after="40"/>
      </w:pPr>
      <w:r>
        <w:rPr>
          <w:b/>
          <w:color w:val="1A1A1A"/>
          <w:sz w:val="26"/>
        </w:rPr>
        <w:t xml:space="preserve">7. </w:t>
      </w:r>
      <w:hyperlink r:id="rId15">
        <w:r>
          <w:rPr>
            <w:color w:val="004B7A"/>
            <w:u w:val="single"/>
            <w:b/>
            <w:sz w:val="26"/>
          </w:rPr>
          <w:t xml:space="preserve">Increasing conflict between intuitions triggers deliberation</w:t>
        </w:r>
      </w:hyperlink>
    </w:p>
    <w:p>
      <w:pPr>
        <w:spacing w:after="100"/>
      </w:pPr>
      <w:r>
        <w:rPr>
          <w:b w:val="0"/>
          <w:color w:val="888888"/>
          <w:sz w:val="18"/>
        </w:rPr>
        <w:t>Spinoza-Martín, D., Pennycook, G.</w:t>
      </w:r>
    </w:p>
    <w:p>
      <w:pPr>
        <w:spacing w:after="80"/>
      </w:pPr>
      <w:r>
        <w:rPr>
          <w:b/>
          <w:color w:val="1A1A1A"/>
          <w:sz w:val="22"/>
        </w:rPr>
        <w:t xml:space="preserve">内容简介 · </w:t>
      </w:r>
      <w:r>
        <w:rPr>
          <w:b w:val="0"/>
          <w:sz w:val="22"/>
        </w:rPr>
        <w:t>The paper investigates how increasing conflict between intuitive responses triggers the shift to deliberative reasoning, examining the cognitive mechanisms underlying dual-process decision making.</w:t>
      </w:r>
    </w:p>
    <w:p>
      <w:pPr>
        <w:spacing w:before="120" w:after="240"/>
        <w:jc w:val="center"/>
      </w:pPr>
      <w:r>
        <w:rPr>
          <w:b w:val="0"/>
          <w:color w:val="888888"/>
          <w:sz w:val="20"/>
        </w:rPr>
        <w:t>· · ·</w:t>
      </w:r>
    </w:p>
    <w:p>
      <w:pPr>
        <w:spacing w:after="40"/>
      </w:pPr>
      <w:r>
        <w:rPr>
          <w:b/>
          <w:color w:val="1A1A1A"/>
          <w:sz w:val="26"/>
        </w:rPr>
        <w:t xml:space="preserve">8. </w:t>
      </w:r>
      <w:hyperlink r:id="rId16">
        <w:r>
          <w:rPr>
            <w:color w:val="004B7A"/>
            <w:u w:val="single"/>
            <w:b/>
            <w:sz w:val="26"/>
          </w:rPr>
          <w:t xml:space="preserve">Ambiguity and confirmatory reward learning</w:t>
        </w:r>
      </w:hyperlink>
    </w:p>
    <w:p>
      <w:pPr>
        <w:spacing w:after="100"/>
      </w:pPr>
      <w:r>
        <w:rPr>
          <w:b w:val="0"/>
          <w:color w:val="888888"/>
          <w:sz w:val="18"/>
        </w:rPr>
        <w:t>Dorfman, H., Bhui, R.</w:t>
      </w:r>
    </w:p>
    <w:p>
      <w:pPr>
        <w:spacing w:after="80"/>
      </w:pPr>
      <w:r>
        <w:rPr>
          <w:b/>
          <w:color w:val="1A1A1A"/>
          <w:sz w:val="22"/>
        </w:rPr>
        <w:t xml:space="preserve">内容简介 · </w:t>
      </w:r>
      <w:r>
        <w:rPr>
          <w:b w:val="0"/>
          <w:sz w:val="22"/>
        </w:rPr>
        <w:t>The paper investigates how ambiguity interacts with confirmatory processes in reward learning, likely examining how people selectively update or weight information in uncertain environments in ways that confirm prior beliefs.</w:t>
      </w:r>
    </w:p>
    <w:p>
      <w:pPr>
        <w:spacing w:before="240" w:after="120"/>
      </w:pPr>
      <w:r>
        <w:rPr>
          <w:b/>
          <w:color w:val="888888"/>
          <w:sz w:val="22"/>
        </w:rPr>
        <w:t>▎ Games and Economic Behavior</w:t>
      </w:r>
    </w:p>
    <w:p>
      <w:pPr>
        <w:spacing w:after="40"/>
      </w:pPr>
      <w:r>
        <w:rPr>
          <w:b/>
          <w:color w:val="1A1A1A"/>
          <w:sz w:val="26"/>
        </w:rPr>
        <w:t xml:space="preserve">9. </w:t>
      </w:r>
      <w:hyperlink r:id="rId17">
        <w:r>
          <w:rPr>
            <w:color w:val="004B7A"/>
            <w:u w:val="single"/>
            <w:b/>
            <w:sz w:val="26"/>
          </w:rPr>
          <w:t xml:space="preserve">The resolution of uncertainty in the value and probability domains</w:t>
        </w:r>
      </w:hyperlink>
    </w:p>
    <w:p>
      <w:pPr>
        <w:spacing w:after="100"/>
      </w:pPr>
      <w:r>
        <w:rPr>
          <w:b w:val="0"/>
          <w:color w:val="888888"/>
          <w:sz w:val="18"/>
        </w:rPr>
        <w:t>Lee, E., Ngangoue, K., Schotter, A.</w:t>
      </w:r>
    </w:p>
    <w:p>
      <w:pPr>
        <w:spacing w:after="80"/>
      </w:pPr>
      <w:r>
        <w:rPr>
          <w:b/>
          <w:color w:val="1A1A1A"/>
          <w:sz w:val="22"/>
        </w:rPr>
        <w:t xml:space="preserve">内容简介 · </w:t>
      </w:r>
      <w:r>
        <w:rPr>
          <w:b w:val="0"/>
          <w:sz w:val="22"/>
        </w:rPr>
        <w:t>The paper investigates how individuals resolve uncertainty across value and probability dimensions, examining the cognitive and psychological processes underlying these evaluations in risky or uncertain decision contexts.</w:t>
      </w:r>
    </w:p>
    <w:p>
      <w:pPr>
        <w:spacing w:before="240" w:after="120"/>
      </w:pPr>
      <w:r>
        <w:rPr>
          <w:b/>
          <w:color w:val="888888"/>
          <w:sz w:val="22"/>
        </w:rPr>
        <w:t>▎ Cognitive Psychology</w:t>
      </w:r>
    </w:p>
    <w:p>
      <w:pPr>
        <w:spacing w:after="40"/>
      </w:pPr>
      <w:r>
        <w:rPr>
          <w:b/>
          <w:color w:val="1A1A1A"/>
          <w:sz w:val="26"/>
        </w:rPr>
        <w:t xml:space="preserve">10. </w:t>
      </w:r>
      <w:hyperlink r:id="rId18">
        <w:r>
          <w:rPr>
            <w:color w:val="004B7A"/>
            <w:u w:val="single"/>
            <w:b/>
            <w:sz w:val="26"/>
          </w:rPr>
          <w:t xml:space="preserve">On the separability of target and distractor processing in conflict tasks</w:t>
        </w:r>
      </w:hyperlink>
    </w:p>
    <w:p>
      <w:pPr>
        <w:spacing w:after="100"/>
      </w:pPr>
      <w:r>
        <w:rPr>
          <w:b w:val="0"/>
          <w:color w:val="888888"/>
          <w:sz w:val="18"/>
        </w:rPr>
        <w:t>Kelber, P., Ellinghaus, R., Ulrich, R., Mackenzie, I., Mittelstädt, V.</w:t>
      </w:r>
    </w:p>
    <w:p>
      <w:pPr>
        <w:spacing w:after="80"/>
      </w:pPr>
      <w:r>
        <w:rPr>
          <w:b/>
          <w:color w:val="1A1A1A"/>
          <w:sz w:val="22"/>
        </w:rPr>
        <w:t xml:space="preserve">内容简介 · </w:t>
      </w:r>
      <w:r>
        <w:rPr>
          <w:b w:val="0"/>
          <w:sz w:val="22"/>
        </w:rPr>
        <w:t>This study investigates whether congruency effects in flanker-like conflict tasks stem from distractor strength, target strength, or both, using large-scale experiments and a diffusion model for conflict tasks to separate controlled (target-driven) and automatic (distractor-driven) processing components. Results show congruency effects increase with both stronger distractor and weaker target processing, validated through computational model comparisons.</w:t>
      </w:r>
    </w:p>
    <w:p>
      <w:pPr>
        <w:spacing w:before="240" w:after="120"/>
      </w:pPr>
      <w:r>
        <w:rPr>
          <w:b/>
          <w:color w:val="888888"/>
          <w:sz w:val="22"/>
        </w:rPr>
        <w:t>▎ Nature Human Behaviour</w:t>
      </w:r>
    </w:p>
    <w:p>
      <w:pPr>
        <w:spacing w:after="40"/>
      </w:pPr>
      <w:r>
        <w:rPr>
          <w:b/>
          <w:color w:val="1A1A1A"/>
          <w:sz w:val="26"/>
        </w:rPr>
        <w:t xml:space="preserve">11. </w:t>
      </w:r>
      <w:hyperlink r:id="rId19">
        <w:r>
          <w:rPr>
            <w:color w:val="004B7A"/>
            <w:u w:val="single"/>
            <w:b/>
            <w:sz w:val="26"/>
          </w:rPr>
          <w:t xml:space="preserve">Complexity is a unified cognitive kind</w:t>
        </w:r>
      </w:hyperlink>
    </w:p>
    <w:p>
      <w:pPr>
        <w:spacing w:after="100"/>
      </w:pPr>
      <w:r>
        <w:rPr>
          <w:b w:val="0"/>
          <w:color w:val="888888"/>
          <w:sz w:val="18"/>
        </w:rPr>
        <w:t>Boger, T., Firestone, C.</w:t>
      </w:r>
    </w:p>
    <w:p>
      <w:pPr>
        <w:spacing w:after="80"/>
      </w:pPr>
      <w:r>
        <w:rPr>
          <w:b/>
          <w:color w:val="1A1A1A"/>
          <w:sz w:val="22"/>
        </w:rPr>
        <w:t xml:space="preserve">内容简介 · </w:t>
      </w:r>
      <w:r>
        <w:rPr>
          <w:b w:val="0"/>
          <w:sz w:val="22"/>
        </w:rPr>
        <w:t>The paper argues that complexity is a single, unified cognitive kind rather than a collection of disparate phenomena, providing a theoretical framework for understanding how complexity functions across cognitive domains. This has direct implications for how complexity affects decision making and information processing.</w:t>
      </w:r>
    </w:p>
    <w:p>
      <w:pPr>
        <w:spacing w:before="480" w:after="40"/>
      </w:pPr>
      <w:r>
        <w:rPr>
          <w:b/>
          <w:color w:val="3D3A78"/>
          <w:sz w:val="30"/>
        </w:rPr>
        <w:t>Ⅲ  神经科学 · Neuroscience（3）</w:t>
      </w:r>
    </w:p>
    <w:p>
      <w:pPr>
        <w:spacing w:before="240" w:after="120"/>
      </w:pPr>
      <w:r>
        <w:rPr>
          <w:b/>
          <w:color w:val="888888"/>
          <w:sz w:val="22"/>
        </w:rPr>
        <w:t>▎ Nature Communications</w:t>
      </w:r>
    </w:p>
    <w:p>
      <w:pPr>
        <w:spacing w:after="40"/>
      </w:pPr>
      <w:r>
        <w:rPr>
          <w:b/>
          <w:color w:val="1A1A1A"/>
          <w:sz w:val="26"/>
        </w:rPr>
        <w:t xml:space="preserve">12. </w:t>
      </w:r>
      <w:hyperlink r:id="rId20">
        <w:r>
          <w:rPr>
            <w:color w:val="004B7A"/>
            <w:u w:val="single"/>
            <w:b/>
            <w:sz w:val="26"/>
          </w:rPr>
          <w:t xml:space="preserve">Rapid changes in risk attitudes originate from Bayesian inference on parietal magnitude representations</w:t>
        </w:r>
      </w:hyperlink>
    </w:p>
    <w:p>
      <w:pPr>
        <w:spacing w:after="100"/>
      </w:pPr>
      <w:r>
        <w:rPr>
          <w:b w:val="0"/>
          <w:color w:val="888888"/>
          <w:sz w:val="18"/>
        </w:rPr>
        <w:t>de Hollander, G., Grueschow, M., Hennel, F., Ruff, C.</w:t>
      </w:r>
    </w:p>
    <w:p>
      <w:pPr>
        <w:spacing w:after="80"/>
      </w:pPr>
      <w:r>
        <w:rPr>
          <w:b/>
          <w:color w:val="1A1A1A"/>
          <w:sz w:val="22"/>
        </w:rPr>
        <w:t xml:space="preserve">内容简介 · </w:t>
      </w:r>
      <w:r>
        <w:rPr>
          <w:b w:val="0"/>
          <w:sz w:val="22"/>
        </w:rPr>
        <w:t>This fMRI and computational modeling study shows that rapid, context-dependent changes in risk attitudes arise from Bayesian inference on noisy parietal magnitude representations, with noisier working-memory representations producing central-tendency biases that shift choices between risk-seeking and risk aversion. A numerical population-receptive-field model links intraparietal noise levels to choice consistency and risk neutrality.</w:t>
      </w:r>
    </w:p>
    <w:p>
      <w:pPr>
        <w:spacing w:before="240" w:after="120"/>
      </w:pPr>
      <w:r>
        <w:rPr>
          <w:b/>
          <w:color w:val="888888"/>
          <w:sz w:val="22"/>
        </w:rPr>
        <w:t>▎ Nature Neuroscience</w:t>
      </w:r>
    </w:p>
    <w:p>
      <w:pPr>
        <w:spacing w:after="40"/>
      </w:pPr>
      <w:r>
        <w:rPr>
          <w:b/>
          <w:color w:val="1A1A1A"/>
          <w:sz w:val="26"/>
        </w:rPr>
        <w:t xml:space="preserve">13. </w:t>
      </w:r>
      <w:hyperlink r:id="rId21">
        <w:r>
          <w:rPr>
            <w:color w:val="004B7A"/>
            <w:u w:val="single"/>
            <w:b/>
            <w:sz w:val="26"/>
          </w:rPr>
          <w:t xml:space="preserve">Intracranial recordings in humans reveal differential contributions of medial and lateral orbitofrontal cortex to approach–avoidance decision-making</w:t>
        </w:r>
      </w:hyperlink>
    </w:p>
    <w:p>
      <w:pPr>
        <w:spacing w:after="100"/>
      </w:pPr>
      <w:r>
        <w:rPr>
          <w:b w:val="0"/>
          <w:color w:val="888888"/>
          <w:sz w:val="18"/>
        </w:rPr>
        <w:t>Starkweather, C., Willbrand, E., Sellers, K., Hullett, P., Krystal, A., Lee, A., Weiner, K., Willie, J., Brunner, P., Hsu, M., Chang, E., Knight, R.</w:t>
      </w:r>
    </w:p>
    <w:p>
      <w:pPr>
        <w:spacing w:after="80"/>
      </w:pPr>
      <w:r>
        <w:rPr>
          <w:b/>
          <w:color w:val="1A1A1A"/>
          <w:sz w:val="22"/>
        </w:rPr>
        <w:t xml:space="preserve">内容简介 · </w:t>
      </w:r>
      <w:r>
        <w:rPr>
          <w:b w:val="0"/>
          <w:sz w:val="22"/>
        </w:rPr>
        <w:t>Using intracranial EEG in humans, the study identifies anatomically distinct medial and lateral OFC signals that dynamically alternate between pro-approach and pro-avoidant states prior to approach–avoidance decisions, revealing a functional architecture for resolving motivational conflict.</w:t>
      </w:r>
    </w:p>
    <w:p>
      <w:pPr>
        <w:spacing w:before="120" w:after="240"/>
        <w:jc w:val="center"/>
      </w:pPr>
      <w:r>
        <w:rPr>
          <w:b w:val="0"/>
          <w:color w:val="888888"/>
          <w:sz w:val="20"/>
        </w:rPr>
        <w:t>· · ·</w:t>
      </w:r>
    </w:p>
    <w:p>
      <w:pPr>
        <w:spacing w:after="40"/>
      </w:pPr>
      <w:r>
        <w:rPr>
          <w:b/>
          <w:color w:val="1A1A1A"/>
          <w:sz w:val="26"/>
        </w:rPr>
        <w:t xml:space="preserve">14. </w:t>
      </w:r>
      <w:hyperlink r:id="rId22">
        <w:r>
          <w:rPr>
            <w:color w:val="004B7A"/>
            <w:u w:val="single"/>
            <w:b/>
            <w:sz w:val="26"/>
          </w:rPr>
          <w:t xml:space="preserve">Feature interference underlies a neuronal basis for the behavioral cost of task uncertainty</w:t>
        </w:r>
      </w:hyperlink>
    </w:p>
    <w:p>
      <w:pPr>
        <w:spacing w:after="100"/>
      </w:pPr>
      <w:r>
        <w:rPr>
          <w:b w:val="0"/>
          <w:color w:val="888888"/>
          <w:sz w:val="18"/>
        </w:rPr>
        <w:t>Xue, C., Markman, S., Chen, R., Kramer, L., Cohen, M.</w:t>
      </w:r>
    </w:p>
    <w:p>
      <w:pPr>
        <w:spacing w:after="80"/>
      </w:pPr>
      <w:r>
        <w:rPr>
          <w:b/>
          <w:color w:val="1A1A1A"/>
          <w:sz w:val="22"/>
        </w:rPr>
        <w:t xml:space="preserve">内容简介 · </w:t>
      </w:r>
      <w:r>
        <w:rPr>
          <w:b w:val="0"/>
          <w:sz w:val="22"/>
        </w:rPr>
        <w:t>The paper investigates how feature interference at the neuronal level underlies the behavioral costs associated with task uncertainty, linking neural mechanisms to observable behavioral outcomes under uncertainty.</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166-026-09504-x" TargetMode="External"/><Relationship Id="rId10" Type="http://schemas.openxmlformats.org/officeDocument/2006/relationships/hyperlink" Target="https://doi.org/10.1016/j.geb.2026.06.012" TargetMode="External"/><Relationship Id="rId11" Type="http://schemas.openxmlformats.org/officeDocument/2006/relationships/hyperlink" Target="https://doi.org/10.1287/mnsc.2024.07257" TargetMode="External"/><Relationship Id="rId12" Type="http://schemas.openxmlformats.org/officeDocument/2006/relationships/hyperlink" Target="https://doi.org/10.1037/xge0001997" TargetMode="External"/><Relationship Id="rId13" Type="http://schemas.openxmlformats.org/officeDocument/2006/relationships/hyperlink" Target="https://doi.org/10.1037/xlm0001565" TargetMode="External"/><Relationship Id="rId14" Type="http://schemas.openxmlformats.org/officeDocument/2006/relationships/hyperlink" Target="https://doi.org/10.1016/j.cognition.2026.106594" TargetMode="External"/><Relationship Id="rId15" Type="http://schemas.openxmlformats.org/officeDocument/2006/relationships/hyperlink" Target="https://doi.org/10.1016/j.cognition.2026.106562" TargetMode="External"/><Relationship Id="rId16" Type="http://schemas.openxmlformats.org/officeDocument/2006/relationships/hyperlink" Target="https://doi.org/10.1016/j.cognition.2026.106588" TargetMode="External"/><Relationship Id="rId17" Type="http://schemas.openxmlformats.org/officeDocument/2006/relationships/hyperlink" Target="https://doi.org/10.1016/j.geb.2026.05.009" TargetMode="External"/><Relationship Id="rId18" Type="http://schemas.openxmlformats.org/officeDocument/2006/relationships/hyperlink" Target="https://doi.org/10.1016/j.cogpsych.2026.101832" TargetMode="External"/><Relationship Id="rId19" Type="http://schemas.openxmlformats.org/officeDocument/2006/relationships/hyperlink" Target="https://doi.org/10.1038/s41562-026-02502-8" TargetMode="External"/><Relationship Id="rId20" Type="http://schemas.openxmlformats.org/officeDocument/2006/relationships/hyperlink" Target="https://doi.org/10.1038/s41467-026-77402-6" TargetMode="External"/><Relationship Id="rId21" Type="http://schemas.openxmlformats.org/officeDocument/2006/relationships/hyperlink" Target="https://doi.org/10.1038/s41593-026-02444-4" TargetMode="External"/><Relationship Id="rId22" Type="http://schemas.openxmlformats.org/officeDocument/2006/relationships/hyperlink" Target="https://doi.org/10.1038/s41593-026-0243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