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文献汇总：7月上</w:t>
      </w:r>
    </w:p>
    <w:p>
      <w:pPr>
        <w:spacing w:after="200"/>
        <w:jc w:val="center"/>
      </w:pPr>
      <w:r>
        <w:rPr>
          <w:b w:val="0"/>
          <w:color w:val="888888"/>
          <w:sz w:val="18"/>
        </w:rPr>
        <w:t>2026-07-01 → 2026-07-15 · 共 13 篇</w:t>
      </w:r>
    </w:p>
    <w:p>
      <w:pPr>
        <w:spacing w:before="480" w:after="40"/>
      </w:pPr>
      <w:r>
        <w:rPr>
          <w:b/>
          <w:color w:val="1C5D54"/>
          <w:sz w:val="30"/>
        </w:rPr>
        <w:t>Ⅰ  经济学 · Economics（2）</w:t>
      </w:r>
    </w:p>
    <w:p>
      <w:pPr>
        <w:spacing w:before="240" w:after="120"/>
      </w:pPr>
      <w:r>
        <w:rPr>
          <w:b/>
          <w:color w:val="888888"/>
          <w:sz w:val="22"/>
        </w:rPr>
        <w:t>▎ Theory and Decision</w:t>
      </w:r>
    </w:p>
    <w:p>
      <w:pPr>
        <w:spacing w:after="40"/>
      </w:pPr>
      <w:r>
        <w:rPr>
          <w:b/>
          <w:color w:val="1A1A1A"/>
          <w:sz w:val="26"/>
        </w:rPr>
        <w:t xml:space="preserve">1. </w:t>
      </w:r>
      <w:hyperlink r:id="rId9">
        <w:r>
          <w:rPr>
            <w:color w:val="004B7A"/>
            <w:u w:val="single"/>
            <w:b/>
            <w:sz w:val="26"/>
          </w:rPr>
          <w:t xml:space="preserve">Uncertain quality valuations: when do risk attitudes matter?</w:t>
        </w:r>
      </w:hyperlink>
    </w:p>
    <w:p>
      <w:pPr>
        <w:spacing w:after="100"/>
      </w:pPr>
      <w:r>
        <w:rPr>
          <w:b w:val="0"/>
          <w:color w:val="888888"/>
          <w:sz w:val="18"/>
        </w:rPr>
        <w:t>Georgantzis, N., Agnoli, L., Charters, S., Dubois, M., Tisserand, J., Vasileiou, E.</w:t>
      </w:r>
    </w:p>
    <w:p>
      <w:pPr>
        <w:spacing w:after="80"/>
      </w:pPr>
      <w:r>
        <w:rPr>
          <w:b/>
          <w:color w:val="1A1A1A"/>
          <w:sz w:val="22"/>
        </w:rPr>
        <w:t xml:space="preserve">内容简介 · </w:t>
      </w:r>
      <w:r>
        <w:rPr>
          <w:b w:val="0"/>
          <w:sz w:val="22"/>
        </w:rPr>
        <w:t>This paper investigates how uncertainty about product or option quality affects valuations and when individual risk attitudes play a meaningful role in those evaluations. It likely explores the conditions under which risk preferences shape willingness-to-pay or choice under quality uncertainty.</w:t>
      </w:r>
    </w:p>
    <w:p>
      <w:pPr>
        <w:spacing w:before="240" w:after="120"/>
      </w:pPr>
      <w:r>
        <w:rPr>
          <w:b/>
          <w:color w:val="888888"/>
          <w:sz w:val="22"/>
        </w:rPr>
        <w:t>▎ Journal of Risk and Uncertainty</w:t>
      </w:r>
    </w:p>
    <w:p>
      <w:pPr>
        <w:spacing w:after="40"/>
      </w:pPr>
      <w:r>
        <w:rPr>
          <w:b/>
          <w:color w:val="1A1A1A"/>
          <w:sz w:val="26"/>
        </w:rPr>
        <w:t xml:space="preserve">2. </w:t>
      </w:r>
      <w:hyperlink r:id="rId10">
        <w:r>
          <w:rPr>
            <w:color w:val="004B7A"/>
            <w:u w:val="single"/>
            <w:b/>
            <w:sz w:val="26"/>
          </w:rPr>
          <w:t xml:space="preserve">An axiomatization of separable prospect theory</w:t>
        </w:r>
      </w:hyperlink>
    </w:p>
    <w:p>
      <w:pPr>
        <w:spacing w:after="100"/>
      </w:pPr>
      <w:r>
        <w:rPr>
          <w:b w:val="0"/>
          <w:color w:val="888888"/>
          <w:sz w:val="18"/>
        </w:rPr>
        <w:t>Mononen, L.</w:t>
      </w:r>
    </w:p>
    <w:p>
      <w:pPr>
        <w:spacing w:after="80"/>
      </w:pPr>
      <w:r>
        <w:rPr>
          <w:b/>
          <w:color w:val="1A1A1A"/>
          <w:sz w:val="22"/>
        </w:rPr>
        <w:t xml:space="preserve">内容简介 · </w:t>
      </w:r>
      <w:r>
        <w:rPr>
          <w:b w:val="0"/>
          <w:sz w:val="22"/>
        </w:rPr>
        <w:t>This paper axiomatizes separable prospect theory (SPT) under risk, showing how it differs from cumulative prospect theory (CPT) in terms of tree dependence and rank-independent trade-off consistency, thereby clarifying the behavioral content and empirical testability of SPT.</w:t>
      </w:r>
    </w:p>
    <w:p>
      <w:pPr>
        <w:spacing w:before="480" w:after="40"/>
      </w:pPr>
      <w:r>
        <w:rPr>
          <w:b/>
          <w:color w:val="8A2B3A"/>
          <w:sz w:val="30"/>
        </w:rPr>
        <w:t>Ⅱ  心理学 · Psychology（9）</w:t>
      </w:r>
    </w:p>
    <w:p>
      <w:pPr>
        <w:spacing w:before="240" w:after="120"/>
      </w:pPr>
      <w:r>
        <w:rPr>
          <w:b/>
          <w:color w:val="888888"/>
          <w:sz w:val="22"/>
        </w:rPr>
        <w:t>▎ Journal of Experimental Psychology: Learning, Memory, and Cognition</w:t>
      </w:r>
    </w:p>
    <w:p>
      <w:pPr>
        <w:spacing w:after="40"/>
      </w:pPr>
      <w:r>
        <w:rPr>
          <w:b/>
          <w:color w:val="1A1A1A"/>
          <w:sz w:val="26"/>
        </w:rPr>
        <w:t xml:space="preserve">3. </w:t>
      </w:r>
      <w:hyperlink r:id="rId11">
        <w:r>
          <w:rPr>
            <w:color w:val="004B7A"/>
            <w:u w:val="single"/>
            <w:b/>
            <w:sz w:val="26"/>
          </w:rPr>
          <w:t xml:space="preserve">Decisions are based on less information than metacognitive judgments in multialternative contexts.</w:t>
        </w:r>
      </w:hyperlink>
    </w:p>
    <w:p>
      <w:pPr>
        <w:spacing w:after="100"/>
      </w:pPr>
      <w:r>
        <w:rPr>
          <w:b w:val="0"/>
          <w:color w:val="888888"/>
          <w:sz w:val="18"/>
        </w:rPr>
        <w:t>Comay, N., Solovey, G., Barttfeld, P.</w:t>
      </w:r>
    </w:p>
    <w:p>
      <w:pPr>
        <w:spacing w:after="80"/>
      </w:pPr>
      <w:r>
        <w:rPr>
          <w:b/>
          <w:color w:val="1A1A1A"/>
          <w:sz w:val="22"/>
        </w:rPr>
        <w:t xml:space="preserve">内容简介 · </w:t>
      </w:r>
      <w:r>
        <w:rPr>
          <w:b w:val="0"/>
          <w:sz w:val="22"/>
        </w:rPr>
        <w:t>Using a second-guess paradigm and computational modeling across multiple experiments, this paper shows that decision systems access noisier evidence from unchosen alternatives than metacognitive systems do, revealing a dissociation between decision making and metacognition in multi-alternative choice.</w:t>
      </w:r>
    </w:p>
    <w:p>
      <w:pPr>
        <w:spacing w:before="240" w:after="120"/>
      </w:pPr>
      <w:r>
        <w:rPr>
          <w:b/>
          <w:color w:val="888888"/>
          <w:sz w:val="22"/>
        </w:rPr>
        <w:t>▎ JEP: General</w:t>
      </w:r>
    </w:p>
    <w:p>
      <w:pPr>
        <w:spacing w:after="40"/>
      </w:pPr>
      <w:r>
        <w:rPr>
          <w:b/>
          <w:color w:val="1A1A1A"/>
          <w:sz w:val="26"/>
        </w:rPr>
        <w:t xml:space="preserve">4. </w:t>
      </w:r>
      <w:hyperlink r:id="rId12">
        <w:r>
          <w:rPr>
            <w:color w:val="004B7A"/>
            <w:u w:val="single"/>
            <w:b/>
            <w:sz w:val="26"/>
          </w:rPr>
          <w:t xml:space="preserve">Sequential information preferences in uncertain decision making.</w:t>
        </w:r>
      </w:hyperlink>
    </w:p>
    <w:p>
      <w:pPr>
        <w:spacing w:after="100"/>
      </w:pPr>
      <w:r>
        <w:rPr>
          <w:b w:val="0"/>
          <w:color w:val="888888"/>
          <w:sz w:val="18"/>
        </w:rPr>
        <w:t>Karmarkar, U., Clithero, J., Raffaelli, C.</w:t>
      </w:r>
    </w:p>
    <w:p>
      <w:pPr>
        <w:spacing w:after="80"/>
      </w:pPr>
      <w:r>
        <w:rPr>
          <w:b/>
          <w:color w:val="1A1A1A"/>
          <w:sz w:val="22"/>
        </w:rPr>
        <w:t xml:space="preserve">内容简介 · </w:t>
      </w:r>
      <w:r>
        <w:rPr>
          <w:b w:val="0"/>
          <w:sz w:val="22"/>
        </w:rPr>
        <w:t>Across multiple large samples, this paper shows that most people prefer to consider risks before rewards when making uncertain decisions, and that this sequential information preference is linked to ambiguity sensitivity and predicts downstream information-seeking behavior, choice processes, and choice outcomes.</w:t>
      </w:r>
    </w:p>
    <w:p>
      <w:pPr>
        <w:spacing w:before="240" w:after="120"/>
      </w:pPr>
      <w:r>
        <w:rPr>
          <w:b/>
          <w:color w:val="888888"/>
          <w:sz w:val="22"/>
        </w:rPr>
        <w:t>▎ Psychological Review</w:t>
      </w:r>
    </w:p>
    <w:p>
      <w:pPr>
        <w:spacing w:after="40"/>
      </w:pPr>
      <w:r>
        <w:rPr>
          <w:b/>
          <w:color w:val="1A1A1A"/>
          <w:sz w:val="26"/>
        </w:rPr>
        <w:t xml:space="preserve">5. </w:t>
      </w:r>
      <w:hyperlink r:id="rId13">
        <w:r>
          <w:rPr>
            <w:color w:val="004B7A"/>
            <w:u w:val="single"/>
            <w:b/>
            <w:sz w:val="26"/>
          </w:rPr>
          <w:t xml:space="preserve">Cognitive mechanisms of subjective value in multiattribute pricing.</w:t>
        </w:r>
      </w:hyperlink>
    </w:p>
    <w:p>
      <w:pPr>
        <w:spacing w:after="100"/>
      </w:pPr>
      <w:r>
        <w:rPr>
          <w:b w:val="0"/>
          <w:color w:val="888888"/>
          <w:sz w:val="18"/>
        </w:rPr>
        <w:t>Fitch, A., Kvam, P.</w:t>
      </w:r>
    </w:p>
    <w:p>
      <w:pPr>
        <w:spacing w:after="80"/>
      </w:pPr>
      <w:r>
        <w:rPr>
          <w:b/>
          <w:color w:val="1A1A1A"/>
          <w:sz w:val="22"/>
        </w:rPr>
        <w:t xml:space="preserve">内容简介 · </w:t>
      </w:r>
      <w:r>
        <w:rPr>
          <w:b w:val="0"/>
          <w:sz w:val="22"/>
        </w:rPr>
        <w:t>This paper investigates the cognitive mechanisms underlying subjective value in multiattribute pricing tasks, using individual-level computational models to examine how constructs like risk aversion, delay discounting, anchoring, and payoff sensitivity differ between pricing and choice elicitation procedures.</w:t>
      </w:r>
    </w:p>
    <w:p>
      <w:pPr>
        <w:spacing w:before="120" w:after="240"/>
        <w:jc w:val="center"/>
      </w:pPr>
      <w:r>
        <w:rPr>
          <w:b w:val="0"/>
          <w:color w:val="888888"/>
          <w:sz w:val="20"/>
        </w:rPr>
        <w:t>· · ·</w:t>
      </w:r>
    </w:p>
    <w:p>
      <w:pPr>
        <w:spacing w:after="40"/>
      </w:pPr>
      <w:r>
        <w:rPr>
          <w:b/>
          <w:color w:val="1A1A1A"/>
          <w:sz w:val="26"/>
        </w:rPr>
        <w:t xml:space="preserve">6. </w:t>
      </w:r>
      <w:hyperlink r:id="rId14">
        <w:r>
          <w:rPr>
            <w:color w:val="004B7A"/>
            <w:u w:val="single"/>
            <w:b/>
            <w:sz w:val="26"/>
          </w:rPr>
          <w:t xml:space="preserve">Within-alternative processing supports transitivity of preferences in multiattribute choice.</w:t>
        </w:r>
      </w:hyperlink>
    </w:p>
    <w:p>
      <w:pPr>
        <w:spacing w:after="100"/>
      </w:pPr>
      <w:r>
        <w:rPr>
          <w:b w:val="0"/>
          <w:color w:val="888888"/>
          <w:sz w:val="18"/>
        </w:rPr>
        <w:t>Pessach, G., Tsetsos, K., Regenwetter, M., Usher, M.</w:t>
      </w:r>
    </w:p>
    <w:p>
      <w:pPr>
        <w:spacing w:after="80"/>
      </w:pPr>
      <w:r>
        <w:rPr>
          <w:b/>
          <w:color w:val="1A1A1A"/>
          <w:sz w:val="22"/>
        </w:rPr>
        <w:t xml:space="preserve">内容简介 · </w:t>
      </w:r>
      <w:r>
        <w:rPr>
          <w:b w:val="0"/>
          <w:sz w:val="22"/>
        </w:rPr>
        <w:t>The paper examines when and why people violate transitivity of preferences in multiattribute choice, using probabilistic cognitive heuristic models and experiments that manipulate how information is presented, finding that within-alternative processing strongly supports transitive preferences.</w:t>
      </w:r>
    </w:p>
    <w:p>
      <w:pPr>
        <w:spacing w:before="240" w:after="120"/>
      </w:pPr>
      <w:r>
        <w:rPr>
          <w:b/>
          <w:color w:val="888888"/>
          <w:sz w:val="22"/>
        </w:rPr>
        <w:t>▎ Trends in Cognitive Sciences</w:t>
      </w:r>
    </w:p>
    <w:p>
      <w:pPr>
        <w:spacing w:after="40"/>
      </w:pPr>
      <w:r>
        <w:rPr>
          <w:b/>
          <w:color w:val="1A1A1A"/>
          <w:sz w:val="26"/>
        </w:rPr>
        <w:t xml:space="preserve">7. </w:t>
      </w:r>
      <w:hyperlink r:id="rId15">
        <w:r>
          <w:rPr>
            <w:color w:val="004B7A"/>
            <w:u w:val="single"/>
            <w:b/>
            <w:sz w:val="26"/>
          </w:rPr>
          <w:t xml:space="preserve">Rhythmic sampling of decision alternatives through attention</w:t>
        </w:r>
      </w:hyperlink>
    </w:p>
    <w:p>
      <w:pPr>
        <w:spacing w:after="100"/>
      </w:pPr>
      <w:r>
        <w:rPr>
          <w:b w:val="0"/>
          <w:color w:val="888888"/>
          <w:sz w:val="18"/>
        </w:rPr>
        <w:t>Valizadeh, A.</w:t>
      </w:r>
    </w:p>
    <w:p>
      <w:pPr>
        <w:spacing w:after="80"/>
      </w:pPr>
      <w:r>
        <w:rPr>
          <w:b/>
          <w:color w:val="1A1A1A"/>
          <w:sz w:val="22"/>
        </w:rPr>
        <w:t xml:space="preserve">内容简介 · </w:t>
      </w:r>
      <w:r>
        <w:rPr>
          <w:b w:val="0"/>
          <w:sz w:val="22"/>
        </w:rPr>
        <w:t>The paper investigates how attention oscillates or cycles through decision alternatives during deliberation, likely linking these rhythmic attentional patterns to choice behavior and decision processes.</w:t>
      </w:r>
    </w:p>
    <w:p>
      <w:pPr>
        <w:spacing w:before="240" w:after="120"/>
      </w:pPr>
      <w:r>
        <w:rPr>
          <w:b/>
          <w:color w:val="888888"/>
          <w:sz w:val="22"/>
        </w:rPr>
        <w:t>▎ Cognitive Psychology</w:t>
      </w:r>
    </w:p>
    <w:p>
      <w:pPr>
        <w:spacing w:after="40"/>
      </w:pPr>
      <w:r>
        <w:rPr>
          <w:b/>
          <w:color w:val="1A1A1A"/>
          <w:sz w:val="26"/>
        </w:rPr>
        <w:t xml:space="preserve">8. </w:t>
      </w:r>
      <w:hyperlink r:id="rId16">
        <w:r>
          <w:rPr>
            <w:color w:val="004B7A"/>
            <w:u w:val="single"/>
            <w:b/>
            <w:sz w:val="26"/>
          </w:rPr>
          <w:t xml:space="preserve">Separating decision and motor contributions to behavioral biases induced by manipulating stimulus probability</w:t>
        </w:r>
      </w:hyperlink>
    </w:p>
    <w:p>
      <w:pPr>
        <w:spacing w:after="100"/>
      </w:pPr>
      <w:r>
        <w:rPr>
          <w:b w:val="0"/>
          <w:color w:val="888888"/>
          <w:sz w:val="18"/>
        </w:rPr>
        <w:t>Dendauw, E., Logan, G., Schall, J., Gajdos Preuss, T., Servant, M.</w:t>
      </w:r>
    </w:p>
    <w:p>
      <w:pPr>
        <w:spacing w:after="80"/>
      </w:pPr>
      <w:r>
        <w:rPr>
          <w:b/>
          <w:color w:val="1A1A1A"/>
          <w:sz w:val="22"/>
        </w:rPr>
        <w:t xml:space="preserve">内容简介 · </w:t>
      </w:r>
      <w:r>
        <w:rPr>
          <w:b w:val="0"/>
          <w:sz w:val="22"/>
        </w:rPr>
        <w:t>Using EMG recordings and a gated cascade diffusion model during a random dot motion task, the paper separates decision-stage from motor-stage contributions to the behavioral biases induced by manipulating stimulus probability, finding that probability shifts both the rate of evidence accumulation and an urgency signal at the motor preparation level.</w:t>
      </w:r>
    </w:p>
    <w:p>
      <w:pPr>
        <w:spacing w:before="240" w:after="120"/>
      </w:pPr>
      <w:r>
        <w:rPr>
          <w:b/>
          <w:color w:val="888888"/>
          <w:sz w:val="22"/>
        </w:rPr>
        <w:t>▎ Cognition</w:t>
      </w:r>
    </w:p>
    <w:p>
      <w:pPr>
        <w:spacing w:after="40"/>
      </w:pPr>
      <w:r>
        <w:rPr>
          <w:b/>
          <w:color w:val="1A1A1A"/>
          <w:sz w:val="26"/>
        </w:rPr>
        <w:t xml:space="preserve">9. </w:t>
      </w:r>
      <w:hyperlink r:id="rId17">
        <w:r>
          <w:rPr>
            <w:color w:val="004B7A"/>
            <w:u w:val="single"/>
            <w:b/>
            <w:sz w:val="26"/>
          </w:rPr>
          <w:t xml:space="preserve">The inferred value of unchosen options spreads to related items in memory</w:t>
        </w:r>
      </w:hyperlink>
    </w:p>
    <w:p>
      <w:pPr>
        <w:spacing w:after="100"/>
      </w:pPr>
      <w:r>
        <w:rPr>
          <w:b w:val="0"/>
          <w:color w:val="888888"/>
          <w:sz w:val="18"/>
        </w:rPr>
        <w:t>Wang, Z., Li, X., Bakkour, A.</w:t>
      </w:r>
    </w:p>
    <w:p>
      <w:pPr>
        <w:spacing w:after="80"/>
      </w:pPr>
      <w:r>
        <w:rPr>
          <w:b/>
          <w:color w:val="1A1A1A"/>
          <w:sz w:val="22"/>
        </w:rPr>
        <w:t xml:space="preserve">内容简介 · </w:t>
      </w:r>
      <w:r>
        <w:rPr>
          <w:b w:val="0"/>
          <w:sz w:val="22"/>
        </w:rPr>
        <w:t>This study shows that inferred values of unchosen options (derived via counterfactual reasoning) generalize to semantically related novel items in memory, demonstrating that memory-mediated value spreading applies not only to directly experienced rewards but also to counterfactually inferred ones. Participants were more or less likely to choose novel items from the same category as an unchosen option depending on the inferred value of that unchosen option.</w:t>
      </w:r>
    </w:p>
    <w:p>
      <w:pPr>
        <w:spacing w:before="120" w:after="240"/>
        <w:jc w:val="center"/>
      </w:pPr>
      <w:r>
        <w:rPr>
          <w:b w:val="0"/>
          <w:color w:val="888888"/>
          <w:sz w:val="20"/>
        </w:rPr>
        <w:t>· · ·</w:t>
      </w:r>
    </w:p>
    <w:p>
      <w:pPr>
        <w:spacing w:after="40"/>
      </w:pPr>
      <w:r>
        <w:rPr>
          <w:b/>
          <w:color w:val="1A1A1A"/>
          <w:sz w:val="26"/>
        </w:rPr>
        <w:t xml:space="preserve">10. </w:t>
      </w:r>
      <w:hyperlink r:id="rId18">
        <w:r>
          <w:rPr>
            <w:color w:val="004B7A"/>
            <w:u w:val="single"/>
            <w:b/>
            <w:sz w:val="26"/>
          </w:rPr>
          <w:t xml:space="preserve">Stimulus reliability but not boundary distance manipulations violate the folded-X pattern of confidence</w:t>
        </w:r>
      </w:hyperlink>
    </w:p>
    <w:p>
      <w:pPr>
        <w:spacing w:after="100"/>
      </w:pPr>
      <w:r>
        <w:rPr>
          <w:b w:val="0"/>
          <w:color w:val="888888"/>
          <w:sz w:val="18"/>
        </w:rPr>
        <w:t>Xue, K., Fung, H., Rahnev, D.</w:t>
      </w:r>
    </w:p>
    <w:p>
      <w:pPr>
        <w:spacing w:after="80"/>
      </w:pPr>
      <w:r>
        <w:rPr>
          <w:b/>
          <w:color w:val="1A1A1A"/>
          <w:sz w:val="22"/>
        </w:rPr>
        <w:t xml:space="preserve">内容简介 · </w:t>
      </w:r>
      <w:r>
        <w:rPr>
          <w:b w:val="0"/>
          <w:sz w:val="22"/>
        </w:rPr>
        <w:t>This study examines why different stimulus manipulations produce different confidence-accuracy patterns (folded-X vs. double-increase) in perceptual decisions, finding that stimulus reliability and boundary distance have dissociable effects on confidence and response times that cannot be captured by artificial neural networks. The results suggest human confidence involves mechanisms beyond simple statistical task properties.</w:t>
      </w:r>
    </w:p>
    <w:p>
      <w:pPr>
        <w:spacing w:before="240" w:after="120"/>
      </w:pPr>
      <w:r>
        <w:rPr>
          <w:b/>
          <w:color w:val="888888"/>
          <w:sz w:val="22"/>
        </w:rPr>
        <w:t>▎ PLOS Computational Biology</w:t>
      </w:r>
    </w:p>
    <w:p>
      <w:pPr>
        <w:spacing w:after="40"/>
      </w:pPr>
      <w:r>
        <w:rPr>
          <w:b/>
          <w:color w:val="1A1A1A"/>
          <w:sz w:val="26"/>
        </w:rPr>
        <w:t xml:space="preserve">11. </w:t>
      </w:r>
      <w:hyperlink r:id="rId19">
        <w:r>
          <w:rPr>
            <w:color w:val="004B7A"/>
            <w:u w:val="single"/>
            <w:b/>
            <w:sz w:val="26"/>
          </w:rPr>
          <w:t xml:space="preserve">cpm: A python library for theory-driven modelling in computational psychiatry</w:t>
        </w:r>
      </w:hyperlink>
    </w:p>
    <w:p>
      <w:pPr>
        <w:spacing w:after="100"/>
      </w:pPr>
      <w:r>
        <w:rPr>
          <w:b w:val="0"/>
          <w:color w:val="888888"/>
          <w:sz w:val="18"/>
        </w:rPr>
        <w:t>Dome, L., Hezemans, F., Kadri, K., Wagner, B., Webb, A., Hauser, T.</w:t>
      </w:r>
    </w:p>
    <w:p>
      <w:pPr>
        <w:spacing w:after="80"/>
      </w:pPr>
      <w:r>
        <w:rPr>
          <w:b/>
          <w:color w:val="1A1A1A"/>
          <w:sz w:val="22"/>
        </w:rPr>
        <w:t xml:space="preserve">内容简介 · </w:t>
      </w:r>
      <w:r>
        <w:rPr>
          <w:b w:val="0"/>
          <w:sz w:val="22"/>
        </w:rPr>
        <w:t>The cpm Python library is a modular computational modelling toolbox for psychiatry and cognitive science, covering risky decision-making, learning, and perceptual tasks using models such as reinforcement learning and Bayesian estimation techniques.</w:t>
      </w:r>
    </w:p>
    <w:p>
      <w:pPr>
        <w:spacing w:before="480" w:after="40"/>
      </w:pPr>
      <w:r>
        <w:rPr>
          <w:b/>
          <w:color w:val="3D3A78"/>
          <w:sz w:val="30"/>
        </w:rPr>
        <w:t>Ⅲ  神经科学 · Neuroscience（2）</w:t>
      </w:r>
    </w:p>
    <w:p>
      <w:pPr>
        <w:spacing w:before="240" w:after="120"/>
      </w:pPr>
      <w:r>
        <w:rPr>
          <w:b/>
          <w:color w:val="888888"/>
          <w:sz w:val="22"/>
        </w:rPr>
        <w:t>▎ Nature Communications</w:t>
      </w:r>
    </w:p>
    <w:p>
      <w:pPr>
        <w:spacing w:after="40"/>
      </w:pPr>
      <w:r>
        <w:rPr>
          <w:b/>
          <w:color w:val="1A1A1A"/>
          <w:sz w:val="26"/>
        </w:rPr>
        <w:t xml:space="preserve">12. </w:t>
      </w:r>
      <w:hyperlink r:id="rId20">
        <w:r>
          <w:rPr>
            <w:color w:val="004B7A"/>
            <w:u w:val="single"/>
            <w:b/>
            <w:sz w:val="26"/>
          </w:rPr>
          <w:t xml:space="preserve">Closed-loop readout of anterior insula high-gamma activity steers value-based decisions</w:t>
        </w:r>
      </w:hyperlink>
    </w:p>
    <w:p>
      <w:pPr>
        <w:spacing w:after="100"/>
      </w:pPr>
      <w:r>
        <w:rPr>
          <w:b w:val="0"/>
          <w:color w:val="888888"/>
          <w:sz w:val="18"/>
        </w:rPr>
        <w:t>Baratin, C., Pessiglione, M., Kahane, P., Robin, A., Minotti, L., Becq, G., Bastin, J.</w:t>
      </w:r>
    </w:p>
    <w:p>
      <w:pPr>
        <w:spacing w:after="80"/>
      </w:pPr>
      <w:r>
        <w:rPr>
          <w:b/>
          <w:color w:val="1A1A1A"/>
          <w:sz w:val="22"/>
        </w:rPr>
        <w:t xml:space="preserve">内容简介 · </w:t>
      </w:r>
      <w:r>
        <w:rPr>
          <w:b w:val="0"/>
          <w:sz w:val="22"/>
        </w:rPr>
        <w:t>Using a closed-loop intracranial BCI, the authors show that spontaneous high-gamma activity in the anterior insula prior to offer presentation biases accept/reject decisions involving trade-offs between pleasant and unpleasant attributes, demonstrating that intrinsic neural states causally contribute to human choice variability.</w:t>
      </w:r>
    </w:p>
    <w:p>
      <w:pPr>
        <w:spacing w:before="240" w:after="120"/>
      </w:pPr>
      <w:r>
        <w:rPr>
          <w:b/>
          <w:color w:val="888888"/>
          <w:sz w:val="22"/>
        </w:rPr>
        <w:t>▎ eLife</w:t>
      </w:r>
    </w:p>
    <w:p>
      <w:pPr>
        <w:spacing w:after="40"/>
      </w:pPr>
      <w:r>
        <w:rPr>
          <w:b/>
          <w:color w:val="1A1A1A"/>
          <w:sz w:val="26"/>
        </w:rPr>
        <w:t xml:space="preserve">13. </w:t>
      </w:r>
      <w:hyperlink r:id="rId21">
        <w:r>
          <w:rPr>
            <w:color w:val="004B7A"/>
            <w:u w:val="single"/>
            <w:b/>
            <w:sz w:val="26"/>
          </w:rPr>
          <w:t xml:space="preserve">Distinct involvements of the subthalamic nucleus subpopulations in reward-biased decision-making in monkeys</w:t>
        </w:r>
      </w:hyperlink>
    </w:p>
    <w:p>
      <w:pPr>
        <w:spacing w:after="100"/>
      </w:pPr>
      <w:r>
        <w:rPr>
          <w:b w:val="0"/>
          <w:color w:val="888888"/>
          <w:sz w:val="18"/>
        </w:rPr>
        <w:t>Branam, K., Gold, J., Ding, L.</w:t>
      </w:r>
    </w:p>
    <w:p>
      <w:pPr>
        <w:spacing w:after="80"/>
      </w:pPr>
      <w:r>
        <w:rPr>
          <w:b/>
          <w:color w:val="1A1A1A"/>
          <w:sz w:val="22"/>
        </w:rPr>
        <w:t xml:space="preserve">内容简介 · </w:t>
      </w:r>
      <w:r>
        <w:rPr>
          <w:b w:val="0"/>
          <w:sz w:val="22"/>
        </w:rPr>
        <w:t>This study identifies distinct STN neuron subpopulations in monkeys that differentially contribute to reward-biased perceptual decisions, mapping their activity onto drift-diffusion model components (decision variable, decision bound, non-decision processes) and decision evaluation signals like reward expectation and accuracy.</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238-026-10146-3" TargetMode="External"/><Relationship Id="rId10" Type="http://schemas.openxmlformats.org/officeDocument/2006/relationships/hyperlink" Target="https://doi.org/10.1007/s11166-026-09494-w" TargetMode="External"/><Relationship Id="rId11" Type="http://schemas.openxmlformats.org/officeDocument/2006/relationships/hyperlink" Target="https://doi.org/10.1037/xlm0001532" TargetMode="External"/><Relationship Id="rId12" Type="http://schemas.openxmlformats.org/officeDocument/2006/relationships/hyperlink" Target="https://doi.org/10.1037/xge0001941" TargetMode="External"/><Relationship Id="rId13" Type="http://schemas.openxmlformats.org/officeDocument/2006/relationships/hyperlink" Target="https://doi.org/10.1037/rev0000594" TargetMode="External"/><Relationship Id="rId14" Type="http://schemas.openxmlformats.org/officeDocument/2006/relationships/hyperlink" Target="https://doi.org/10.1037/rev0000587" TargetMode="External"/><Relationship Id="rId15" Type="http://schemas.openxmlformats.org/officeDocument/2006/relationships/hyperlink" Target="https://doi.org/10.1016/j.tics.2026.04.010" TargetMode="External"/><Relationship Id="rId16" Type="http://schemas.openxmlformats.org/officeDocument/2006/relationships/hyperlink" Target="https://doi.org/10.1016/j.cogpsych.2026.101818" TargetMode="External"/><Relationship Id="rId17" Type="http://schemas.openxmlformats.org/officeDocument/2006/relationships/hyperlink" Target="https://doi.org/10.1016/j.cognition.2026.106508" TargetMode="External"/><Relationship Id="rId18" Type="http://schemas.openxmlformats.org/officeDocument/2006/relationships/hyperlink" Target="https://doi.org/10.1016/j.cognition.2026.106490" TargetMode="External"/><Relationship Id="rId19" Type="http://schemas.openxmlformats.org/officeDocument/2006/relationships/hyperlink" Target="https://doi.org/10.1371/journal.pcbi.1014481" TargetMode="External"/><Relationship Id="rId20" Type="http://schemas.openxmlformats.org/officeDocument/2006/relationships/hyperlink" Target="https://doi.org/10.1038/s41467-026-75265-5" TargetMode="External"/><Relationship Id="rId21" Type="http://schemas.openxmlformats.org/officeDocument/2006/relationships/hyperlink" Target="https://doi.org/10.7554/elife.1096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