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4B7A"/>
          <w:sz w:val="40"/>
        </w:rPr>
        <w:t>文献汇总：7月上</w:t>
      </w:r>
    </w:p>
    <w:p>
      <w:pPr>
        <w:spacing w:after="200"/>
        <w:jc w:val="center"/>
      </w:pPr>
      <w:r>
        <w:rPr>
          <w:b w:val="0"/>
          <w:color w:val="888888"/>
          <w:sz w:val="18"/>
        </w:rPr>
        <w:t>2026-07-01 → 2026-07-15 · 共 17 篇</w:t>
      </w:r>
    </w:p>
    <w:p>
      <w:pPr>
        <w:spacing w:before="480" w:after="40"/>
      </w:pPr>
      <w:r>
        <w:rPr>
          <w:b/>
          <w:color w:val="1C5D54"/>
          <w:sz w:val="30"/>
        </w:rPr>
        <w:t>Ⅰ  经济学 · Economics（4）</w:t>
      </w:r>
    </w:p>
    <w:p>
      <w:pPr>
        <w:spacing w:before="240" w:after="120"/>
      </w:pPr>
      <w:r>
        <w:rPr>
          <w:b/>
          <w:color w:val="888888"/>
          <w:sz w:val="22"/>
        </w:rPr>
        <w:t>▎ Journal of Behavioral and Experimental Economics</w:t>
      </w:r>
    </w:p>
    <w:p>
      <w:pPr>
        <w:spacing w:after="40"/>
      </w:pPr>
      <w:r>
        <w:rPr>
          <w:b/>
          <w:color w:val="1A1A1A"/>
          <w:sz w:val="26"/>
        </w:rPr>
        <w:t xml:space="preserve">1. </w:t>
      </w:r>
      <w:hyperlink r:id="rId9">
        <w:r>
          <w:rPr>
            <w:color w:val="004B7A"/>
            <w:u w:val="single"/>
            <w:b/>
            <w:sz w:val="26"/>
          </w:rPr>
          <w:t xml:space="preserve">Probability Discounting and Economic Theories of Choice Under Risk: A Translation and Critique</w:t>
        </w:r>
      </w:hyperlink>
    </w:p>
    <w:p>
      <w:pPr>
        <w:spacing w:after="100"/>
      </w:pPr>
      <w:r>
        <w:rPr>
          <w:b w:val="0"/>
          <w:color w:val="888888"/>
          <w:sz w:val="18"/>
        </w:rPr>
        <w:t>Hofmeyr, A.</w:t>
      </w:r>
    </w:p>
    <w:p>
      <w:pPr>
        <w:spacing w:after="80"/>
      </w:pPr>
      <w:r>
        <w:rPr>
          <w:b/>
          <w:color w:val="1A1A1A"/>
          <w:sz w:val="22"/>
        </w:rPr>
        <w:t xml:space="preserve">内容简介 · </w:t>
      </w:r>
      <w:r>
        <w:rPr>
          <w:b w:val="0"/>
          <w:sz w:val="22"/>
        </w:rPr>
        <w:t>This paper critically examines the probability discounting framework used in psychology, showing it is formally isomorphic to the dual theory of choice under risk but overly restrictive because it cannot capture simultaneous over- and underweighting of probabilities, and argues researchers should adopt more flexible economic models of risky choice instead.</w:t>
      </w:r>
    </w:p>
    <w:p>
      <w:pPr>
        <w:spacing w:before="120" w:after="240"/>
        <w:jc w:val="center"/>
      </w:pPr>
      <w:r>
        <w:rPr>
          <w:b w:val="0"/>
          <w:color w:val="888888"/>
          <w:sz w:val="20"/>
        </w:rPr>
        <w:t>· · ·</w:t>
      </w:r>
    </w:p>
    <w:p>
      <w:pPr>
        <w:spacing w:after="40"/>
      </w:pPr>
      <w:r>
        <w:rPr>
          <w:b/>
          <w:color w:val="1A1A1A"/>
          <w:sz w:val="26"/>
        </w:rPr>
        <w:t xml:space="preserve">2. </w:t>
      </w:r>
      <w:hyperlink r:id="rId10">
        <w:r>
          <w:rPr>
            <w:color w:val="004B7A"/>
            <w:u w:val="single"/>
            <w:b/>
            <w:sz w:val="26"/>
          </w:rPr>
          <w:t xml:space="preserve">Framing Allais: Is the paradox robust to the pictorial framing of probabilities?</w:t>
        </w:r>
      </w:hyperlink>
    </w:p>
    <w:p>
      <w:pPr>
        <w:spacing w:after="100"/>
      </w:pPr>
      <w:r>
        <w:rPr>
          <w:b w:val="0"/>
          <w:color w:val="888888"/>
          <w:sz w:val="18"/>
        </w:rPr>
        <w:t>Congiu, L., Moscati, I.</w:t>
      </w:r>
    </w:p>
    <w:p>
      <w:pPr>
        <w:spacing w:after="80"/>
      </w:pPr>
      <w:r>
        <w:rPr>
          <w:b/>
          <w:color w:val="1A1A1A"/>
          <w:sz w:val="22"/>
        </w:rPr>
        <w:t xml:space="preserve">内容简介 · </w:t>
      </w:r>
      <w:r>
        <w:rPr>
          <w:b w:val="0"/>
          <w:sz w:val="22"/>
        </w:rPr>
        <w:t>This online experiment (N=595) tests whether presenting probabilities pictorially (pie charts or colored grids) rather than numerically reduces the incidence of the Allais paradox, finding that the AD choice pattern is equally frequent across all three formats.</w:t>
      </w:r>
    </w:p>
    <w:p>
      <w:pPr>
        <w:spacing w:before="240" w:after="120"/>
      </w:pPr>
      <w:r>
        <w:rPr>
          <w:b/>
          <w:color w:val="888888"/>
          <w:sz w:val="22"/>
        </w:rPr>
        <w:t>▎ Theory and Decision</w:t>
      </w:r>
    </w:p>
    <w:p>
      <w:pPr>
        <w:spacing w:after="40"/>
      </w:pPr>
      <w:r>
        <w:rPr>
          <w:b/>
          <w:color w:val="1A1A1A"/>
          <w:sz w:val="26"/>
        </w:rPr>
        <w:t xml:space="preserve">3. </w:t>
      </w:r>
      <w:hyperlink r:id="rId11">
        <w:r>
          <w:rPr>
            <w:color w:val="004B7A"/>
            <w:u w:val="single"/>
            <w:b/>
            <w:sz w:val="26"/>
          </w:rPr>
          <w:t xml:space="preserve">Uncertain quality valuations: when do risk attitudes matter?</w:t>
        </w:r>
      </w:hyperlink>
    </w:p>
    <w:p>
      <w:pPr>
        <w:spacing w:after="100"/>
      </w:pPr>
      <w:r>
        <w:rPr>
          <w:b w:val="0"/>
          <w:color w:val="888888"/>
          <w:sz w:val="18"/>
        </w:rPr>
        <w:t>Georgantzis, N., Agnoli, L., Charters, S., Dubois, M., Tisserand, J., Vasileiou, E.</w:t>
      </w:r>
    </w:p>
    <w:p>
      <w:pPr>
        <w:spacing w:after="80"/>
      </w:pPr>
      <w:r>
        <w:rPr>
          <w:b/>
          <w:color w:val="1A1A1A"/>
          <w:sz w:val="22"/>
        </w:rPr>
        <w:t xml:space="preserve">内容简介 · </w:t>
      </w:r>
      <w:r>
        <w:rPr>
          <w:b w:val="0"/>
          <w:sz w:val="22"/>
        </w:rPr>
        <w:t>The paper investigates how uncertainty about quality affects valuations and explores the conditions under which individual risk attitudes play a meaningful role in these evaluations.</w:t>
      </w:r>
    </w:p>
    <w:p>
      <w:pPr>
        <w:spacing w:before="240" w:after="120"/>
      </w:pPr>
      <w:r>
        <w:rPr>
          <w:b/>
          <w:color w:val="888888"/>
          <w:sz w:val="22"/>
        </w:rPr>
        <w:t>▎ Journal of Risk and Uncertainty</w:t>
      </w:r>
    </w:p>
    <w:p>
      <w:pPr>
        <w:spacing w:after="40"/>
      </w:pPr>
      <w:r>
        <w:rPr>
          <w:b/>
          <w:color w:val="1A1A1A"/>
          <w:sz w:val="26"/>
        </w:rPr>
        <w:t xml:space="preserve">4. </w:t>
      </w:r>
      <w:hyperlink r:id="rId12">
        <w:r>
          <w:rPr>
            <w:color w:val="004B7A"/>
            <w:u w:val="single"/>
            <w:b/>
            <w:sz w:val="26"/>
          </w:rPr>
          <w:t xml:space="preserve">An axiomatization of separable prospect theory</w:t>
        </w:r>
      </w:hyperlink>
    </w:p>
    <w:p>
      <w:pPr>
        <w:spacing w:after="100"/>
      </w:pPr>
      <w:r>
        <w:rPr>
          <w:b w:val="0"/>
          <w:color w:val="888888"/>
          <w:sz w:val="18"/>
        </w:rPr>
        <w:t>Mononen, L.</w:t>
      </w:r>
    </w:p>
    <w:p>
      <w:pPr>
        <w:spacing w:after="80"/>
      </w:pPr>
      <w:r>
        <w:rPr>
          <w:b/>
          <w:color w:val="1A1A1A"/>
          <w:sz w:val="22"/>
        </w:rPr>
        <w:t xml:space="preserve">内容简介 · </w:t>
      </w:r>
      <w:r>
        <w:rPr>
          <w:b w:val="0"/>
          <w:sz w:val="22"/>
        </w:rPr>
        <w:t>This paper axiomatizes separable prospect theory (SPT) under risk and identifies two key behavioral dimensions distinguishing it from cumulative prospect theory (CPT): tree dependence and rank-independent trade-off consistency, providing a basis for empirical tests between the two models.</w:t>
      </w:r>
    </w:p>
    <w:p>
      <w:pPr>
        <w:spacing w:before="480" w:after="40"/>
      </w:pPr>
      <w:r>
        <w:rPr>
          <w:b/>
          <w:color w:val="8A2B3A"/>
          <w:sz w:val="30"/>
        </w:rPr>
        <w:t>Ⅱ  心理学 · Psychology（10）</w:t>
      </w:r>
    </w:p>
    <w:p>
      <w:pPr>
        <w:spacing w:before="240" w:after="120"/>
      </w:pPr>
      <w:r>
        <w:rPr>
          <w:b/>
          <w:color w:val="888888"/>
          <w:sz w:val="22"/>
        </w:rPr>
        <w:t>▎ Journal of Experimental Psychology: Learning, Memory, and Cognition</w:t>
      </w:r>
    </w:p>
    <w:p>
      <w:pPr>
        <w:spacing w:after="40"/>
      </w:pPr>
      <w:r>
        <w:rPr>
          <w:b/>
          <w:color w:val="1A1A1A"/>
          <w:sz w:val="26"/>
        </w:rPr>
        <w:t xml:space="preserve">5. </w:t>
      </w:r>
      <w:hyperlink r:id="rId13">
        <w:r>
          <w:rPr>
            <w:color w:val="004B7A"/>
            <w:u w:val="single"/>
            <w:b/>
            <w:sz w:val="26"/>
          </w:rPr>
          <w:t xml:space="preserve">Decisions are based on less information than metacognitive judgments in multialternative contexts.</w:t>
        </w:r>
      </w:hyperlink>
    </w:p>
    <w:p>
      <w:pPr>
        <w:spacing w:after="100"/>
      </w:pPr>
      <w:r>
        <w:rPr>
          <w:b w:val="0"/>
          <w:color w:val="888888"/>
          <w:sz w:val="18"/>
        </w:rPr>
        <w:t>Comay, N., Solovey, G., Barttfeld, P.</w:t>
      </w:r>
    </w:p>
    <w:p>
      <w:pPr>
        <w:spacing w:after="80"/>
      </w:pPr>
      <w:r>
        <w:rPr>
          <w:b/>
          <w:color w:val="1A1A1A"/>
          <w:sz w:val="22"/>
        </w:rPr>
        <w:t xml:space="preserve">内容简介 · </w:t>
      </w:r>
      <w:r>
        <w:rPr>
          <w:b w:val="0"/>
          <w:sz w:val="22"/>
        </w:rPr>
        <w:t>Using a second-guess paradigm and computational modeling across multiple experiments, this paper examines how much information from unchosen alternatives remains accessible during multi-alternative decisions, finding that noise corrupts unchosen-option evidence post-choice and that the metacognitive system accesses more information than the decision system.</w:t>
      </w:r>
    </w:p>
    <w:p>
      <w:pPr>
        <w:spacing w:before="240" w:after="120"/>
      </w:pPr>
      <w:r>
        <w:rPr>
          <w:b/>
          <w:color w:val="888888"/>
          <w:sz w:val="22"/>
        </w:rPr>
        <w:t>▎ JEP: General</w:t>
      </w:r>
    </w:p>
    <w:p>
      <w:pPr>
        <w:spacing w:after="40"/>
      </w:pPr>
      <w:r>
        <w:rPr>
          <w:b/>
          <w:color w:val="1A1A1A"/>
          <w:sz w:val="26"/>
        </w:rPr>
        <w:t xml:space="preserve">6. </w:t>
      </w:r>
      <w:hyperlink r:id="rId14">
        <w:r>
          <w:rPr>
            <w:color w:val="004B7A"/>
            <w:u w:val="single"/>
            <w:b/>
            <w:sz w:val="26"/>
          </w:rPr>
          <w:t xml:space="preserve">Sequential information preferences in uncertain decision making.</w:t>
        </w:r>
      </w:hyperlink>
    </w:p>
    <w:p>
      <w:pPr>
        <w:spacing w:after="100"/>
      </w:pPr>
      <w:r>
        <w:rPr>
          <w:b w:val="0"/>
          <w:color w:val="888888"/>
          <w:sz w:val="18"/>
        </w:rPr>
        <w:t>Karmarkar, U., Clithero, J., Raffaelli, C.</w:t>
      </w:r>
    </w:p>
    <w:p>
      <w:pPr>
        <w:spacing w:after="80"/>
      </w:pPr>
      <w:r>
        <w:rPr>
          <w:b/>
          <w:color w:val="1A1A1A"/>
          <w:sz w:val="22"/>
        </w:rPr>
        <w:t xml:space="preserve">内容简介 · </w:t>
      </w:r>
      <w:r>
        <w:rPr>
          <w:b w:val="0"/>
          <w:sz w:val="22"/>
        </w:rPr>
        <w:t>Across large samples, most people prefer to consider risks before rewards when making uncertain decisions; this sequencing preference relates to ambiguity sensitivity and predicts both information-seeking behavior and downstream choice processes and outcomes.</w:t>
      </w:r>
    </w:p>
    <w:p>
      <w:pPr>
        <w:spacing w:before="240" w:after="120"/>
      </w:pPr>
      <w:r>
        <w:rPr>
          <w:b/>
          <w:color w:val="888888"/>
          <w:sz w:val="22"/>
        </w:rPr>
        <w:t>▎ Psychological Review</w:t>
      </w:r>
    </w:p>
    <w:p>
      <w:pPr>
        <w:spacing w:after="40"/>
      </w:pPr>
      <w:r>
        <w:rPr>
          <w:b/>
          <w:color w:val="1A1A1A"/>
          <w:sz w:val="26"/>
        </w:rPr>
        <w:t xml:space="preserve">7. </w:t>
      </w:r>
      <w:hyperlink r:id="rId15">
        <w:r>
          <w:rPr>
            <w:color w:val="004B7A"/>
            <w:u w:val="single"/>
            <w:b/>
            <w:sz w:val="26"/>
          </w:rPr>
          <w:t xml:space="preserve">Cognitive mechanisms of subjective value in multiattribute pricing.</w:t>
        </w:r>
      </w:hyperlink>
    </w:p>
    <w:p>
      <w:pPr>
        <w:spacing w:after="100"/>
      </w:pPr>
      <w:r>
        <w:rPr>
          <w:b w:val="0"/>
          <w:color w:val="888888"/>
          <w:sz w:val="18"/>
        </w:rPr>
        <w:t>Fitch, A., Kvam, P.</w:t>
      </w:r>
    </w:p>
    <w:p>
      <w:pPr>
        <w:spacing w:after="80"/>
      </w:pPr>
      <w:r>
        <w:rPr>
          <w:b/>
          <w:color w:val="1A1A1A"/>
          <w:sz w:val="22"/>
        </w:rPr>
        <w:t xml:space="preserve">内容简介 · </w:t>
      </w:r>
      <w:r>
        <w:rPr>
          <w:b w:val="0"/>
          <w:sz w:val="22"/>
        </w:rPr>
        <w:t>This paper investigates the cognitive mechanisms behind subjective value in multiattribute pricing tasks, using joint computational models to examine how constructs like risk aversion, delay discounting, and anchoring differ across pricing versus choice elicitation procedures. Results suggest that a common value representation may not hold across elicitation methods.</w:t>
      </w:r>
    </w:p>
    <w:p>
      <w:pPr>
        <w:spacing w:before="120" w:after="240"/>
        <w:jc w:val="center"/>
      </w:pPr>
      <w:r>
        <w:rPr>
          <w:b w:val="0"/>
          <w:color w:val="888888"/>
          <w:sz w:val="20"/>
        </w:rPr>
        <w:t>· · ·</w:t>
      </w:r>
    </w:p>
    <w:p>
      <w:pPr>
        <w:spacing w:after="40"/>
      </w:pPr>
      <w:r>
        <w:rPr>
          <w:b/>
          <w:color w:val="1A1A1A"/>
          <w:sz w:val="26"/>
        </w:rPr>
        <w:t xml:space="preserve">8. </w:t>
      </w:r>
      <w:hyperlink r:id="rId16">
        <w:r>
          <w:rPr>
            <w:color w:val="004B7A"/>
            <w:u w:val="single"/>
            <w:b/>
            <w:sz w:val="26"/>
          </w:rPr>
          <w:t xml:space="preserve">Within-alternative processing supports transitivity of preferences in multiattribute choice.</w:t>
        </w:r>
      </w:hyperlink>
    </w:p>
    <w:p>
      <w:pPr>
        <w:spacing w:after="100"/>
      </w:pPr>
      <w:r>
        <w:rPr>
          <w:b w:val="0"/>
          <w:color w:val="888888"/>
          <w:sz w:val="18"/>
        </w:rPr>
        <w:t>Pessach, G., Tsetsos, K., Regenwetter, M., Usher, M.</w:t>
      </w:r>
    </w:p>
    <w:p>
      <w:pPr>
        <w:spacing w:after="80"/>
      </w:pPr>
      <w:r>
        <w:rPr>
          <w:b/>
          <w:color w:val="1A1A1A"/>
          <w:sz w:val="22"/>
        </w:rPr>
        <w:t xml:space="preserve">内容简介 · </w:t>
      </w:r>
      <w:r>
        <w:rPr>
          <w:b w:val="0"/>
          <w:sz w:val="22"/>
        </w:rPr>
        <w:t>This paper examines transitivity of preference violations in multiattribute choice, showing that within-alternative processing reduces such violations, and proposes heuristic-based probabilistic models to explain when and why intransitive preferences occur. It combines experimental design, cognitive modeling, and individual-differences analysis to illuminate the mechanisms behind rational vs. irrational choice behavior.</w:t>
      </w:r>
    </w:p>
    <w:p>
      <w:pPr>
        <w:spacing w:before="240" w:after="120"/>
      </w:pPr>
      <w:r>
        <w:rPr>
          <w:b/>
          <w:color w:val="888888"/>
          <w:sz w:val="22"/>
        </w:rPr>
        <w:t>▎ Cognitive Psychology</w:t>
      </w:r>
    </w:p>
    <w:p>
      <w:pPr>
        <w:spacing w:after="40"/>
      </w:pPr>
      <w:r>
        <w:rPr>
          <w:b/>
          <w:color w:val="1A1A1A"/>
          <w:sz w:val="26"/>
        </w:rPr>
        <w:t xml:space="preserve">9. </w:t>
      </w:r>
      <w:hyperlink r:id="rId17">
        <w:r>
          <w:rPr>
            <w:color w:val="004B7A"/>
            <w:u w:val="single"/>
            <w:b/>
            <w:sz w:val="26"/>
          </w:rPr>
          <w:t xml:space="preserve">Separating decision and motor contributions to behavioral biases induced by manipulating stimulus probability</w:t>
        </w:r>
      </w:hyperlink>
    </w:p>
    <w:p>
      <w:pPr>
        <w:spacing w:after="100"/>
      </w:pPr>
      <w:r>
        <w:rPr>
          <w:b w:val="0"/>
          <w:color w:val="888888"/>
          <w:sz w:val="18"/>
        </w:rPr>
        <w:t>Dendauw, E., Logan, G., Schall, J., Gajdos Preuss, T., Servant, M.</w:t>
      </w:r>
    </w:p>
    <w:p>
      <w:pPr>
        <w:spacing w:after="80"/>
      </w:pPr>
      <w:r>
        <w:rPr>
          <w:b/>
          <w:color w:val="1A1A1A"/>
          <w:sz w:val="22"/>
        </w:rPr>
        <w:t xml:space="preserve">内容简介 · </w:t>
      </w:r>
      <w:r>
        <w:rPr>
          <w:b w:val="0"/>
          <w:sz w:val="22"/>
        </w:rPr>
        <w:t>Using EMG recordings during a random dot motion task and a gated cascade diffusion model, the paper separates how stimulus probability manipulations bias evidence accumulation (via drift-rate bias) versus motor preparation (via urgency signal), explaining choice and response-time asymmetries across the decision-motor cascade.</w:t>
      </w:r>
    </w:p>
    <w:p>
      <w:pPr>
        <w:spacing w:before="240" w:after="120"/>
      </w:pPr>
      <w:r>
        <w:rPr>
          <w:b/>
          <w:color w:val="888888"/>
          <w:sz w:val="22"/>
        </w:rPr>
        <w:t>▎ Journal of Behavioral and Experimental Economics</w:t>
      </w:r>
    </w:p>
    <w:p>
      <w:pPr>
        <w:spacing w:after="40"/>
      </w:pPr>
      <w:r>
        <w:rPr>
          <w:b/>
          <w:color w:val="1A1A1A"/>
          <w:sz w:val="26"/>
        </w:rPr>
        <w:t xml:space="preserve">10. </w:t>
      </w:r>
      <w:hyperlink r:id="rId18">
        <w:r>
          <w:rPr>
            <w:color w:val="004B7A"/>
            <w:u w:val="single"/>
            <w:b/>
            <w:sz w:val="26"/>
          </w:rPr>
          <w:t xml:space="preserve">Ordered to attract: The dynamics of attraction effect in simultaneous and sequential value-based choice tasks</w:t>
        </w:r>
      </w:hyperlink>
    </w:p>
    <w:p>
      <w:pPr>
        <w:spacing w:after="100"/>
      </w:pPr>
      <w:r>
        <w:rPr>
          <w:b w:val="0"/>
          <w:color w:val="888888"/>
          <w:sz w:val="18"/>
        </w:rPr>
        <w:t>Marini, M., Munini, S., Paravani, S., Paglieri, F.</w:t>
      </w:r>
    </w:p>
    <w:p>
      <w:pPr>
        <w:spacing w:after="80"/>
      </w:pPr>
      <w:r>
        <w:rPr>
          <w:b/>
          <w:color w:val="1A1A1A"/>
          <w:sz w:val="22"/>
        </w:rPr>
        <w:t xml:space="preserve">内容简介 · </w:t>
      </w:r>
      <w:r>
        <w:rPr>
          <w:b w:val="0"/>
          <w:sz w:val="22"/>
        </w:rPr>
        <w:t>This study examines how presentation order and modality (simultaneous vs. sequential) influence the attraction effect in value-based choice tasks, finding that spatial proximity matters for simultaneous presentation while temporal proximity is irrelevant for sequential presentation.</w:t>
      </w:r>
    </w:p>
    <w:p>
      <w:pPr>
        <w:spacing w:before="240" w:after="120"/>
      </w:pPr>
      <w:r>
        <w:rPr>
          <w:b/>
          <w:color w:val="888888"/>
          <w:sz w:val="22"/>
        </w:rPr>
        <w:t>▎ Cognition</w:t>
      </w:r>
    </w:p>
    <w:p>
      <w:pPr>
        <w:spacing w:after="40"/>
      </w:pPr>
      <w:r>
        <w:rPr>
          <w:b/>
          <w:color w:val="1A1A1A"/>
          <w:sz w:val="26"/>
        </w:rPr>
        <w:t xml:space="preserve">11. </w:t>
      </w:r>
      <w:hyperlink r:id="rId19">
        <w:r>
          <w:rPr>
            <w:color w:val="004B7A"/>
            <w:u w:val="single"/>
            <w:b/>
            <w:sz w:val="26"/>
          </w:rPr>
          <w:t xml:space="preserve">The inferred value of unchosen options spreads to related items in memory</w:t>
        </w:r>
      </w:hyperlink>
    </w:p>
    <w:p>
      <w:pPr>
        <w:spacing w:after="100"/>
      </w:pPr>
      <w:r>
        <w:rPr>
          <w:b w:val="0"/>
          <w:color w:val="888888"/>
          <w:sz w:val="18"/>
        </w:rPr>
        <w:t>Wang, Z., Li, X., Bakkour, A.</w:t>
      </w:r>
    </w:p>
    <w:p>
      <w:pPr>
        <w:spacing w:after="80"/>
      </w:pPr>
      <w:r>
        <w:rPr>
          <w:b/>
          <w:color w:val="1A1A1A"/>
          <w:sz w:val="22"/>
        </w:rPr>
        <w:t xml:space="preserve">内容简介 · </w:t>
      </w:r>
      <w:r>
        <w:rPr>
          <w:b w:val="0"/>
          <w:sz w:val="22"/>
        </w:rPr>
        <w:t>This study shows that the inferred value of unchosen options (derived via counterfactual thinking) spreads through semantic memory to novel related items, influencing future choices — demonstrating how memory and counterfactual reasoning jointly shape adaptive decision making.</w:t>
      </w:r>
    </w:p>
    <w:p>
      <w:pPr>
        <w:spacing w:before="120" w:after="240"/>
        <w:jc w:val="center"/>
      </w:pPr>
      <w:r>
        <w:rPr>
          <w:b w:val="0"/>
          <w:color w:val="888888"/>
          <w:sz w:val="20"/>
        </w:rPr>
        <w:t>· · ·</w:t>
      </w:r>
    </w:p>
    <w:p>
      <w:pPr>
        <w:spacing w:after="40"/>
      </w:pPr>
      <w:r>
        <w:rPr>
          <w:b/>
          <w:color w:val="1A1A1A"/>
          <w:sz w:val="26"/>
        </w:rPr>
        <w:t xml:space="preserve">12. </w:t>
      </w:r>
      <w:hyperlink r:id="rId20">
        <w:r>
          <w:rPr>
            <w:color w:val="004B7A"/>
            <w:u w:val="single"/>
            <w:b/>
            <w:sz w:val="26"/>
          </w:rPr>
          <w:t xml:space="preserve">Stimulus reliability but not boundary distance manipulations violate the folded-X pattern of confidence</w:t>
        </w:r>
      </w:hyperlink>
    </w:p>
    <w:p>
      <w:pPr>
        <w:spacing w:after="100"/>
      </w:pPr>
      <w:r>
        <w:rPr>
          <w:b w:val="0"/>
          <w:color w:val="888888"/>
          <w:sz w:val="18"/>
        </w:rPr>
        <w:t>Xue, K., Fung, H., Rahnev, D.</w:t>
      </w:r>
    </w:p>
    <w:p>
      <w:pPr>
        <w:spacing w:after="80"/>
      </w:pPr>
      <w:r>
        <w:rPr>
          <w:b/>
          <w:color w:val="1A1A1A"/>
          <w:sz w:val="22"/>
        </w:rPr>
        <w:t xml:space="preserve">内容简介 · </w:t>
      </w:r>
      <w:r>
        <w:rPr>
          <w:b w:val="0"/>
          <w:sz w:val="22"/>
        </w:rPr>
        <w:t>This paper tests how different stimulus manipulations (sensory reliability vs. boundary distance) produce distinct patterns of confidence (folded-X vs. double-increase) in perceptual decisions, finding that human confidence differs from ANN predictions and that reaction times largely mirror confidence patterns.</w:t>
      </w:r>
    </w:p>
    <w:p>
      <w:pPr>
        <w:spacing w:before="240" w:after="120"/>
      </w:pPr>
      <w:r>
        <w:rPr>
          <w:b/>
          <w:color w:val="888888"/>
          <w:sz w:val="22"/>
        </w:rPr>
        <w:t>▎ Trends in Cognitive Sciences</w:t>
      </w:r>
    </w:p>
    <w:p>
      <w:pPr>
        <w:spacing w:after="40"/>
      </w:pPr>
      <w:r>
        <w:rPr>
          <w:b/>
          <w:color w:val="1A1A1A"/>
          <w:sz w:val="26"/>
        </w:rPr>
        <w:t xml:space="preserve">13. </w:t>
      </w:r>
      <w:hyperlink r:id="rId21">
        <w:r>
          <w:rPr>
            <w:color w:val="004B7A"/>
            <w:u w:val="single"/>
            <w:b/>
            <w:sz w:val="26"/>
          </w:rPr>
          <w:t xml:space="preserve">Why is cognitive effort experienced as costly?</w:t>
        </w:r>
      </w:hyperlink>
    </w:p>
    <w:p>
      <w:pPr>
        <w:spacing w:after="100"/>
      </w:pPr>
      <w:r>
        <w:rPr>
          <w:b w:val="0"/>
          <w:color w:val="888888"/>
          <w:sz w:val="18"/>
        </w:rPr>
        <w:t>Otto, A., Westbrook, A., Daunizeau, J.</w:t>
      </w:r>
    </w:p>
    <w:p>
      <w:pPr>
        <w:spacing w:after="80"/>
      </w:pPr>
      <w:r>
        <w:rPr>
          <w:b/>
          <w:color w:val="1A1A1A"/>
          <w:sz w:val="22"/>
        </w:rPr>
        <w:t xml:space="preserve">内容简介 · </w:t>
      </w:r>
      <w:r>
        <w:rPr>
          <w:b w:val="0"/>
          <w:sz w:val="22"/>
        </w:rPr>
        <w:t>This review examines why cognitive effort is experienced as costly, comparing information-theoretic, psychological, and biological theoretical accounts of how controlled information processing gives rise to subjective effort costs and effort-based preferences.</w:t>
      </w:r>
    </w:p>
    <w:p>
      <w:pPr>
        <w:spacing w:before="240" w:after="120"/>
      </w:pPr>
      <w:r>
        <w:rPr>
          <w:b/>
          <w:color w:val="888888"/>
          <w:sz w:val="22"/>
        </w:rPr>
        <w:t>▎ PLOS Computational Biology</w:t>
      </w:r>
    </w:p>
    <w:p>
      <w:pPr>
        <w:spacing w:after="40"/>
      </w:pPr>
      <w:r>
        <w:rPr>
          <w:b/>
          <w:color w:val="1A1A1A"/>
          <w:sz w:val="26"/>
        </w:rPr>
        <w:t xml:space="preserve">14. </w:t>
      </w:r>
      <w:hyperlink r:id="rId22">
        <w:r>
          <w:rPr>
            <w:color w:val="004B7A"/>
            <w:u w:val="single"/>
            <w:b/>
            <w:sz w:val="26"/>
          </w:rPr>
          <w:t xml:space="preserve">cpm: A python library for theory-driven modelling in computational psychiatry</w:t>
        </w:r>
      </w:hyperlink>
    </w:p>
    <w:p>
      <w:pPr>
        <w:spacing w:after="100"/>
      </w:pPr>
      <w:r>
        <w:rPr>
          <w:b w:val="0"/>
          <w:color w:val="888888"/>
          <w:sz w:val="18"/>
        </w:rPr>
        <w:t>Dome, L., Hezemans, F., Kadri, K., Wagner, B., Webb, A., Hauser, T.</w:t>
      </w:r>
    </w:p>
    <w:p>
      <w:pPr>
        <w:spacing w:after="80"/>
      </w:pPr>
      <w:r>
        <w:rPr>
          <w:b/>
          <w:color w:val="1A1A1A"/>
          <w:sz w:val="22"/>
        </w:rPr>
        <w:t xml:space="preserve">内容简介 · </w:t>
      </w:r>
      <w:r>
        <w:rPr>
          <w:b w:val="0"/>
          <w:sz w:val="22"/>
        </w:rPr>
        <w:t>This paper presents a Python library (cpm) for computational psychiatry and cognitive modeling, supporting tasks like risky decision-making and reward learning, with hierarchical Bayesian and variational estimation methods.</w:t>
      </w:r>
    </w:p>
    <w:p>
      <w:pPr>
        <w:spacing w:before="480" w:after="40"/>
      </w:pPr>
      <w:r>
        <w:rPr>
          <w:b/>
          <w:color w:val="3D3A78"/>
          <w:sz w:val="30"/>
        </w:rPr>
        <w:t>Ⅲ  神经科学 · Neuroscience（3）</w:t>
      </w:r>
    </w:p>
    <w:p>
      <w:pPr>
        <w:spacing w:before="240" w:after="120"/>
      </w:pPr>
      <w:r>
        <w:rPr>
          <w:b/>
          <w:color w:val="888888"/>
          <w:sz w:val="22"/>
        </w:rPr>
        <w:t>▎ Trends in Cognitive Sciences</w:t>
      </w:r>
    </w:p>
    <w:p>
      <w:pPr>
        <w:spacing w:after="40"/>
      </w:pPr>
      <w:r>
        <w:rPr>
          <w:b/>
          <w:color w:val="1A1A1A"/>
          <w:sz w:val="26"/>
        </w:rPr>
        <w:t xml:space="preserve">15. </w:t>
      </w:r>
      <w:hyperlink r:id="rId23">
        <w:r>
          <w:rPr>
            <w:color w:val="004B7A"/>
            <w:u w:val="single"/>
            <w:b/>
            <w:sz w:val="26"/>
          </w:rPr>
          <w:t xml:space="preserve">Rhythmic sampling of decision alternatives through attention</w:t>
        </w:r>
      </w:hyperlink>
    </w:p>
    <w:p>
      <w:pPr>
        <w:spacing w:after="100"/>
      </w:pPr>
      <w:r>
        <w:rPr>
          <w:b w:val="0"/>
          <w:color w:val="888888"/>
          <w:sz w:val="18"/>
        </w:rPr>
        <w:t>Valizadeh, A.</w:t>
      </w:r>
    </w:p>
    <w:p>
      <w:pPr>
        <w:spacing w:after="80"/>
      </w:pPr>
      <w:r>
        <w:rPr>
          <w:b/>
          <w:color w:val="1A1A1A"/>
          <w:sz w:val="22"/>
        </w:rPr>
        <w:t xml:space="preserve">内容简介 · </w:t>
      </w:r>
      <w:r>
        <w:rPr>
          <w:b w:val="0"/>
          <w:sz w:val="22"/>
        </w:rPr>
        <w:t>The paper investigates how attention oscillates rhythmically between decision alternatives during deliberation, suggesting a sampling mechanism underlying the allocation of attentional resources to choice options. This work connects attentional dynamics to decision-making processes at a process level.</w:t>
      </w:r>
    </w:p>
    <w:p>
      <w:pPr>
        <w:spacing w:before="240" w:after="120"/>
      </w:pPr>
      <w:r>
        <w:rPr>
          <w:b/>
          <w:color w:val="888888"/>
          <w:sz w:val="22"/>
        </w:rPr>
        <w:t>▎ Nature Communications</w:t>
      </w:r>
    </w:p>
    <w:p>
      <w:pPr>
        <w:spacing w:after="40"/>
      </w:pPr>
      <w:r>
        <w:rPr>
          <w:b/>
          <w:color w:val="1A1A1A"/>
          <w:sz w:val="26"/>
        </w:rPr>
        <w:t xml:space="preserve">16. </w:t>
      </w:r>
      <w:hyperlink r:id="rId24">
        <w:r>
          <w:rPr>
            <w:color w:val="004B7A"/>
            <w:u w:val="single"/>
            <w:b/>
            <w:sz w:val="26"/>
          </w:rPr>
          <w:t xml:space="preserve">Closed-loop readout of anterior insula high-gamma activity steers value-based decisions</w:t>
        </w:r>
      </w:hyperlink>
    </w:p>
    <w:p>
      <w:pPr>
        <w:spacing w:after="100"/>
      </w:pPr>
      <w:r>
        <w:rPr>
          <w:b w:val="0"/>
          <w:color w:val="888888"/>
          <w:sz w:val="18"/>
        </w:rPr>
        <w:t>Baratin, C., Pessiglione, M., Kahane, P., Robin, A., Minotti, L., Becq, G., Bastin, J.</w:t>
      </w:r>
    </w:p>
    <w:p>
      <w:pPr>
        <w:spacing w:after="80"/>
      </w:pPr>
      <w:r>
        <w:rPr>
          <w:b/>
          <w:color w:val="1A1A1A"/>
          <w:sz w:val="22"/>
        </w:rPr>
        <w:t xml:space="preserve">内容简介 · </w:t>
      </w:r>
      <w:r>
        <w:rPr>
          <w:b w:val="0"/>
          <w:sz w:val="22"/>
        </w:rPr>
        <w:t>Using a closed-loop intracranial BCI, the authors show that spontaneous high-gamma activity fluctuations in the anterior insula causally bias value-based accept/reject decisions involving trade-offs between pleasant and unpleasant outcomes, demonstrating that intrinsic brain states contribute to choice variability.</w:t>
      </w:r>
    </w:p>
    <w:p>
      <w:pPr>
        <w:spacing w:before="240" w:after="120"/>
      </w:pPr>
      <w:r>
        <w:rPr>
          <w:b/>
          <w:color w:val="888888"/>
          <w:sz w:val="22"/>
        </w:rPr>
        <w:t>▎ eLife</w:t>
      </w:r>
    </w:p>
    <w:p>
      <w:pPr>
        <w:spacing w:after="40"/>
      </w:pPr>
      <w:r>
        <w:rPr>
          <w:b/>
          <w:color w:val="1A1A1A"/>
          <w:sz w:val="26"/>
        </w:rPr>
        <w:t xml:space="preserve">17. </w:t>
      </w:r>
      <w:hyperlink r:id="rId25">
        <w:r>
          <w:rPr>
            <w:color w:val="004B7A"/>
            <w:u w:val="single"/>
            <w:b/>
            <w:sz w:val="26"/>
          </w:rPr>
          <w:t xml:space="preserve">Distinct involvements of the subthalamic nucleus subpopulations in reward-biased decision-making in monkeys</w:t>
        </w:r>
      </w:hyperlink>
    </w:p>
    <w:p>
      <w:pPr>
        <w:spacing w:after="100"/>
      </w:pPr>
      <w:r>
        <w:rPr>
          <w:b w:val="0"/>
          <w:color w:val="888888"/>
          <w:sz w:val="18"/>
        </w:rPr>
        <w:t>Branam, K., Gold, J., Ding, L.</w:t>
      </w:r>
    </w:p>
    <w:p>
      <w:pPr>
        <w:spacing w:after="80"/>
      </w:pPr>
      <w:r>
        <w:rPr>
          <w:b/>
          <w:color w:val="1A1A1A"/>
          <w:sz w:val="22"/>
        </w:rPr>
        <w:t xml:space="preserve">内容简介 · </w:t>
      </w:r>
      <w:r>
        <w:rPr>
          <w:b w:val="0"/>
          <w:sz w:val="22"/>
        </w:rPr>
        <w:t>This study examines how distinct subthalamic nucleus neuron subpopulations in monkeys contribute to decisions combining perceptual and reward information, mapping their activity onto drift-diffusion model components including the decision variable, bound dynamics, and non-decision processes.</w:t>
      </w:r>
    </w:p>
    <w:p>
      <w:pPr>
        <w:spacing w:before="320" w:after="0"/>
        <w:jc w:val="center"/>
      </w:pPr>
      <w:r>
        <w:rPr>
          <w:b w:val="0"/>
          <w:color w:val="888888"/>
          <w:sz w:val="18"/>
        </w:rPr>
        <w:t>点击文末「阅读原文」查看全部论文与可点击的 DOI 链接。</w:t>
      </w:r>
    </w:p>
    <w:p>
      <w:pPr>
        <w:jc w:val="center"/>
      </w:pPr>
      <w:r>
        <w:rPr>
          <w:b w:val="0"/>
          <w:color w:val="888888"/>
          <w:sz w:val="16"/>
        </w:rPr>
        <w:t>由自动化文献管线生成；摘要与推荐理由由模型自动生成，可能不完整，请以原文为准。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socec.2026.102611" TargetMode="External"/><Relationship Id="rId10" Type="http://schemas.openxmlformats.org/officeDocument/2006/relationships/hyperlink" Target="https://doi.org/10.1016/j.socec.2026.102573" TargetMode="External"/><Relationship Id="rId11" Type="http://schemas.openxmlformats.org/officeDocument/2006/relationships/hyperlink" Target="https://doi.org/10.1007/s11238-026-10146-3" TargetMode="External"/><Relationship Id="rId12" Type="http://schemas.openxmlformats.org/officeDocument/2006/relationships/hyperlink" Target="https://doi.org/10.1007/s11166-026-09494-w" TargetMode="External"/><Relationship Id="rId13" Type="http://schemas.openxmlformats.org/officeDocument/2006/relationships/hyperlink" Target="https://doi.org/10.1037/xlm0001532" TargetMode="External"/><Relationship Id="rId14" Type="http://schemas.openxmlformats.org/officeDocument/2006/relationships/hyperlink" Target="https://doi.org/10.1037/xge0001941" TargetMode="External"/><Relationship Id="rId15" Type="http://schemas.openxmlformats.org/officeDocument/2006/relationships/hyperlink" Target="https://doi.org/10.1037/rev0000594" TargetMode="External"/><Relationship Id="rId16" Type="http://schemas.openxmlformats.org/officeDocument/2006/relationships/hyperlink" Target="https://doi.org/10.1037/rev0000587" TargetMode="External"/><Relationship Id="rId17" Type="http://schemas.openxmlformats.org/officeDocument/2006/relationships/hyperlink" Target="https://doi.org/10.1016/j.cogpsych.2026.101818" TargetMode="External"/><Relationship Id="rId18" Type="http://schemas.openxmlformats.org/officeDocument/2006/relationships/hyperlink" Target="https://doi.org/10.1016/j.socec.2026.102601" TargetMode="External"/><Relationship Id="rId19" Type="http://schemas.openxmlformats.org/officeDocument/2006/relationships/hyperlink" Target="https://doi.org/10.1016/j.cognition.2026.106508" TargetMode="External"/><Relationship Id="rId20" Type="http://schemas.openxmlformats.org/officeDocument/2006/relationships/hyperlink" Target="https://doi.org/10.1016/j.cognition.2026.106490" TargetMode="External"/><Relationship Id="rId21" Type="http://schemas.openxmlformats.org/officeDocument/2006/relationships/hyperlink" Target="https://doi.org/10.1016/j.tics.2025.10.012" TargetMode="External"/><Relationship Id="rId22" Type="http://schemas.openxmlformats.org/officeDocument/2006/relationships/hyperlink" Target="https://doi.org/10.1371/journal.pcbi.1014481" TargetMode="External"/><Relationship Id="rId23" Type="http://schemas.openxmlformats.org/officeDocument/2006/relationships/hyperlink" Target="https://doi.org/10.1016/j.tics.2026.04.010" TargetMode="External"/><Relationship Id="rId24" Type="http://schemas.openxmlformats.org/officeDocument/2006/relationships/hyperlink" Target="https://doi.org/10.1038/s41467-026-75265-5" TargetMode="External"/><Relationship Id="rId25" Type="http://schemas.openxmlformats.org/officeDocument/2006/relationships/hyperlink" Target="https://doi.org/10.7554/elife.1096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