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4B7A"/>
          <w:sz w:val="40"/>
        </w:rPr>
        <w:t>文献汇总：5月下</w:t>
      </w:r>
    </w:p>
    <w:p>
      <w:pPr>
        <w:spacing w:after="200"/>
        <w:jc w:val="center"/>
      </w:pPr>
      <w:r>
        <w:rPr>
          <w:b w:val="0"/>
          <w:color w:val="888888"/>
          <w:sz w:val="18"/>
        </w:rPr>
        <w:t>2026-05-16 → 2026-05-31 · 共 13 篇</w:t>
      </w:r>
    </w:p>
    <w:p>
      <w:pPr>
        <w:spacing w:before="400" w:after="160"/>
      </w:pPr>
      <w:r>
        <w:rPr>
          <w:b/>
          <w:color w:val="004B7A"/>
          <w:sz w:val="24"/>
        </w:rPr>
        <w:t>▎ Management Science</w:t>
      </w:r>
    </w:p>
    <w:p>
      <w:pPr>
        <w:spacing w:after="40"/>
      </w:pPr>
      <w:r>
        <w:rPr>
          <w:b/>
          <w:color w:val="1A1A1A"/>
          <w:sz w:val="26"/>
        </w:rPr>
        <w:t xml:space="preserve">1. </w:t>
      </w:r>
      <w:hyperlink r:id="rId9">
        <w:r>
          <w:rPr>
            <w:color w:val="004B7A"/>
            <w:u w:val="single"/>
            <w:b/>
            <w:sz w:val="26"/>
          </w:rPr>
          <w:t xml:space="preserve">Why Is Choice Stochastic? Deliberate Randomization vs. Strength of Preference</w:t>
        </w:r>
      </w:hyperlink>
    </w:p>
    <w:p>
      <w:pPr>
        <w:spacing w:after="100"/>
      </w:pPr>
      <w:r>
        <w:rPr>
          <w:b w:val="0"/>
          <w:color w:val="888888"/>
          <w:sz w:val="18"/>
        </w:rPr>
        <w:t>Alós-Ferrer, C., Buckenmaier, J., Garagnani, M., Rustichini, A.</w:t>
      </w:r>
    </w:p>
    <w:p>
      <w:pPr>
        <w:spacing w:after="80"/>
      </w:pPr>
      <w:r>
        <w:rPr>
          <w:b/>
          <w:color w:val="1A1A1A"/>
          <w:sz w:val="22"/>
        </w:rPr>
        <w:t xml:space="preserve">内容简介 · </w:t>
      </w:r>
      <w:r>
        <w:rPr>
          <w:b w:val="0"/>
          <w:sz w:val="22"/>
        </w:rPr>
        <w:t>This paper examines why choices are inconsistent, testing whether stochastic choice reflects deliberate randomization preferences or proximity to indifference (strength-of-preference effects). Using preregistered experiments, it finds that choice inconsistency is primarily driven by strength-of-preference effects rather than explicit preferences for randomization.</w:t>
      </w:r>
    </w:p>
    <w:p>
      <w:pPr>
        <w:spacing w:before="120" w:after="240"/>
        <w:jc w:val="center"/>
      </w:pPr>
      <w:r>
        <w:rPr>
          <w:b w:val="0"/>
          <w:color w:val="888888"/>
          <w:sz w:val="20"/>
        </w:rPr>
        <w:t>· · ·</w:t>
      </w:r>
    </w:p>
    <w:p>
      <w:pPr>
        <w:spacing w:after="40"/>
      </w:pPr>
      <w:r>
        <w:rPr>
          <w:b/>
          <w:color w:val="1A1A1A"/>
          <w:sz w:val="26"/>
        </w:rPr>
        <w:t xml:space="preserve">2. </w:t>
      </w:r>
      <w:hyperlink r:id="rId10">
        <w:r>
          <w:rPr>
            <w:color w:val="004B7A"/>
            <w:u w:val="single"/>
            <w:b/>
            <w:sz w:val="26"/>
          </w:rPr>
          <w:t xml:space="preserve">Attention in Motion: Using Scroll Tracking to Measure the Dynamics of Preferential Choice</w:t>
        </w:r>
      </w:hyperlink>
    </w:p>
    <w:p>
      <w:pPr>
        <w:spacing w:after="100"/>
      </w:pPr>
      <w:r>
        <w:rPr>
          <w:b w:val="0"/>
          <w:color w:val="888888"/>
          <w:sz w:val="18"/>
        </w:rPr>
        <w:t>Leppänen, I.</w:t>
      </w:r>
    </w:p>
    <w:p>
      <w:pPr>
        <w:spacing w:after="80"/>
      </w:pPr>
      <w:r>
        <w:rPr>
          <w:b/>
          <w:color w:val="1A1A1A"/>
          <w:sz w:val="22"/>
        </w:rPr>
        <w:t xml:space="preserve">内容简介 · </w:t>
      </w:r>
      <w:r>
        <w:rPr>
          <w:b w:val="0"/>
          <w:sz w:val="22"/>
        </w:rPr>
        <w:t>This paper introduces scroll tracking as a novel process-tracing method for studying decision making on mobile devices, capturing attention dynamics via scrolling behavior. The method is validated against attentional evidence accumulation and drift diffusion models, and shown to predict subjective valuations and risk attitudes.</w:t>
      </w:r>
    </w:p>
    <w:p>
      <w:pPr>
        <w:spacing w:before="120" w:after="240"/>
        <w:jc w:val="center"/>
      </w:pPr>
      <w:r>
        <w:rPr>
          <w:b w:val="0"/>
          <w:color w:val="888888"/>
          <w:sz w:val="20"/>
        </w:rPr>
        <w:t>· · ·</w:t>
      </w:r>
    </w:p>
    <w:p>
      <w:pPr>
        <w:spacing w:after="40"/>
      </w:pPr>
      <w:r>
        <w:rPr>
          <w:b/>
          <w:color w:val="1A1A1A"/>
          <w:sz w:val="26"/>
        </w:rPr>
        <w:t xml:space="preserve">3. </w:t>
      </w:r>
      <w:hyperlink r:id="rId11">
        <w:r>
          <w:rPr>
            <w:color w:val="004B7A"/>
            <w:u w:val="single"/>
            <w:b/>
            <w:sz w:val="26"/>
          </w:rPr>
          <w:t xml:space="preserve">Fifty Years of Anchoring Effects: A Theoretical Reintegration and Meta-Analysis</w:t>
        </w:r>
      </w:hyperlink>
    </w:p>
    <w:p>
      <w:pPr>
        <w:spacing w:after="100"/>
      </w:pPr>
      <w:r>
        <w:rPr>
          <w:b w:val="0"/>
          <w:color w:val="888888"/>
          <w:sz w:val="18"/>
        </w:rPr>
        <w:t>Schley, D., Weingarten, E.</w:t>
      </w:r>
    </w:p>
    <w:p>
      <w:pPr>
        <w:spacing w:after="80"/>
      </w:pPr>
      <w:r>
        <w:rPr>
          <w:b/>
          <w:color w:val="1A1A1A"/>
          <w:sz w:val="22"/>
        </w:rPr>
        <w:t xml:space="preserve">内容简介 · </w:t>
      </w:r>
      <w:r>
        <w:rPr>
          <w:b w:val="0"/>
          <w:sz w:val="22"/>
        </w:rPr>
        <w:t>This paper meta-analyzes 50 years of anchoring research across 2,601 effect sizes, finding a large and robust effect of numeric anchors on human judgment, and reviews theoretical accounts and boundary conditions such as incentives, debiasing, and anchor type.</w:t>
      </w:r>
    </w:p>
    <w:p>
      <w:pPr>
        <w:spacing w:before="400" w:after="160"/>
      </w:pPr>
      <w:r>
        <w:rPr>
          <w:b/>
          <w:color w:val="004B7A"/>
          <w:sz w:val="24"/>
        </w:rPr>
        <w:t>▎ Journal of Risk and Uncertainty</w:t>
      </w:r>
    </w:p>
    <w:p>
      <w:pPr>
        <w:spacing w:after="40"/>
      </w:pPr>
      <w:r>
        <w:rPr>
          <w:b/>
          <w:color w:val="1A1A1A"/>
          <w:sz w:val="26"/>
        </w:rPr>
        <w:t xml:space="preserve">4. </w:t>
      </w:r>
      <w:hyperlink r:id="rId12">
        <w:r>
          <w:rPr>
            <w:color w:val="004B7A"/>
            <w:u w:val="single"/>
            <w:b/>
            <w:sz w:val="26"/>
          </w:rPr>
          <w:t xml:space="preserve">Risk, Ambiguity, and the gender gap in tournament entry</w:t>
        </w:r>
      </w:hyperlink>
    </w:p>
    <w:p>
      <w:pPr>
        <w:spacing w:after="100"/>
      </w:pPr>
      <w:r>
        <w:rPr>
          <w:b w:val="0"/>
          <w:color w:val="888888"/>
          <w:sz w:val="18"/>
        </w:rPr>
        <w:t>Boosey, L., Büyükboyacı, M., İntişah, M.</w:t>
      </w:r>
    </w:p>
    <w:p>
      <w:pPr>
        <w:spacing w:after="80"/>
      </w:pPr>
      <w:r>
        <w:rPr>
          <w:b/>
          <w:color w:val="1A1A1A"/>
          <w:sz w:val="22"/>
        </w:rPr>
        <w:t xml:space="preserve">内容简介 · </w:t>
      </w:r>
      <w:r>
        <w:rPr>
          <w:b w:val="0"/>
          <w:sz w:val="22"/>
        </w:rPr>
        <w:t>This experimental study investigates how risk, ambiguity, and complexity influence individuals' decisions to enter rank-order tournaments, finding that ambiguity (unknown noise distributions) suppresses women's tournament entry and competitiveness but not men's, while risk and complexity show no gender gap effects.</w:t>
      </w:r>
    </w:p>
    <w:p>
      <w:pPr>
        <w:spacing w:before="120" w:after="240"/>
        <w:jc w:val="center"/>
      </w:pPr>
      <w:r>
        <w:rPr>
          <w:b w:val="0"/>
          <w:color w:val="888888"/>
          <w:sz w:val="20"/>
        </w:rPr>
        <w:t>· · ·</w:t>
      </w:r>
    </w:p>
    <w:p>
      <w:pPr>
        <w:spacing w:after="40"/>
      </w:pPr>
      <w:r>
        <w:rPr>
          <w:b/>
          <w:color w:val="1A1A1A"/>
          <w:sz w:val="26"/>
        </w:rPr>
        <w:t xml:space="preserve">5. </w:t>
      </w:r>
      <w:hyperlink r:id="rId13">
        <w:r>
          <w:rPr>
            <w:color w:val="004B7A"/>
            <w:u w:val="single"/>
            <w:b/>
            <w:sz w:val="26"/>
          </w:rPr>
          <w:t xml:space="preserve">Trusting human versus machine predictions as a decision under ambiguity</w:t>
        </w:r>
      </w:hyperlink>
    </w:p>
    <w:p>
      <w:pPr>
        <w:spacing w:after="100"/>
      </w:pPr>
      <w:r>
        <w:rPr>
          <w:b w:val="0"/>
          <w:color w:val="888888"/>
          <w:sz w:val="18"/>
        </w:rPr>
        <w:t>Diecidue, E., Guecioueur, A., Xia, Q.</w:t>
      </w:r>
    </w:p>
    <w:p>
      <w:pPr>
        <w:spacing w:after="80"/>
      </w:pPr>
      <w:r>
        <w:rPr>
          <w:b/>
          <w:color w:val="1A1A1A"/>
          <w:sz w:val="22"/>
        </w:rPr>
        <w:t xml:space="preserve">内容简介 · </w:t>
      </w:r>
      <w:r>
        <w:rPr>
          <w:b w:val="0"/>
          <w:sz w:val="22"/>
        </w:rPr>
        <w:t>This lab experiment examines how individuals' ambiguity attitudes—specifically ambiguity-seeking and insensitivity to likelihood changes—affect their trust in human versus machine (ML) financial forecasters, finding that ambiguity insensitivity acts as a cognitive barrier between beliefs and actual trust behavior.</w:t>
      </w:r>
    </w:p>
    <w:p>
      <w:pPr>
        <w:spacing w:before="400" w:after="160"/>
      </w:pPr>
      <w:r>
        <w:rPr>
          <w:b/>
          <w:color w:val="004B7A"/>
          <w:sz w:val="24"/>
        </w:rPr>
        <w:t>▎ PNAS</w:t>
      </w:r>
    </w:p>
    <w:p>
      <w:pPr>
        <w:spacing w:after="40"/>
      </w:pPr>
      <w:r>
        <w:rPr>
          <w:b/>
          <w:color w:val="1A1A1A"/>
          <w:sz w:val="26"/>
        </w:rPr>
        <w:t xml:space="preserve">6. </w:t>
      </w:r>
      <w:hyperlink r:id="rId14">
        <w:r>
          <w:rPr>
            <w:color w:val="004B7A"/>
            <w:u w:val="single"/>
            <w:b/>
            <w:sz w:val="26"/>
          </w:rPr>
          <w:t xml:space="preserve">Decisional reference point pathology: A cognitive mechanism for and a correlate of major depressive disorder in humans</w:t>
        </w:r>
      </w:hyperlink>
    </w:p>
    <w:p>
      <w:pPr>
        <w:spacing w:after="100"/>
      </w:pPr>
      <w:r>
        <w:rPr>
          <w:b w:val="0"/>
          <w:color w:val="888888"/>
          <w:sz w:val="18"/>
        </w:rPr>
        <w:t>Vittala, A., Wu, L., Yan, D., Liebers, D., Tell, E., Song, X., Dashti, D., Louie, K., Raio, C., Iosifescu, D., Glimcher, P.</w:t>
      </w:r>
    </w:p>
    <w:p>
      <w:pPr>
        <w:spacing w:after="80"/>
      </w:pPr>
      <w:r>
        <w:rPr>
          <w:b/>
          <w:color w:val="1A1A1A"/>
          <w:sz w:val="22"/>
        </w:rPr>
        <w:t xml:space="preserve">内容简介 · </w:t>
      </w:r>
      <w:r>
        <w:rPr>
          <w:b w:val="0"/>
          <w:sz w:val="22"/>
        </w:rPr>
        <w:t>This paper tests whether major depressive disorder is associated with a pathologically elevated and inflexible decisional reference point, finding that depression severity correlates with reference point elevation and reduced dynamic adjustment. The work links a fundamental cognitive mechanism in decision making (reference-dependent evaluation) to a clinical population.</w:t>
      </w:r>
    </w:p>
    <w:p>
      <w:pPr>
        <w:spacing w:before="120" w:after="240"/>
        <w:jc w:val="center"/>
      </w:pPr>
      <w:r>
        <w:rPr>
          <w:b w:val="0"/>
          <w:color w:val="888888"/>
          <w:sz w:val="20"/>
        </w:rPr>
        <w:t>· · ·</w:t>
      </w:r>
    </w:p>
    <w:p>
      <w:pPr>
        <w:spacing w:after="40"/>
      </w:pPr>
      <w:r>
        <w:rPr>
          <w:b/>
          <w:color w:val="1A1A1A"/>
          <w:sz w:val="26"/>
        </w:rPr>
        <w:t xml:space="preserve">7. </w:t>
      </w:r>
      <w:hyperlink r:id="rId15">
        <w:r>
          <w:rPr>
            <w:color w:val="004B7A"/>
            <w:u w:val="single"/>
            <w:b/>
            <w:sz w:val="26"/>
          </w:rPr>
          <w:t xml:space="preserve">Conscious and nonconscious thought: Insights from the neuroscience of decision-making</w:t>
        </w:r>
      </w:hyperlink>
    </w:p>
    <w:p>
      <w:pPr>
        <w:spacing w:after="100"/>
      </w:pPr>
      <w:r>
        <w:rPr>
          <w:b w:val="0"/>
          <w:color w:val="888888"/>
          <w:sz w:val="18"/>
        </w:rPr>
        <w:t>Shadlen, M.</w:t>
      </w:r>
    </w:p>
    <w:p>
      <w:pPr>
        <w:spacing w:after="80"/>
      </w:pPr>
      <w:r>
        <w:rPr>
          <w:b/>
          <w:color w:val="1A1A1A"/>
          <w:sz w:val="22"/>
        </w:rPr>
        <w:t xml:space="preserve">内容简介 · </w:t>
      </w:r>
      <w:r>
        <w:rPr>
          <w:b w:val="0"/>
          <w:sz w:val="22"/>
        </w:rPr>
        <w:t>This paper argues that conscious thought emerges from the same neural machinery as nonconscious decision processes, specifically through the reformatting of persistent neural representations (encoding provisional intentions and questions) for potential self-report. It draws on perceptual decision-making and neurophysiology to bridge nonconscious decision mechanisms with phenomenal consciousness.</w:t>
      </w:r>
    </w:p>
    <w:p>
      <w:pPr>
        <w:spacing w:before="400" w:after="160"/>
      </w:pPr>
      <w:r>
        <w:rPr>
          <w:b/>
          <w:color w:val="004B7A"/>
          <w:sz w:val="24"/>
        </w:rPr>
        <w:t>▎ Journal of Experimental Psychology: Learning, Memory, and Cognition</w:t>
      </w:r>
    </w:p>
    <w:p>
      <w:pPr>
        <w:spacing w:after="40"/>
      </w:pPr>
      <w:r>
        <w:rPr>
          <w:b/>
          <w:color w:val="1A1A1A"/>
          <w:sz w:val="26"/>
        </w:rPr>
        <w:t xml:space="preserve">8. </w:t>
      </w:r>
      <w:hyperlink r:id="rId16">
        <w:r>
          <w:rPr>
            <w:color w:val="004B7A"/>
            <w:u w:val="single"/>
            <w:b/>
            <w:sz w:val="26"/>
          </w:rPr>
          <w:t xml:space="preserve">Uncertainty monitoring in reasoning: Cue consistency is more important than belief-logic conflict.</w:t>
        </w:r>
      </w:hyperlink>
    </w:p>
    <w:p>
      <w:pPr>
        <w:spacing w:after="100"/>
      </w:pPr>
      <w:r>
        <w:rPr>
          <w:b w:val="0"/>
          <w:color w:val="888888"/>
          <w:sz w:val="18"/>
        </w:rPr>
        <w:t>Kosourikhina, V., Handley, S.</w:t>
      </w:r>
    </w:p>
    <w:p>
      <w:pPr>
        <w:spacing w:after="80"/>
      </w:pPr>
      <w:r>
        <w:rPr>
          <w:b/>
          <w:color w:val="1A1A1A"/>
          <w:sz w:val="22"/>
        </w:rPr>
        <w:t xml:space="preserve">内容简介 · </w:t>
      </w:r>
      <w:r>
        <w:rPr>
          <w:b w:val="0"/>
          <w:sz w:val="22"/>
        </w:rPr>
        <w:t>This paper investigates how people monitor uncertainty during reasoning tasks, finding that confidence judgments are shaped by multiple cues (not just belief-logic conflict), and that cue inconsistency drives uncertainty and conflict detection. It applies the self-consistency model of metacognition to explain how Type 1 and Type 2 processes interact in reasoning.</w:t>
      </w:r>
    </w:p>
    <w:p>
      <w:pPr>
        <w:spacing w:before="400" w:after="160"/>
      </w:pPr>
      <w:r>
        <w:rPr>
          <w:b/>
          <w:color w:val="004B7A"/>
          <w:sz w:val="24"/>
        </w:rPr>
        <w:t>▎ Nature Communications</w:t>
      </w:r>
    </w:p>
    <w:p>
      <w:pPr>
        <w:spacing w:after="40"/>
      </w:pPr>
      <w:r>
        <w:rPr>
          <w:b/>
          <w:color w:val="1A1A1A"/>
          <w:sz w:val="26"/>
        </w:rPr>
        <w:t xml:space="preserve">9. </w:t>
      </w:r>
      <w:hyperlink r:id="rId17">
        <w:r>
          <w:rPr>
            <w:color w:val="004B7A"/>
            <w:u w:val="single"/>
            <w:b/>
            <w:sz w:val="26"/>
          </w:rPr>
          <w:t xml:space="preserve">Reference-point dependent reinforcement learning in humans and rats</w:t>
        </w:r>
      </w:hyperlink>
    </w:p>
    <w:p>
      <w:pPr>
        <w:spacing w:after="100"/>
      </w:pPr>
      <w:r>
        <w:rPr>
          <w:b w:val="0"/>
          <w:color w:val="888888"/>
          <w:sz w:val="18"/>
        </w:rPr>
        <w:t>Ferguson, L., Soukupova, M., Bouret, S., Palminteri, S., Parkes, S.</w:t>
      </w:r>
    </w:p>
    <w:p>
      <w:pPr>
        <w:spacing w:after="80"/>
      </w:pPr>
      <w:r>
        <w:rPr>
          <w:b/>
          <w:color w:val="1A1A1A"/>
          <w:sz w:val="22"/>
        </w:rPr>
        <w:t xml:space="preserve">内容简介 · </w:t>
      </w:r>
      <w:r>
        <w:rPr>
          <w:b w:val="0"/>
          <w:sz w:val="22"/>
        </w:rPr>
        <w:t>This study examines how rewards and punishments are encoded relative to reference points in both humans and rats using a reinforcement learning task, finding that reference-point-dependent valuation—a key feature of prospect theory—robustly accounts for behavior in both species at the computational level.</w:t>
      </w:r>
    </w:p>
    <w:p>
      <w:pPr>
        <w:spacing w:before="400" w:after="160"/>
      </w:pPr>
      <w:r>
        <w:rPr>
          <w:b/>
          <w:color w:val="004B7A"/>
          <w:sz w:val="24"/>
        </w:rPr>
        <w:t>▎ PLOS Computational Biology</w:t>
      </w:r>
    </w:p>
    <w:p>
      <w:pPr>
        <w:spacing w:after="40"/>
      </w:pPr>
      <w:r>
        <w:rPr>
          <w:b/>
          <w:color w:val="1A1A1A"/>
          <w:sz w:val="26"/>
        </w:rPr>
        <w:t xml:space="preserve">10. </w:t>
      </w:r>
      <w:hyperlink r:id="rId18">
        <w:r>
          <w:rPr>
            <w:color w:val="004B7A"/>
            <w:u w:val="single"/>
            <w:b/>
            <w:sz w:val="26"/>
          </w:rPr>
          <w:t xml:space="preserve">When one race is not enough: A relay model explains multisensory response times</w:t>
        </w:r>
      </w:hyperlink>
    </w:p>
    <w:p>
      <w:pPr>
        <w:spacing w:after="100"/>
      </w:pPr>
      <w:r>
        <w:rPr>
          <w:b w:val="0"/>
          <w:color w:val="888888"/>
          <w:sz w:val="18"/>
        </w:rPr>
        <w:t>Roberts, K., Otto, T.</w:t>
      </w:r>
    </w:p>
    <w:p>
      <w:pPr>
        <w:spacing w:after="80"/>
      </w:pPr>
      <w:r>
        <w:rPr>
          <w:b/>
          <w:color w:val="1A1A1A"/>
          <w:sz w:val="22"/>
        </w:rPr>
        <w:t xml:space="preserve">内容简介 · </w:t>
      </w:r>
      <w:r>
        <w:rPr>
          <w:b w:val="0"/>
          <w:sz w:val="22"/>
        </w:rPr>
        <w:t>The paper introduces the 'relay model,' a minimal extension of the classic race model, to explain why people respond faster to multisensory signals than unisensory ones, incorporating cross-modal initiation into a sequential race architecture. It fits the model to empirical response time data and shows it captures distributional features of multisensory response speed-ups that the original race model fails to explain.</w:t>
      </w:r>
    </w:p>
    <w:p>
      <w:pPr>
        <w:spacing w:before="120" w:after="240"/>
        <w:jc w:val="center"/>
      </w:pPr>
      <w:r>
        <w:rPr>
          <w:b w:val="0"/>
          <w:color w:val="888888"/>
          <w:sz w:val="20"/>
        </w:rPr>
        <w:t>· · ·</w:t>
      </w:r>
    </w:p>
    <w:p>
      <w:pPr>
        <w:spacing w:after="40"/>
      </w:pPr>
      <w:r>
        <w:rPr>
          <w:b/>
          <w:color w:val="1A1A1A"/>
          <w:sz w:val="26"/>
        </w:rPr>
        <w:t xml:space="preserve">11. </w:t>
      </w:r>
      <w:hyperlink r:id="rId19">
        <w:r>
          <w:rPr>
            <w:color w:val="004B7A"/>
            <w:u w:val="single"/>
            <w:b/>
            <w:sz w:val="26"/>
          </w:rPr>
          <w:t xml:space="preserve">Trial-level sequence modeling reveals hidden dynamics of dual-task interference</w:t>
        </w:r>
      </w:hyperlink>
    </w:p>
    <w:p>
      <w:pPr>
        <w:spacing w:after="100"/>
      </w:pPr>
      <w:r>
        <w:rPr>
          <w:b w:val="0"/>
          <w:color w:val="888888"/>
          <w:sz w:val="18"/>
        </w:rPr>
        <w:t>den Otter, R., Dame, A., Stuit, S., van Maanen, L.</w:t>
      </w:r>
    </w:p>
    <w:p>
      <w:pPr>
        <w:spacing w:after="80"/>
      </w:pPr>
      <w:r>
        <w:rPr>
          <w:b/>
          <w:color w:val="1A1A1A"/>
          <w:sz w:val="22"/>
        </w:rPr>
        <w:t xml:space="preserve">内容简介 · </w:t>
      </w:r>
      <w:r>
        <w:rPr>
          <w:b w:val="0"/>
          <w:sz w:val="22"/>
        </w:rPr>
        <w:t>The study uses single-trial EEG and deep sequence modeling to uncover the neural dynamics of multitasking, showing that trial-by-trial variability in cognitive operation sequences predicts individual differences in reaction time and accuracy during dual-task interference.</w:t>
      </w:r>
    </w:p>
    <w:p>
      <w:pPr>
        <w:spacing w:before="400" w:after="160"/>
      </w:pPr>
      <w:r>
        <w:rPr>
          <w:b/>
          <w:color w:val="004B7A"/>
          <w:sz w:val="24"/>
        </w:rPr>
        <w:t>▎ Journal of Behavioral Decision Making</w:t>
      </w:r>
    </w:p>
    <w:p>
      <w:pPr>
        <w:spacing w:after="40"/>
      </w:pPr>
      <w:r>
        <w:rPr>
          <w:b/>
          <w:color w:val="1A1A1A"/>
          <w:sz w:val="26"/>
        </w:rPr>
        <w:t xml:space="preserve">12. </w:t>
      </w:r>
      <w:hyperlink r:id="rId20">
        <w:r>
          <w:rPr>
            <w:color w:val="004B7A"/>
            <w:u w:val="single"/>
            <w:b/>
            <w:sz w:val="26"/>
          </w:rPr>
          <w:t xml:space="preserve">From Distance to Ambiguity Perception: A Dual‐Mechanism Account of the Date‐Delay Effect</w:t>
        </w:r>
      </w:hyperlink>
    </w:p>
    <w:p>
      <w:pPr>
        <w:spacing w:after="100"/>
      </w:pPr>
      <w:r>
        <w:rPr>
          <w:b w:val="0"/>
          <w:color w:val="888888"/>
          <w:sz w:val="18"/>
        </w:rPr>
        <w:t>Gao, X., Li, H., Wang, Q., Ping, Y., Zhang, F.</w:t>
      </w:r>
    </w:p>
    <w:p>
      <w:pPr>
        <w:spacing w:after="80"/>
      </w:pPr>
      <w:r>
        <w:rPr>
          <w:b/>
          <w:color w:val="1A1A1A"/>
          <w:sz w:val="22"/>
        </w:rPr>
        <w:t xml:space="preserve">内容简介 · </w:t>
      </w:r>
      <w:r>
        <w:rPr>
          <w:b w:val="0"/>
          <w:sz w:val="22"/>
        </w:rPr>
        <w:t>This paper investigates why people prefer future rewards more when described by calendar dates versus delays (the date-delay effect), finding that the underlying cognitive mechanism shifts from reduced perceived temporal distance (short delays) to increased perceived temporal ambiguity (long delays), supporting a dual-mechanism account of intertemporal choice.</w:t>
      </w:r>
    </w:p>
    <w:p>
      <w:pPr>
        <w:spacing w:before="400" w:after="160"/>
      </w:pPr>
      <w:r>
        <w:rPr>
          <w:b/>
          <w:color w:val="004B7A"/>
          <w:sz w:val="24"/>
        </w:rPr>
        <w:t>▎ Attention, Perception, &amp; Psychophysics</w:t>
      </w:r>
    </w:p>
    <w:p>
      <w:pPr>
        <w:spacing w:after="40"/>
      </w:pPr>
      <w:r>
        <w:rPr>
          <w:b/>
          <w:color w:val="1A1A1A"/>
          <w:sz w:val="26"/>
        </w:rPr>
        <w:t xml:space="preserve">13. </w:t>
      </w:r>
      <w:hyperlink r:id="rId21">
        <w:r>
          <w:rPr>
            <w:color w:val="004B7A"/>
            <w:u w:val="single"/>
            <w:b/>
            <w:sz w:val="26"/>
          </w:rPr>
          <w:t xml:space="preserve">Predicting errors before they occur using trial-by-trial dynamics of pre-error and post-error behavior</w:t>
        </w:r>
      </w:hyperlink>
    </w:p>
    <w:p>
      <w:pPr>
        <w:spacing w:after="100"/>
      </w:pPr>
      <w:r>
        <w:rPr>
          <w:b w:val="0"/>
          <w:color w:val="888888"/>
          <w:sz w:val="18"/>
        </w:rPr>
        <w:t>Malykke, S., Siqi-Liu, A., Kravitz, D., Mitroff, S.</w:t>
      </w:r>
    </w:p>
    <w:p>
      <w:pPr>
        <w:spacing w:after="80"/>
      </w:pPr>
      <w:r>
        <w:rPr>
          <w:b/>
          <w:color w:val="1A1A1A"/>
          <w:sz w:val="22"/>
        </w:rPr>
        <w:t xml:space="preserve">内容简介 · </w:t>
      </w:r>
      <w:r>
        <w:rPr>
          <w:b w:val="0"/>
          <w:sz w:val="22"/>
        </w:rPr>
        <w:t>The paper investigates how pre-error behavioral patterns can predict upcoming errors and how behavior adjusts following errors, offering insight into the cognitive processes underlying performance monitoring and decision accuracy at the individual trial level.</w:t>
      </w:r>
    </w:p>
    <w:p>
      <w:pPr>
        <w:spacing w:before="320" w:after="0"/>
        <w:jc w:val="center"/>
      </w:pPr>
      <w:r>
        <w:rPr>
          <w:b w:val="0"/>
          <w:color w:val="888888"/>
          <w:sz w:val="18"/>
        </w:rPr>
        <w:t>点击文末「阅读原文」查看全部论文与可点击的 DOI 链接。</w:t>
      </w:r>
    </w:p>
    <w:p>
      <w:pPr>
        <w:jc w:val="center"/>
      </w:pPr>
      <w:r>
        <w:rPr>
          <w:b w:val="0"/>
          <w:color w:val="888888"/>
          <w:sz w:val="16"/>
        </w:rPr>
        <w:t>由自动化文献管线生成；摘要与推荐理由由模型自动生成，可能不完整，请以原文为准。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287/mnsc.2024.05415" TargetMode="External"/><Relationship Id="rId10" Type="http://schemas.openxmlformats.org/officeDocument/2006/relationships/hyperlink" Target="https://doi.org/10.1287/mnsc.2024.06264" TargetMode="External"/><Relationship Id="rId11" Type="http://schemas.openxmlformats.org/officeDocument/2006/relationships/hyperlink" Target="https://doi.org/10.1287/mnsc.2023.03238" TargetMode="External"/><Relationship Id="rId12" Type="http://schemas.openxmlformats.org/officeDocument/2006/relationships/hyperlink" Target="https://doi.org/10.1007/s11166-026-09491-z" TargetMode="External"/><Relationship Id="rId13" Type="http://schemas.openxmlformats.org/officeDocument/2006/relationships/hyperlink" Target="https://doi.org/10.1007/s11166-026-09485-x" TargetMode="External"/><Relationship Id="rId14" Type="http://schemas.openxmlformats.org/officeDocument/2006/relationships/hyperlink" Target="https://doi.org/10.1073/pnas.2518826123" TargetMode="External"/><Relationship Id="rId15" Type="http://schemas.openxmlformats.org/officeDocument/2006/relationships/hyperlink" Target="https://doi.org/10.1073/pnas.2601239123" TargetMode="External"/><Relationship Id="rId16" Type="http://schemas.openxmlformats.org/officeDocument/2006/relationships/hyperlink" Target="https://doi.org/10.1037/xlm0001632" TargetMode="External"/><Relationship Id="rId17" Type="http://schemas.openxmlformats.org/officeDocument/2006/relationships/hyperlink" Target="https://doi.org/10.1038/s41467-026-73623-x" TargetMode="External"/><Relationship Id="rId18" Type="http://schemas.openxmlformats.org/officeDocument/2006/relationships/hyperlink" Target="https://doi.org/10.1371/journal.pcbi.1013320" TargetMode="External"/><Relationship Id="rId19" Type="http://schemas.openxmlformats.org/officeDocument/2006/relationships/hyperlink" Target="https://doi.org/10.1371/journal.pcbi.1014302" TargetMode="External"/><Relationship Id="rId20" Type="http://schemas.openxmlformats.org/officeDocument/2006/relationships/hyperlink" Target="https://doi.org/10.1002/bdm.70085" TargetMode="External"/><Relationship Id="rId21" Type="http://schemas.openxmlformats.org/officeDocument/2006/relationships/hyperlink" Target="https://doi.org/10.3758/s13414-026-0328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