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文献汇总：7月下</w:t>
      </w:r>
    </w:p>
    <w:p>
      <w:pPr>
        <w:spacing w:after="200"/>
        <w:jc w:val="center"/>
      </w:pPr>
      <w:r>
        <w:rPr>
          <w:b w:val="0"/>
          <w:color w:val="888888"/>
          <w:sz w:val="18"/>
        </w:rPr>
        <w:t>2026-07-16 → 2026-07-31 · 共 13 篇</w:t>
      </w:r>
    </w:p>
    <w:p>
      <w:pPr>
        <w:spacing w:before="480" w:after="40"/>
      </w:pPr>
      <w:r>
        <w:rPr>
          <w:b/>
          <w:color w:val="1C5D54"/>
          <w:sz w:val="30"/>
        </w:rPr>
        <w:t>Ⅰ  经济学 · Economics（4）</w:t>
      </w:r>
    </w:p>
    <w:p>
      <w:pPr>
        <w:spacing w:before="240" w:after="120"/>
      </w:pPr>
      <w:r>
        <w:rPr>
          <w:b/>
          <w:color w:val="888888"/>
          <w:sz w:val="22"/>
        </w:rPr>
        <w:t>▎ PLOS Computational Biology</w:t>
      </w:r>
    </w:p>
    <w:p>
      <w:pPr>
        <w:spacing w:after="40"/>
      </w:pPr>
      <w:r>
        <w:rPr>
          <w:b/>
          <w:color w:val="1A1A1A"/>
          <w:sz w:val="26"/>
        </w:rPr>
        <w:t xml:space="preserve">1. </w:t>
      </w:r>
      <w:hyperlink r:id="rId9">
        <w:r>
          <w:rPr>
            <w:color w:val="004B7A"/>
            <w:u w:val="single"/>
            <w:b/>
            <w:sz w:val="26"/>
          </w:rPr>
          <w:t xml:space="preserve">Ergodicity transformations predict human decision-making under risk</w:t>
        </w:r>
      </w:hyperlink>
    </w:p>
    <w:p>
      <w:pPr>
        <w:spacing w:after="100"/>
      </w:pPr>
      <w:r>
        <w:rPr>
          <w:b w:val="0"/>
          <w:color w:val="888888"/>
          <w:sz w:val="18"/>
        </w:rPr>
        <w:t>Skjold, B., Steinkamp, S., Connaughton, C., Hulme, O., Peters, O.</w:t>
      </w:r>
    </w:p>
    <w:p>
      <w:pPr>
        <w:spacing w:after="80"/>
      </w:pPr>
      <w:r>
        <w:rPr>
          <w:b/>
          <w:color w:val="1A1A1A"/>
          <w:sz w:val="22"/>
        </w:rPr>
        <w:t xml:space="preserve">内容简介 · </w:t>
      </w:r>
      <w:r>
        <w:rPr>
          <w:b w:val="0"/>
          <w:sz w:val="22"/>
        </w:rPr>
        <w:t>The study tests whether human participants' utility functions adapt to different wealth dynamics (ergodicity transformations) in a consequential risky decision-making experiment, finding via Bayesian modeling that behavior aligns closely with the growth-optimal theoretical predictions.</w:t>
      </w:r>
    </w:p>
    <w:p>
      <w:pPr>
        <w:spacing w:before="240" w:after="120"/>
      </w:pPr>
      <w:r>
        <w:rPr>
          <w:b/>
          <w:color w:val="888888"/>
          <w:sz w:val="22"/>
        </w:rPr>
        <w:t>▎ Psychological Review</w:t>
      </w:r>
    </w:p>
    <w:p>
      <w:pPr>
        <w:spacing w:after="40"/>
      </w:pPr>
      <w:r>
        <w:rPr>
          <w:b/>
          <w:color w:val="1A1A1A"/>
          <w:sz w:val="26"/>
        </w:rPr>
        <w:t xml:space="preserve">2. </w:t>
      </w:r>
      <w:hyperlink r:id="rId10">
        <w:r>
          <w:rPr>
            <w:color w:val="004B7A"/>
            <w:u w:val="single"/>
            <w:b/>
            <w:sz w:val="26"/>
          </w:rPr>
          <w:t xml:space="preserve">Talking the talk, not walking the walk: The coevolution of overconfidence and loss aversion.</w:t>
        </w:r>
      </w:hyperlink>
    </w:p>
    <w:p>
      <w:pPr>
        <w:spacing w:after="100"/>
      </w:pPr>
      <w:r>
        <w:rPr>
          <w:b w:val="0"/>
          <w:color w:val="888888"/>
          <w:sz w:val="18"/>
        </w:rPr>
        <w:t>Dawson, C., de Meza, D.</w:t>
      </w:r>
    </w:p>
    <w:p>
      <w:pPr>
        <w:spacing w:after="80"/>
      </w:pPr>
      <w:r>
        <w:rPr>
          <w:b/>
          <w:color w:val="1A1A1A"/>
          <w:sz w:val="22"/>
        </w:rPr>
        <w:t xml:space="preserve">内容简介 · </w:t>
      </w:r>
      <w:r>
        <w:rPr>
          <w:b w:val="0"/>
          <w:sz w:val="22"/>
        </w:rPr>
        <w:t>The paper proposes an evolutionary signaling theory to explain the coexistence of overconfidence and loss aversion, arguing that hardwired overconfidence credibly signals ability while loss aversion partially offsets its decision costs without undermining its signaling value. It challenges the view that eliminating both biases would improve individual outcomes.</w:t>
      </w:r>
    </w:p>
    <w:p>
      <w:pPr>
        <w:spacing w:before="240" w:after="120"/>
      </w:pPr>
      <w:r>
        <w:rPr>
          <w:b/>
          <w:color w:val="888888"/>
          <w:sz w:val="22"/>
        </w:rPr>
        <w:t>▎ Journal of Risk and Uncertainty</w:t>
      </w:r>
    </w:p>
    <w:p>
      <w:pPr>
        <w:spacing w:after="40"/>
      </w:pPr>
      <w:r>
        <w:rPr>
          <w:b/>
          <w:color w:val="1A1A1A"/>
          <w:sz w:val="26"/>
        </w:rPr>
        <w:t xml:space="preserve">3. </w:t>
      </w:r>
      <w:hyperlink r:id="rId11">
        <w:r>
          <w:rPr>
            <w:color w:val="004B7A"/>
            <w:u w:val="single"/>
            <w:b/>
            <w:sz w:val="26"/>
          </w:rPr>
          <w:t xml:space="preserve">Rational inattention: The interplay of stakes and prior beliefs in a laboratory study</w:t>
        </w:r>
      </w:hyperlink>
    </w:p>
    <w:p>
      <w:pPr>
        <w:spacing w:after="100"/>
      </w:pPr>
      <w:r>
        <w:rPr>
          <w:b w:val="0"/>
          <w:color w:val="888888"/>
          <w:sz w:val="18"/>
        </w:rPr>
        <w:t>Wang, Z.</w:t>
      </w:r>
    </w:p>
    <w:p>
      <w:pPr>
        <w:spacing w:after="80"/>
      </w:pPr>
      <w:r>
        <w:rPr>
          <w:b/>
          <w:color w:val="1A1A1A"/>
          <w:sz w:val="22"/>
        </w:rPr>
        <w:t xml:space="preserve">内容简介 · </w:t>
      </w:r>
      <w:r>
        <w:rPr>
          <w:b w:val="0"/>
          <w:sz w:val="22"/>
        </w:rPr>
        <w:t>A laboratory study examining how decision makers allocate attention based on the stakes of a decision and their prior beliefs, testing predictions from rational inattention theory. This bridges economic models of information acquisition with cognitive process-level evidence.</w:t>
      </w:r>
    </w:p>
    <w:p>
      <w:pPr>
        <w:spacing w:before="120" w:after="240"/>
        <w:jc w:val="center"/>
      </w:pPr>
      <w:r>
        <w:rPr>
          <w:b w:val="0"/>
          <w:color w:val="888888"/>
          <w:sz w:val="20"/>
        </w:rPr>
        <w:t>· · ·</w:t>
      </w:r>
    </w:p>
    <w:p>
      <w:pPr>
        <w:spacing w:after="40"/>
      </w:pPr>
      <w:r>
        <w:rPr>
          <w:b/>
          <w:color w:val="1A1A1A"/>
          <w:sz w:val="26"/>
        </w:rPr>
        <w:t xml:space="preserve">4. </w:t>
      </w:r>
      <w:hyperlink r:id="rId12">
        <w:r>
          <w:rPr>
            <w:color w:val="004B7A"/>
            <w:u w:val="single"/>
            <w:b/>
            <w:sz w:val="26"/>
          </w:rPr>
          <w:t xml:space="preserve">A parsimonious probability weighting function</w:t>
        </w:r>
      </w:hyperlink>
    </w:p>
    <w:p>
      <w:pPr>
        <w:spacing w:after="100"/>
      </w:pPr>
      <w:r>
        <w:rPr>
          <w:b w:val="0"/>
          <w:color w:val="888888"/>
          <w:sz w:val="18"/>
        </w:rPr>
        <w:t>Blavatskyy, P.</w:t>
      </w:r>
    </w:p>
    <w:p>
      <w:pPr>
        <w:spacing w:after="80"/>
      </w:pPr>
      <w:r>
        <w:rPr>
          <w:b/>
          <w:color w:val="1A1A1A"/>
          <w:sz w:val="22"/>
        </w:rPr>
        <w:t xml:space="preserve">内容简介 · </w:t>
      </w:r>
      <w:r>
        <w:rPr>
          <w:b w:val="0"/>
          <w:sz w:val="22"/>
        </w:rPr>
        <w:t>The paper proposes a parsimonious functional form for probability weighting, likely offering a simpler or better-fitting characterization of how people distort probabilities in risky choice.</w:t>
      </w:r>
    </w:p>
    <w:p>
      <w:pPr>
        <w:spacing w:before="480" w:after="40"/>
      </w:pPr>
      <w:r>
        <w:rPr>
          <w:b/>
          <w:color w:val="8A2B3A"/>
          <w:sz w:val="30"/>
        </w:rPr>
        <w:t>Ⅱ  心理学 · Psychology（9）</w:t>
      </w:r>
    </w:p>
    <w:p>
      <w:pPr>
        <w:spacing w:before="240" w:after="120"/>
      </w:pPr>
      <w:r>
        <w:rPr>
          <w:b/>
          <w:color w:val="888888"/>
          <w:sz w:val="22"/>
        </w:rPr>
        <w:t>▎ Journal of Behavioral Decision Making</w:t>
      </w:r>
    </w:p>
    <w:p>
      <w:pPr>
        <w:spacing w:after="40"/>
      </w:pPr>
      <w:r>
        <w:rPr>
          <w:b/>
          <w:color w:val="1A1A1A"/>
          <w:sz w:val="26"/>
        </w:rPr>
        <w:t xml:space="preserve">5. </w:t>
      </w:r>
      <w:hyperlink r:id="rId13">
        <w:r>
          <w:rPr>
            <w:color w:val="004B7A"/>
            <w:u w:val="single"/>
            <w:b/>
            <w:sz w:val="26"/>
          </w:rPr>
          <w:t xml:space="preserve">Dissociations of Cognitive Control and Reward Sensitivity on Decision‐Making Under Uncertainty in Adolescents: Insights From Computational Modeling</w:t>
        </w:r>
      </w:hyperlink>
    </w:p>
    <w:p>
      <w:pPr>
        <w:spacing w:after="100"/>
      </w:pPr>
      <w:r>
        <w:rPr>
          <w:b w:val="0"/>
          <w:color w:val="888888"/>
          <w:sz w:val="18"/>
        </w:rPr>
        <w:t>Li, D., Zeng, H., Sui, X.</w:t>
      </w:r>
    </w:p>
    <w:p>
      <w:pPr>
        <w:spacing w:after="80"/>
      </w:pPr>
      <w:r>
        <w:rPr>
          <w:b/>
          <w:color w:val="1A1A1A"/>
          <w:sz w:val="22"/>
        </w:rPr>
        <w:t xml:space="preserve">内容简介 · </w:t>
      </w:r>
      <w:r>
        <w:rPr>
          <w:b w:val="0"/>
          <w:sz w:val="22"/>
        </w:rPr>
        <w:t>This study uses computational modeling and a longitudinal design to examine how cognitive control and reward sensitivity separately influence adolescent decision making under ambiguity and risk (via the Iowa Gambling Task), revealing dissociable effects on latent parameters such as loss aversion and outcome sensitivity across ambiguous versus risky decision stages.</w:t>
      </w:r>
    </w:p>
    <w:p>
      <w:pPr>
        <w:spacing w:before="240" w:after="120"/>
      </w:pPr>
      <w:r>
        <w:rPr>
          <w:b/>
          <w:color w:val="888888"/>
          <w:sz w:val="22"/>
        </w:rPr>
        <w:t>▎ eLife</w:t>
      </w:r>
    </w:p>
    <w:p>
      <w:pPr>
        <w:spacing w:after="40"/>
      </w:pPr>
      <w:r>
        <w:rPr>
          <w:b/>
          <w:color w:val="1A1A1A"/>
          <w:sz w:val="26"/>
        </w:rPr>
        <w:t xml:space="preserve">6. </w:t>
      </w:r>
      <w:hyperlink r:id="rId14">
        <w:r>
          <w:rPr>
            <w:color w:val="004B7A"/>
            <w:u w:val="single"/>
            <w:b/>
            <w:sz w:val="26"/>
          </w:rPr>
          <w:t xml:space="preserve">Behavioral signatures of post-decisional attention in preferential choice</w:t>
        </w:r>
      </w:hyperlink>
    </w:p>
    <w:p>
      <w:pPr>
        <w:spacing w:after="100"/>
      </w:pPr>
      <w:r>
        <w:rPr>
          <w:b w:val="0"/>
          <w:color w:val="888888"/>
          <w:sz w:val="18"/>
        </w:rPr>
        <w:t>Zylberberg, A., Krajbich, I., Shadlen, M.</w:t>
      </w:r>
    </w:p>
    <w:p>
      <w:pPr>
        <w:spacing w:after="80"/>
      </w:pPr>
      <w:r>
        <w:rPr>
          <w:b/>
          <w:color w:val="1A1A1A"/>
          <w:sz w:val="22"/>
        </w:rPr>
        <w:t xml:space="preserve">内容简介 · </w:t>
      </w:r>
      <w:r>
        <w:rPr>
          <w:b w:val="0"/>
          <w:sz w:val="22"/>
        </w:rPr>
        <w:t>The paper reanalyzes food-choice eye-tracking datasets to test whether attention causally biases decisions (as in the aDDM) or instead reflects post-decisional processes, finding mixed evidence and concluding that pre-choice gaze captures both decisional and post-decisional signals.</w:t>
      </w:r>
    </w:p>
    <w:p>
      <w:pPr>
        <w:spacing w:before="240" w:after="120"/>
      </w:pPr>
      <w:r>
        <w:rPr>
          <w:b/>
          <w:color w:val="888888"/>
          <w:sz w:val="22"/>
        </w:rPr>
        <w:t>▎ Psychological Review</w:t>
      </w:r>
    </w:p>
    <w:p>
      <w:pPr>
        <w:spacing w:after="40"/>
      </w:pPr>
      <w:r>
        <w:rPr>
          <w:b/>
          <w:color w:val="1A1A1A"/>
          <w:sz w:val="26"/>
        </w:rPr>
        <w:t xml:space="preserve">7. </w:t>
      </w:r>
      <w:hyperlink r:id="rId15">
        <w:r>
          <w:rPr>
            <w:color w:val="004B7A"/>
            <w:u w:val="single"/>
            <w:b/>
            <w:sz w:val="26"/>
          </w:rPr>
          <w:t xml:space="preserve">Risk matters less when options are apples-to-oranges: The translate-and-accommodate model.</w:t>
        </w:r>
      </w:hyperlink>
    </w:p>
    <w:p>
      <w:pPr>
        <w:spacing w:after="100"/>
      </w:pPr>
      <w:r>
        <w:rPr>
          <w:b w:val="0"/>
          <w:color w:val="888888"/>
          <w:sz w:val="18"/>
        </w:rPr>
        <w:t>Weingarten, E., Rottenstreich, Y., Wu, G.</w:t>
      </w:r>
    </w:p>
    <w:p>
      <w:pPr>
        <w:spacing w:after="80"/>
      </w:pPr>
      <w:r>
        <w:rPr>
          <w:b/>
          <w:color w:val="1A1A1A"/>
          <w:sz w:val="22"/>
        </w:rPr>
        <w:t xml:space="preserve">内容简介 · </w:t>
      </w:r>
      <w:r>
        <w:rPr>
          <w:b w:val="0"/>
          <w:sz w:val="22"/>
        </w:rPr>
        <w:t>This paper investigates how risk aversion differs when comparing options within the same domain ('apples-to-apples') versus across different domains ('apples-to-oranges'), finding systematic insensitivity to risk in crossmodal choices and proposing a formal translate-and-accommodate model to explain these patterns.</w:t>
      </w:r>
    </w:p>
    <w:p>
      <w:pPr>
        <w:spacing w:before="120" w:after="240"/>
        <w:jc w:val="center"/>
      </w:pPr>
      <w:r>
        <w:rPr>
          <w:b w:val="0"/>
          <w:color w:val="888888"/>
          <w:sz w:val="20"/>
        </w:rPr>
        <w:t>· · ·</w:t>
      </w:r>
    </w:p>
    <w:p>
      <w:pPr>
        <w:spacing w:after="40"/>
      </w:pPr>
      <w:r>
        <w:rPr>
          <w:b/>
          <w:color w:val="1A1A1A"/>
          <w:sz w:val="26"/>
        </w:rPr>
        <w:t xml:space="preserve">8. </w:t>
      </w:r>
      <w:hyperlink r:id="rId16">
        <w:r>
          <w:rPr>
            <w:color w:val="004B7A"/>
            <w:u w:val="single"/>
            <w:b/>
            <w:sz w:val="26"/>
          </w:rPr>
          <w:t xml:space="preserve">A comparison of single and multiple diffusion process models of continuous-outcome decision making.</w:t>
        </w:r>
      </w:hyperlink>
    </w:p>
    <w:p>
      <w:pPr>
        <w:spacing w:after="100"/>
      </w:pPr>
      <w:r>
        <w:rPr>
          <w:b w:val="0"/>
          <w:color w:val="888888"/>
          <w:sz w:val="18"/>
        </w:rPr>
        <w:t>Smith, P., Garrett, P., Feuerriegel, D., Yook, J., Lilburn, S.</w:t>
      </w:r>
    </w:p>
    <w:p>
      <w:pPr>
        <w:spacing w:after="80"/>
      </w:pPr>
      <w:r>
        <w:rPr>
          <w:b/>
          <w:color w:val="1A1A1A"/>
          <w:sz w:val="22"/>
        </w:rPr>
        <w:t xml:space="preserve">内容简介 · </w:t>
      </w:r>
      <w:r>
        <w:rPr>
          <w:b w:val="0"/>
          <w:sz w:val="22"/>
        </w:rPr>
        <w:t>The paper compares two diffusion process models (circular and spatially continuous) extended to continuous-outcome decision tasks, evaluating their ability to account for joint distributions of response errors and response times across perceptual tasks.</w:t>
      </w:r>
    </w:p>
    <w:p>
      <w:pPr>
        <w:spacing w:before="120" w:after="240"/>
        <w:jc w:val="center"/>
      </w:pPr>
      <w:r>
        <w:rPr>
          <w:b w:val="0"/>
          <w:color w:val="888888"/>
          <w:sz w:val="20"/>
        </w:rPr>
        <w:t>· · ·</w:t>
      </w:r>
    </w:p>
    <w:p>
      <w:pPr>
        <w:spacing w:after="40"/>
      </w:pPr>
      <w:r>
        <w:rPr>
          <w:b/>
          <w:color w:val="1A1A1A"/>
          <w:sz w:val="26"/>
        </w:rPr>
        <w:t xml:space="preserve">9. </w:t>
      </w:r>
      <w:hyperlink r:id="rId17">
        <w:r>
          <w:rPr>
            <w:color w:val="004B7A"/>
            <w:u w:val="single"/>
            <w:b/>
            <w:sz w:val="26"/>
          </w:rPr>
          <w:t xml:space="preserve">Inferring the causes of noise from binary outcomes: A normative theory of learning under uncertainty.</w:t>
        </w:r>
      </w:hyperlink>
    </w:p>
    <w:p>
      <w:pPr>
        <w:spacing w:after="100"/>
      </w:pPr>
      <w:r>
        <w:rPr>
          <w:b w:val="0"/>
          <w:color w:val="888888"/>
          <w:sz w:val="18"/>
        </w:rPr>
        <w:t>Fang, X., Piray, P.</w:t>
      </w:r>
    </w:p>
    <w:p>
      <w:pPr>
        <w:spacing w:after="80"/>
      </w:pPr>
      <w:r>
        <w:rPr>
          <w:b/>
          <w:color w:val="1A1A1A"/>
          <w:sz w:val="22"/>
        </w:rPr>
        <w:t xml:space="preserve">内容简介 · </w:t>
      </w:r>
      <w:r>
        <w:rPr>
          <w:b w:val="0"/>
          <w:sz w:val="22"/>
        </w:rPr>
        <w:t>This paper presents a normative Bayesian framework (hidden Markov model + particle filtering) for inferring volatility versus stochasticity from binary outcomes, validated in a probabilistic reversal-learning task showing that humans adjust learning rates in line with model predictions under different noise conditions.</w:t>
      </w:r>
    </w:p>
    <w:p>
      <w:pPr>
        <w:spacing w:before="240" w:after="120"/>
      </w:pPr>
      <w:r>
        <w:rPr>
          <w:b/>
          <w:color w:val="888888"/>
          <w:sz w:val="22"/>
        </w:rPr>
        <w:t>▎ Nature Communications</w:t>
      </w:r>
    </w:p>
    <w:p>
      <w:pPr>
        <w:spacing w:after="40"/>
      </w:pPr>
      <w:r>
        <w:rPr>
          <w:b/>
          <w:color w:val="1A1A1A"/>
          <w:sz w:val="26"/>
        </w:rPr>
        <w:t xml:space="preserve">10. </w:t>
      </w:r>
      <w:hyperlink r:id="rId18">
        <w:r>
          <w:rPr>
            <w:color w:val="004B7A"/>
            <w:u w:val="single"/>
            <w:b/>
            <w:sz w:val="26"/>
          </w:rPr>
          <w:t xml:space="preserve">Foraging models explain human exploration in uncertain tasks</w:t>
        </w:r>
      </w:hyperlink>
    </w:p>
    <w:p>
      <w:pPr>
        <w:spacing w:after="100"/>
      </w:pPr>
      <w:r>
        <w:rPr>
          <w:b w:val="0"/>
          <w:color w:val="888888"/>
          <w:sz w:val="18"/>
        </w:rPr>
        <w:t>Zid, M., Laurie, V., Ramírez-Ruiz, J., Lavigne-Champagne, A., Shourkeshti, A., Harrell, D., Herman, A., Ebitz, R.</w:t>
      </w:r>
    </w:p>
    <w:p>
      <w:pPr>
        <w:spacing w:after="80"/>
      </w:pPr>
      <w:r>
        <w:rPr>
          <w:b/>
          <w:color w:val="1A1A1A"/>
          <w:sz w:val="22"/>
        </w:rPr>
        <w:t xml:space="preserve">内容简介 · </w:t>
      </w:r>
      <w:r>
        <w:rPr>
          <w:b w:val="0"/>
          <w:sz w:val="22"/>
        </w:rPr>
        <w:t>This paper tests whether humans use compare-to-threshold (foraging-style) computations rather than compare-alternative computations in uncertain decision tasks, finding that a foraging reinforcement-learning model better fits behavior, choice repetition, and out-of-sample prediction than standard RL models.</w:t>
      </w:r>
    </w:p>
    <w:p>
      <w:pPr>
        <w:spacing w:before="240" w:after="120"/>
      </w:pPr>
      <w:r>
        <w:rPr>
          <w:b/>
          <w:color w:val="888888"/>
          <w:sz w:val="22"/>
        </w:rPr>
        <w:t>▎ PNAS</w:t>
      </w:r>
    </w:p>
    <w:p>
      <w:pPr>
        <w:spacing w:after="40"/>
      </w:pPr>
      <w:r>
        <w:rPr>
          <w:b/>
          <w:color w:val="1A1A1A"/>
          <w:sz w:val="26"/>
        </w:rPr>
        <w:t xml:space="preserve">11. </w:t>
      </w:r>
      <w:hyperlink r:id="rId19">
        <w:r>
          <w:rPr>
            <w:color w:val="004B7A"/>
            <w:u w:val="single"/>
            <w:b/>
            <w:sz w:val="26"/>
          </w:rPr>
          <w:t xml:space="preserve">Developmental changes in memory structure and precision alter the use of retrieved episodes during decisions for reward</w:t>
        </w:r>
      </w:hyperlink>
    </w:p>
    <w:p>
      <w:pPr>
        <w:spacing w:after="100"/>
      </w:pPr>
      <w:r>
        <w:rPr>
          <w:b w:val="0"/>
          <w:color w:val="888888"/>
          <w:sz w:val="18"/>
        </w:rPr>
        <w:t>Harhen, N., Bornstein, A., Hartley, C.</w:t>
      </w:r>
    </w:p>
    <w:p>
      <w:pPr>
        <w:spacing w:after="80"/>
      </w:pPr>
      <w:r>
        <w:rPr>
          <w:b/>
          <w:color w:val="1A1A1A"/>
          <w:sz w:val="22"/>
        </w:rPr>
        <w:t xml:space="preserve">内容简介 · </w:t>
      </w:r>
      <w:r>
        <w:rPr>
          <w:b w:val="0"/>
          <w:sz w:val="22"/>
        </w:rPr>
        <w:t>This developmental study examines how episodic memory sampling guides reward-based decisions across ages 8–25, finding that memory precision and contextual structure predict individual differences in how past episodes bias choices and forward planning.</w:t>
      </w:r>
    </w:p>
    <w:p>
      <w:pPr>
        <w:spacing w:before="120" w:after="240"/>
        <w:jc w:val="center"/>
      </w:pPr>
      <w:r>
        <w:rPr>
          <w:b w:val="0"/>
          <w:color w:val="888888"/>
          <w:sz w:val="20"/>
        </w:rPr>
        <w:t>· · ·</w:t>
      </w:r>
    </w:p>
    <w:p>
      <w:pPr>
        <w:spacing w:after="40"/>
      </w:pPr>
      <w:r>
        <w:rPr>
          <w:b/>
          <w:color w:val="1A1A1A"/>
          <w:sz w:val="26"/>
        </w:rPr>
        <w:t xml:space="preserve">12. </w:t>
      </w:r>
      <w:hyperlink r:id="rId20">
        <w:r>
          <w:rPr>
            <w:color w:val="004B7A"/>
            <w:u w:val="single"/>
            <w:b/>
            <w:sz w:val="26"/>
          </w:rPr>
          <w:t xml:space="preserve">Response duration tracks confidence</w:t>
        </w:r>
      </w:hyperlink>
    </w:p>
    <w:p>
      <w:pPr>
        <w:spacing w:after="100"/>
      </w:pPr>
      <w:r>
        <w:rPr>
          <w:b w:val="0"/>
          <w:color w:val="888888"/>
          <w:sz w:val="18"/>
        </w:rPr>
        <w:t>Zhou, H., Goh, R., Phillips, I., Firestone, C.</w:t>
      </w:r>
    </w:p>
    <w:p>
      <w:pPr>
        <w:spacing w:after="80"/>
      </w:pPr>
      <w:r>
        <w:rPr>
          <w:b/>
          <w:color w:val="1A1A1A"/>
          <w:sz w:val="22"/>
        </w:rPr>
        <w:t xml:space="preserve">内容简介 · </w:t>
      </w:r>
      <w:r>
        <w:rPr>
          <w:b w:val="0"/>
          <w:sz w:val="22"/>
        </w:rPr>
        <w:t>This paper shows that how long a key is held down (response duration) predicts subjective confidence across perceptual and cognitive tasks, independently of response initiation time, suggesting response duration is an additional informative measure of cognitive processing. The findings offer a new behavioral tool for studying confidence and decision quality.</w:t>
      </w:r>
    </w:p>
    <w:p>
      <w:pPr>
        <w:spacing w:before="240" w:after="120"/>
      </w:pPr>
      <w:r>
        <w:rPr>
          <w:b/>
          <w:color w:val="888888"/>
          <w:sz w:val="22"/>
        </w:rPr>
        <w:t>▎ Psychonomic Bulletin &amp; Review</w:t>
      </w:r>
    </w:p>
    <w:p>
      <w:pPr>
        <w:spacing w:after="40"/>
      </w:pPr>
      <w:r>
        <w:rPr>
          <w:b/>
          <w:color w:val="1A1A1A"/>
          <w:sz w:val="26"/>
        </w:rPr>
        <w:t xml:space="preserve">13. </w:t>
      </w:r>
      <w:hyperlink r:id="rId21">
        <w:r>
          <w:rPr>
            <w:color w:val="004B7A"/>
            <w:u w:val="single"/>
            <w:b/>
            <w:sz w:val="26"/>
          </w:rPr>
          <w:t xml:space="preserve">Trade-offs between remembering and online evaluation in retrospective evaluation</w:t>
        </w:r>
      </w:hyperlink>
    </w:p>
    <w:p>
      <w:pPr>
        <w:spacing w:after="100"/>
      </w:pPr>
      <w:r>
        <w:rPr>
          <w:b w:val="0"/>
          <w:color w:val="888888"/>
          <w:sz w:val="18"/>
        </w:rPr>
        <w:t>Mason, A., Ward, G., Brown, G., Farrell, S.</w:t>
      </w:r>
    </w:p>
    <w:p>
      <w:pPr>
        <w:spacing w:after="80"/>
      </w:pPr>
      <w:r>
        <w:rPr>
          <w:b/>
          <w:color w:val="1A1A1A"/>
          <w:sz w:val="22"/>
        </w:rPr>
        <w:t xml:space="preserve">内容简介 · </w:t>
      </w:r>
      <w:r>
        <w:rPr>
          <w:b w:val="0"/>
          <w:sz w:val="22"/>
        </w:rPr>
        <w:t>This paper investigates how people trade off memory encoding versus online evaluation when making retrospective willingness-to-pay judgments about sequences of monetary values, finding that dual-task attempts lead to performance decrements and suboptimal resource allocation relative to a pure memory strategy.</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371/journal.pcbi.1014409" TargetMode="External"/><Relationship Id="rId10" Type="http://schemas.openxmlformats.org/officeDocument/2006/relationships/hyperlink" Target="https://doi.org/10.1037/rev0000644" TargetMode="External"/><Relationship Id="rId11" Type="http://schemas.openxmlformats.org/officeDocument/2006/relationships/hyperlink" Target="https://doi.org/10.1007/s11166-026-09503-y" TargetMode="External"/><Relationship Id="rId12" Type="http://schemas.openxmlformats.org/officeDocument/2006/relationships/hyperlink" Target="https://doi.org/10.1007/s11166-026-09500-1" TargetMode="External"/><Relationship Id="rId13" Type="http://schemas.openxmlformats.org/officeDocument/2006/relationships/hyperlink" Target="https://doi.org/10.1002/bdm.70087" TargetMode="External"/><Relationship Id="rId14" Type="http://schemas.openxmlformats.org/officeDocument/2006/relationships/hyperlink" Target="https://doi.org/10.7554/elife.110729" TargetMode="External"/><Relationship Id="rId15" Type="http://schemas.openxmlformats.org/officeDocument/2006/relationships/hyperlink" Target="https://doi.org/10.1037/rev0000633" TargetMode="External"/><Relationship Id="rId16" Type="http://schemas.openxmlformats.org/officeDocument/2006/relationships/hyperlink" Target="https://doi.org/10.1037/rev0000635" TargetMode="External"/><Relationship Id="rId17" Type="http://schemas.openxmlformats.org/officeDocument/2006/relationships/hyperlink" Target="https://doi.org/10.1037/rev0000638" TargetMode="External"/><Relationship Id="rId18" Type="http://schemas.openxmlformats.org/officeDocument/2006/relationships/hyperlink" Target="https://doi.org/10.1038/s41467-026-75773-4" TargetMode="External"/><Relationship Id="rId19" Type="http://schemas.openxmlformats.org/officeDocument/2006/relationships/hyperlink" Target="https://doi.org/10.1073/pnas.2525494123" TargetMode="External"/><Relationship Id="rId20" Type="http://schemas.openxmlformats.org/officeDocument/2006/relationships/hyperlink" Target="https://doi.org/10.1073/pnas.2612367123" TargetMode="External"/><Relationship Id="rId21" Type="http://schemas.openxmlformats.org/officeDocument/2006/relationships/hyperlink" Target="https://doi.org/10.3758/s13423-026-02970-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