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0501-poplar</w:t>
      </w:r>
    </w:p>
    <w:p>
      <w:pPr>
        <w:pStyle w:val="Compact"/>
        <w:numPr>
          <w:numId w:val="1001"/>
          <w:ilvl w:val="0"/>
        </w:numPr>
      </w:pPr>
      <w:hyperlink w:anchor="computational-analysis">
        <w:r>
          <w:rPr>
            <w:rStyle w:val="Hyperlink"/>
          </w:rPr>
          <w:t xml:space="preserve">Computational analysis:</w:t>
        </w:r>
      </w:hyperlink>
    </w:p>
    <w:p>
      <w:pPr>
        <w:pStyle w:val="Heading2"/>
      </w:pPr>
      <w:bookmarkStart w:id="20" w:name="computational-analysis"/>
      <w:r>
        <w:t xml:space="preserve">Computational analysis:</w:t>
      </w:r>
      <w:bookmarkEnd w:id="20"/>
    </w:p>
    <w:p>
      <w:pPr>
        <w:pStyle w:val="FirstParagraph"/>
      </w:pPr>
      <w:r>
        <w:rPr>
          <w:u w:val="single"/>
        </w:rPr>
        <w:t xml:space="preserve">DAP-Seq: Mapping, quantification and peak calling</w:t>
      </w:r>
    </w:p>
    <w:p>
      <w:pPr>
        <w:pStyle w:val="BodyText"/>
      </w:pPr>
      <w:r>
        <w:t xml:space="preserve">Adapters were trimmed off from raw reads with “trim_galore” (!CITE!TRIM_GALORE). Raw reads were mapped to the genome "sPta717-v1-1" (downloaded from "http://aspendb.uga.edu/index.php/databases/spta-717-genome") with Bowtie2 (</w:t>
      </w:r>
      <w:r>
        <w:t xml:space="preserve">(</w:t>
      </w:r>
      <w:r>
        <w:rPr>
          <w:i/>
        </w:rPr>
        <w:t xml:space="preserve">1</w:t>
      </w:r>
      <w:r>
        <w:t xml:space="preserve">)</w:t>
      </w:r>
      <w:r>
        <w:t xml:space="preserve">) under argument:"--no-mixed --no-discordant --no-unal -k2". Duplicate reads were removed with Picard using default setting (!CITE!PICARD). The resultant alignment is used for downstream quantification and visualisation</w:t>
      </w:r>
    </w:p>
    <w:p>
      <w:pPr>
        <w:pStyle w:val="BodyText"/>
      </w:pPr>
      <w:r>
        <w:t xml:space="preserve">Genomic binding profile was quantified in RPKM (Reads Per Kilobase per Million mapped reads) using a bin-size of 10bp. For each bin,</w:t>
      </w:r>
      <w:r>
        <w:t xml:space="preserve"> </w:t>
      </w:r>
      <w:r>
        <w:drawing>
          <wp:inline>
            <wp:extent cx="3867150" cy="428625"/>
            <wp:effectExtent b="0" l="0" r="0" t="0"/>
            <wp:docPr descr="\text{RPKM}_{\text{bin}}=\frac{\# \text{Reads covering bin}} { \text{bin-size} } \cdot \frac{10^6}{ \#\text{Mapped reads}}" title="\text{RPKM}_{\text{bin}}=\frac{\# \text{Reads covering bin}} { \text{bin-size} } \cdot \frac{10^6}{ \#\text{Mapped reads}}" id="1" name="Picture"/>
            <a:graphic>
              <a:graphicData uri="http://schemas.openxmlformats.org/drawingml/2006/picture">
                <pic:pic>
                  <pic:nvPicPr>
                    <pic:cNvPr descr="https://latex.codecogs.com/png.latex?%5Ctext%7BRPKM%7D_%7B%5Ctext%7Bbin%7D%7D%3D%5Cfrac%7B%5C%23%20%5Ctext%7BReads%20covering%20bin%7D%7D%20%7B%20%5Ctext%7Bbin-size%7D%20%7D%20%5Ccdot%20%5Cfrac%7B10%5E6%7D%7B%20%5C%23%5Ctext%7BMapped%20reads%7D%7D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For each treated DAP-Seq library, peaks were called against a control library using MACS2 (!CITE!MACS2) with argument "--keep-dup 1 -p 0.1". Peaks from each DAP-Seq were further fitlered for FC&gt;3.0.</w:t>
      </w:r>
    </w:p>
    <w:p>
      <w:pPr>
        <w:pStyle w:val="BodyText"/>
      </w:pPr>
      <w:r>
        <w:t xml:space="preserve">Any gene with a peak within +/- 6000bp of its start codon is considered a target gene. Best arabidopsis homologue is reported for each target gene, using annotation file "Ptrichocarpa_444_v3.1.annotation_info.txt" (bulk downloaded from Phytozome 12 https://phytozome.jgi.doe.gov/pz/portal.html#!info?alias=Org_Ptrichocarpa_er).</w:t>
      </w:r>
    </w:p>
    <w:p>
      <w:pPr>
        <w:pStyle w:val="BodyText"/>
      </w:pPr>
      <w:r>
        <w:rPr>
          <w:u w:val="single"/>
        </w:rPr>
        <w:t xml:space="preserve">Availability and external packages</w:t>
      </w:r>
    </w:p>
    <w:p>
      <w:pPr>
        <w:pStyle w:val="BodyText"/>
      </w:pPr>
      <w:r>
        <w:t xml:space="preserve">Post-processing code is available as tarball as attached in the supplementary. It depends on python2 packages</w:t>
      </w:r>
      <w:r>
        <w:t xml:space="preserve"> </w:t>
      </w:r>
      <w:hyperlink r:id="rId22">
        <w:r>
          <w:rPr>
            <w:rStyle w:val="Hyperlink"/>
          </w:rPr>
          <w:t xml:space="preserve">pymisca</w:t>
        </w:r>
      </w:hyperlink>
      <w:r>
        <w:t xml:space="preserve"> </w:t>
      </w:r>
      <w:r>
        <w:t xml:space="preserve">and</w:t>
      </w:r>
      <w:r>
        <w:t xml:space="preserve"> </w:t>
      </w:r>
      <w:hyperlink r:id="rId23">
        <w:r>
          <w:rPr>
            <w:rStyle w:val="Hyperlink"/>
          </w:rPr>
          <w:t xml:space="preserve">synotil</w:t>
        </w:r>
      </w:hyperlink>
      <w:r>
        <w:t xml:space="preserve">.</w:t>
      </w:r>
    </w:p>
    <w:p>
      <w:pPr>
        <w:pStyle w:val="BodyText"/>
      </w:pPr>
      <w:r>
        <w:t xml:space="preserve">DAP-Seq data are available from: [GEO_ACCESSION]</w:t>
      </w:r>
    </w:p>
    <w:p>
      <w:pPr>
        <w:pStyle w:val="BodyText"/>
      </w:pPr>
      <w:r>
        <w:t xml:space="preserve">GNU-parallel (!CITE!GNUPARA) was used in paralleling the computational analysis.</w:t>
      </w:r>
    </w:p>
    <w:p>
      <w:pPr>
        <w:pStyle w:val="BodyText"/>
      </w:pPr>
      <w:r>
        <w:t xml:space="preserve">Bedtools (!CITE!BEDTOOLS) was used for intersection of peaks, making genomic windows.</w:t>
      </w:r>
    </w:p>
    <w:bookmarkStart w:id="25" w:name="refs"/>
    <w:bookmarkStart w:id="24" w:name="ref-BOWTIE2"/>
    <w:p>
      <w:pPr>
        <w:pStyle w:val="Bibliography"/>
      </w:pPr>
      <w:r>
        <w:t xml:space="preserve">1. B. Langmead, S. L. Salzberg, Fast gapped-read alignment with Bowtie 2.</w:t>
      </w:r>
      <w:r>
        <w:t xml:space="preserve"> </w:t>
      </w:r>
      <w:r>
        <w:rPr>
          <w:i/>
        </w:rPr>
        <w:t xml:space="preserve">Nature methods</w:t>
      </w:r>
      <w:r>
        <w:t xml:space="preserve">.</w:t>
      </w:r>
      <w:r>
        <w:t xml:space="preserve"> </w:t>
      </w:r>
      <w:r>
        <w:rPr>
          <w:b/>
        </w:rPr>
        <w:t xml:space="preserve">9</w:t>
      </w:r>
      <w:r>
        <w:t xml:space="preserve">, 357–359 (2012).</w:t>
      </w: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2" Target="https://github.com/shouldsee/pymisca" TargetMode="External" /><Relationship Type="http://schemas.openxmlformats.org/officeDocument/2006/relationships/hyperlink" Id="rId23" Target="https://github.com/shouldsee/synoti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github.com/shouldsee/pymisca" TargetMode="External" /><Relationship Type="http://schemas.openxmlformats.org/officeDocument/2006/relationships/hyperlink" Id="rId23" Target="https://github.com/shouldsee/synoti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0501-poplar</dc:title>
  <dc:creator/>
  <cp:keywords/>
  <dcterms:created xsi:type="dcterms:W3CDTF">2019-05-01T23:18:51Z</dcterms:created>
  <dcterms:modified xsi:type="dcterms:W3CDTF">2019-05-01T23:18:51Z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pandoc</vt:lpwstr>
  </property>
  <property fmtid="{D5CDD505-2E9C-101B-9397-08002B2CF9AE}" pid="3" name="viewport">
    <vt:lpwstr>width=device-width, initial-scale=1.0, user-scalable=yes</vt:lpwstr>
  </property>
</Properties>
</file>