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color w:val="121A24"/>
          <w:sz w:val="56"/>
        </w:rPr>
        <w:t>Navaid</w:t>
      </w:r>
    </w:p>
    <w:p>
      <w:r>
        <w:rPr>
          <w:rFonts w:ascii="Calibri" w:hAnsi="Calibri" w:eastAsia="Calibri"/>
          <w:b w:val="0"/>
          <w:color w:val="6F5520"/>
          <w:sz w:val="24"/>
        </w:rPr>
        <w:t>Airport Investment Intelligence Agent  ·  Architecture</w:t>
      </w:r>
    </w:p>
    <w:p>
      <w:pPr>
        <w:spacing w:after="160" w:line="240" w:lineRule="auto"/>
      </w:pPr>
      <w:r>
        <w:rPr>
          <w:rFonts w:ascii="Calibri" w:hAnsi="Calibri" w:eastAsia="Calibri"/>
          <w:b w:val="0"/>
          <w:i/>
          <w:color w:val="16130F"/>
          <w:sz w:val="22"/>
        </w:rPr>
        <w:t>Assignment deliverable: scoring methodology, key tradeoffs, and where Gemini is used versus deterministic engines. Companion to docs/ARCHITECTURE.md in the repository.</w:t>
      </w:r>
    </w:p>
    <w:p>
      <w:pPr>
        <w:spacing w:after="160" w:line="240" w:lineRule="auto"/>
      </w:pPr>
      <w:r>
        <w:rPr>
          <w:rFonts w:ascii="Calibri" w:hAnsi="Calibri" w:eastAsia="Calibri"/>
          <w:b w:val="0"/>
          <w:i w:val="0"/>
          <w:color w:val="16130F"/>
          <w:sz w:val="22"/>
        </w:rPr>
        <w:t>Public aviation files are ingested into a local DuckDB warehouse. Deterministic engines compute TEOI (with a full ScoringTrace), unmet demand, long-haul share, and congestion compares. A Gemini agent reconstructs follow-ups, decomposes multi-part questions, then may only call those engines as tools. A number lock rejects any digit that was not in a tool payload. Gemini may explain a rank; it may never produce one.</w:t>
      </w:r>
    </w:p>
    <w:p>
      <w:r>
        <w:drawing>
          <wp:inline xmlns:a="http://schemas.openxmlformats.org/drawingml/2006/main" xmlns:pic="http://schemas.openxmlformats.org/drawingml/2006/picture">
            <wp:extent cx="5852160" cy="190234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1902341"/>
                    </a:xfrm>
                    <a:prstGeom prst="rect"/>
                  </pic:spPr>
                </pic:pic>
              </a:graphicData>
            </a:graphic>
          </wp:inline>
        </w:drawing>
      </w:r>
    </w:p>
    <w:p>
      <w:r>
        <w:rPr>
          <w:rFonts w:ascii="Calibri" w:hAnsi="Calibri" w:eastAsia="Calibri"/>
          <w:b w:val="0"/>
          <w:i/>
          <w:color w:val="4D473E"/>
          <w:sz w:val="18"/>
        </w:rPr>
        <w:t>Figure 1. End-to-end pipeline. Live FAA status skips the warehouse and overlays operations delay only.</w:t>
      </w:r>
    </w:p>
    <w:p>
      <w:pPr>
        <w:pStyle w:val="Heading1"/>
      </w:pPr>
      <w:r>
        <w:rPr>
          <w:rFonts w:ascii="Calibri" w:hAnsi="Calibri"/>
          <w:color w:val="121A24"/>
        </w:rPr>
        <w:t>1. Scoring methodology</w:t>
      </w:r>
    </w:p>
    <w:p>
      <w:pPr>
        <w:pStyle w:val="Heading2"/>
      </w:pPr>
      <w:r>
        <w:rPr>
          <w:rFonts w:ascii="Calibri" w:hAnsi="Calibri"/>
          <w:color w:val="6F5520"/>
        </w:rPr>
        <w:t>Investment thesis</w:t>
      </w:r>
    </w:p>
    <w:p>
      <w:pPr>
        <w:spacing w:after="160" w:line="240" w:lineRule="auto"/>
      </w:pPr>
      <w:r>
        <w:rPr>
          <w:rFonts w:ascii="Calibri" w:hAnsi="Calibri" w:eastAsia="Calibri"/>
          <w:b w:val="0"/>
          <w:i w:val="0"/>
          <w:color w:val="16130F"/>
          <w:sz w:val="22"/>
        </w:rPr>
        <w:t>The firm invests in terminal modernization. Profit is a capacity-unlock proxy — not PFC, bond, or NPV. Busy is not investable: an airport can already be maxed on slots, curfew, or a weak catchment. TEOI (Terminal Expansion Opportunity Index) is a 0–100 peer-relative score inside the comparison set S that the analyst named.</w:t>
      </w:r>
    </w:p>
    <w:p>
      <w:pPr>
        <w:pStyle w:val="ListBullet"/>
      </w:pPr>
      <w:r>
        <w:rPr>
          <w:rFonts w:ascii="Calibri" w:hAnsi="Calibri" w:eastAsia="Calibri"/>
          <w:b w:val="0"/>
          <w:color w:val="16130F"/>
          <w:sz w:val="22"/>
        </w:rPr>
        <w:t>Landside × 1.00 — gates, holdrooms, security, bag claim, curb. Terminal capex can raise throughput.</w:t>
      </w:r>
    </w:p>
    <w:p>
      <w:pPr>
        <w:pStyle w:val="ListBullet"/>
      </w:pPr>
      <w:r>
        <w:rPr>
          <w:rFonts w:ascii="Calibri" w:hAnsi="Calibri" w:eastAsia="Calibri"/>
          <w:b w:val="0"/>
          <w:color w:val="16130F"/>
          <w:sz w:val="22"/>
        </w:rPr>
        <w:t>Mixed × 0.75 — landside and airside both bind. A terminal project only partially unlocks capacity.</w:t>
      </w:r>
    </w:p>
    <w:p>
      <w:pPr>
        <w:pStyle w:val="ListBullet"/>
      </w:pPr>
      <w:r>
        <w:rPr>
          <w:rFonts w:ascii="Calibri" w:hAnsi="Calibri" w:eastAsia="Calibri"/>
          <w:b w:val="0"/>
          <w:color w:val="16130F"/>
          <w:sz w:val="22"/>
        </w:rPr>
        <w:t>Airside × 0.40 — runways, slots, weather, ATC, noise curfew. More terminal does not create slots.</w:t>
      </w:r>
    </w:p>
    <w:p>
      <w:pPr>
        <w:pStyle w:val="ListBullet"/>
      </w:pPr>
      <w:r>
        <w:rPr>
          <w:rFonts w:ascii="Calibri" w:hAnsi="Calibri" w:eastAsia="Calibri"/>
          <w:b w:val="0"/>
          <w:color w:val="16130F"/>
          <w:sz w:val="22"/>
        </w:rPr>
        <w:t>Demand-bound × 0.30 — weak catchment, low load factor, or leakage already served nearby.</w:t>
      </w:r>
    </w:p>
    <w:p>
      <w:pPr>
        <w:pStyle w:val="Heading2"/>
      </w:pPr>
      <w:r>
        <w:rPr>
          <w:rFonts w:ascii="Calibri" w:hAnsi="Calibri"/>
          <w:color w:val="6F5520"/>
        </w:rPr>
        <w:t>Peer-relative min-max</w:t>
      </w:r>
    </w:p>
    <w:p>
      <w:pPr>
        <w:spacing w:after="160" w:line="240" w:lineRule="auto"/>
      </w:pPr>
      <w:r>
        <w:rPr>
          <w:rFonts w:ascii="Calibri" w:hAnsi="Calibri" w:eastAsia="Calibri"/>
          <w:b w:val="0"/>
          <w:i w:val="0"/>
          <w:color w:val="16130F"/>
          <w:sz w:val="22"/>
        </w:rPr>
        <w:t>Each feature is stretched 0–1 inside S. Highest in S = 1, lowest = 0. Ask New England and BOS is the high end. Ask only BOS and every feature becomes 0.5, so mixed × 0.75 can print ~37. That is not a new formula — it is a one-airport peer set. Follow-ups such as “why does BOS have this score?” reuse the last set; they must not re-rank BOS alone.</w:t>
      </w:r>
    </w:p>
    <w:p>
      <w:pPr>
        <w:pStyle w:val="Heading2"/>
      </w:pPr>
      <w:r>
        <w:rPr>
          <w:rFonts w:ascii="Calibri" w:hAnsi="Calibri"/>
          <w:color w:val="6F5520"/>
        </w:rPr>
        <w:t>Formula</w:t>
      </w:r>
    </w:p>
    <w:p>
      <w:pPr>
        <w:spacing w:after="160" w:line="240" w:lineRule="auto"/>
      </w:pPr>
      <w:r>
        <w:rPr>
          <w:rFonts w:ascii="Calibri" w:hAnsi="Calibri" w:eastAsia="Calibri"/>
          <w:b w:val="0"/>
          <w:i/>
          <w:color w:val="16130F"/>
          <w:sz w:val="22"/>
        </w:rPr>
        <w:t>TEOI = 100 × (0.22·demand_pressure + 0.18·congestion + 0.18·landside_saturation + 0.15·unmet_demand + 0.12·yield_mix + 0.10·growth_outlook + 0.05·capital_feasibility) × constraint_multiplier.</w:t>
      </w:r>
    </w:p>
    <w:p>
      <w:r>
        <w:drawing>
          <wp:inline xmlns:a="http://schemas.openxmlformats.org/drawingml/2006/main" xmlns:pic="http://schemas.openxmlformats.org/drawingml/2006/picture">
            <wp:extent cx="5577840" cy="305453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3054531"/>
                    </a:xfrm>
                    <a:prstGeom prst="rect"/>
                  </pic:spPr>
                </pic:pic>
              </a:graphicData>
            </a:graphic>
          </wp:inline>
        </w:drawing>
      </w:r>
    </w:p>
    <w:p>
      <w:r>
        <w:rPr>
          <w:rFonts w:ascii="Calibri" w:hAnsi="Calibri" w:eastAsia="Calibri"/>
          <w:b w:val="0"/>
          <w:i/>
          <w:color w:val="4D473E"/>
          <w:sz w:val="18"/>
        </w:rPr>
        <w:t>Figure 2. Default TEOI weights in navaid/scoring/weights.py. They sum to 1.00.</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color w:val="121A24"/>
                <w:sz w:val="20"/>
              </w:rPr>
              <w:t>Feature</w:t>
            </w:r>
          </w:p>
        </w:tc>
        <w:tc>
          <w:tcPr>
            <w:tcW w:type="dxa" w:w="3120"/>
          </w:tcPr>
          <w:p>
            <w:r/>
            <w:r>
              <w:rPr>
                <w:rFonts w:ascii="Calibri" w:hAnsi="Calibri" w:eastAsia="Calibri"/>
                <w:b/>
                <w:color w:val="121A24"/>
                <w:sz w:val="20"/>
              </w:rPr>
              <w:t>Weight</w:t>
            </w:r>
          </w:p>
        </w:tc>
        <w:tc>
          <w:tcPr>
            <w:tcW w:type="dxa" w:w="3120"/>
          </w:tcPr>
          <w:p>
            <w:r/>
            <w:r>
              <w:rPr>
                <w:rFonts w:ascii="Calibri" w:hAnsi="Calibri" w:eastAsia="Calibri"/>
                <w:b/>
                <w:color w:val="121A24"/>
                <w:sz w:val="20"/>
              </w:rPr>
              <w:t>Role</w:t>
            </w:r>
          </w:p>
        </w:tc>
      </w:tr>
      <w:tr>
        <w:tc>
          <w:tcPr>
            <w:tcW w:type="dxa" w:w="3120"/>
          </w:tcPr>
          <w:p>
            <w:r/>
            <w:r>
              <w:rPr>
                <w:rFonts w:ascii="Calibri" w:hAnsi="Calibri" w:eastAsia="Calibri"/>
                <w:b w:val="0"/>
                <w:color w:val="16130F"/>
                <w:sz w:val="20"/>
              </w:rPr>
              <w:t>Demand pressure</w:t>
            </w:r>
          </w:p>
        </w:tc>
        <w:tc>
          <w:tcPr>
            <w:tcW w:type="dxa" w:w="3120"/>
          </w:tcPr>
          <w:p>
            <w:r/>
            <w:r>
              <w:rPr>
                <w:rFonts w:ascii="Calibri" w:hAnsi="Calibri" w:eastAsia="Calibri"/>
                <w:b w:val="0"/>
                <w:color w:val="16130F"/>
                <w:sz w:val="20"/>
              </w:rPr>
              <w:t>0.22</w:t>
            </w:r>
          </w:p>
        </w:tc>
        <w:tc>
          <w:tcPr>
            <w:tcW w:type="dxa" w:w="3120"/>
          </w:tcPr>
          <w:p>
            <w:r/>
            <w:r>
              <w:rPr>
                <w:rFonts w:ascii="Calibri" w:hAnsi="Calibri" w:eastAsia="Calibri"/>
                <w:b w:val="0"/>
                <w:color w:val="16130F"/>
                <w:sz w:val="20"/>
              </w:rPr>
              <w:t>Enplanements / YoY vs peers in S</w:t>
            </w:r>
          </w:p>
        </w:tc>
      </w:tr>
      <w:tr>
        <w:tc>
          <w:tcPr>
            <w:tcW w:type="dxa" w:w="3120"/>
          </w:tcPr>
          <w:p>
            <w:r/>
            <w:r>
              <w:rPr>
                <w:rFonts w:ascii="Calibri" w:hAnsi="Calibri" w:eastAsia="Calibri"/>
                <w:b w:val="0"/>
                <w:color w:val="16130F"/>
                <w:sz w:val="20"/>
              </w:rPr>
              <w:t>Congestion</w:t>
            </w:r>
          </w:p>
        </w:tc>
        <w:tc>
          <w:tcPr>
            <w:tcW w:type="dxa" w:w="3120"/>
          </w:tcPr>
          <w:p>
            <w:r/>
            <w:r>
              <w:rPr>
                <w:rFonts w:ascii="Calibri" w:hAnsi="Calibri" w:eastAsia="Calibri"/>
                <w:b w:val="0"/>
                <w:color w:val="16130F"/>
                <w:sz w:val="20"/>
              </w:rPr>
              <w:t>0.18</w:t>
            </w:r>
          </w:p>
        </w:tc>
        <w:tc>
          <w:tcPr>
            <w:tcW w:type="dxa" w:w="3120"/>
          </w:tcPr>
          <w:p>
            <w:r/>
            <w:r>
              <w:rPr>
                <w:rFonts w:ascii="Calibri" w:hAnsi="Calibri" w:eastAsia="Calibri"/>
                <w:b w:val="0"/>
                <w:color w:val="16130F"/>
                <w:sz w:val="20"/>
              </w:rPr>
              <w:t>Delay / cancel / utilization vs peers</w:t>
            </w:r>
          </w:p>
        </w:tc>
      </w:tr>
      <w:tr>
        <w:tc>
          <w:tcPr>
            <w:tcW w:type="dxa" w:w="3120"/>
          </w:tcPr>
          <w:p>
            <w:r/>
            <w:r>
              <w:rPr>
                <w:rFonts w:ascii="Calibri" w:hAnsi="Calibri" w:eastAsia="Calibri"/>
                <w:b w:val="0"/>
                <w:color w:val="16130F"/>
                <w:sz w:val="20"/>
              </w:rPr>
              <w:t>Landside saturation</w:t>
            </w:r>
          </w:p>
        </w:tc>
        <w:tc>
          <w:tcPr>
            <w:tcW w:type="dxa" w:w="3120"/>
          </w:tcPr>
          <w:p>
            <w:r/>
            <w:r>
              <w:rPr>
                <w:rFonts w:ascii="Calibri" w:hAnsi="Calibri" w:eastAsia="Calibri"/>
                <w:b w:val="0"/>
                <w:color w:val="16130F"/>
                <w:sz w:val="20"/>
              </w:rPr>
              <w:t>0.18</w:t>
            </w:r>
          </w:p>
        </w:tc>
        <w:tc>
          <w:tcPr>
            <w:tcW w:type="dxa" w:w="3120"/>
          </w:tcPr>
          <w:p>
            <w:r/>
            <w:r>
              <w:rPr>
                <w:rFonts w:ascii="Calibri" w:hAnsi="Calibri" w:eastAsia="Calibri"/>
                <w:b w:val="0"/>
                <w:color w:val="16130F"/>
                <w:sz w:val="20"/>
              </w:rPr>
              <w:t>Passengers per gate vs peers</w:t>
            </w:r>
          </w:p>
        </w:tc>
      </w:tr>
      <w:tr>
        <w:tc>
          <w:tcPr>
            <w:tcW w:type="dxa" w:w="3120"/>
          </w:tcPr>
          <w:p>
            <w:r/>
            <w:r>
              <w:rPr>
                <w:rFonts w:ascii="Calibri" w:hAnsi="Calibri" w:eastAsia="Calibri"/>
                <w:b w:val="0"/>
                <w:color w:val="16130F"/>
                <w:sz w:val="20"/>
              </w:rPr>
              <w:t>Unmet demand</w:t>
            </w:r>
          </w:p>
        </w:tc>
        <w:tc>
          <w:tcPr>
            <w:tcW w:type="dxa" w:w="3120"/>
          </w:tcPr>
          <w:p>
            <w:r/>
            <w:r>
              <w:rPr>
                <w:rFonts w:ascii="Calibri" w:hAnsi="Calibri" w:eastAsia="Calibri"/>
                <w:b w:val="0"/>
                <w:color w:val="16130F"/>
                <w:sz w:val="20"/>
              </w:rPr>
              <w:t>0.15</w:t>
            </w:r>
          </w:p>
        </w:tc>
        <w:tc>
          <w:tcPr>
            <w:tcW w:type="dxa" w:w="3120"/>
          </w:tcPr>
          <w:p>
            <w:r/>
            <w:r>
              <w:rPr>
                <w:rFonts w:ascii="Calibri" w:hAnsi="Calibri" w:eastAsia="Calibri"/>
                <w:b w:val="0"/>
                <w:color w:val="16130F"/>
                <w:sz w:val="20"/>
              </w:rPr>
              <w:t>Load-factor gap + TAF gap + leakage</w:t>
            </w:r>
          </w:p>
        </w:tc>
      </w:tr>
      <w:tr>
        <w:tc>
          <w:tcPr>
            <w:tcW w:type="dxa" w:w="3120"/>
          </w:tcPr>
          <w:p>
            <w:r/>
            <w:r>
              <w:rPr>
                <w:rFonts w:ascii="Calibri" w:hAnsi="Calibri" w:eastAsia="Calibri"/>
                <w:b w:val="0"/>
                <w:color w:val="16130F"/>
                <w:sz w:val="20"/>
              </w:rPr>
              <w:t>Yield mix</w:t>
            </w:r>
          </w:p>
        </w:tc>
        <w:tc>
          <w:tcPr>
            <w:tcW w:type="dxa" w:w="3120"/>
          </w:tcPr>
          <w:p>
            <w:r/>
            <w:r>
              <w:rPr>
                <w:rFonts w:ascii="Calibri" w:hAnsi="Calibri" w:eastAsia="Calibri"/>
                <w:b w:val="0"/>
                <w:color w:val="16130F"/>
                <w:sz w:val="20"/>
              </w:rPr>
              <w:t>0.12</w:t>
            </w:r>
          </w:p>
        </w:tc>
        <w:tc>
          <w:tcPr>
            <w:tcW w:type="dxa" w:w="3120"/>
          </w:tcPr>
          <w:p>
            <w:r/>
            <w:r>
              <w:rPr>
                <w:rFonts w:ascii="Calibri" w:hAnsi="Calibri" w:eastAsia="Calibri"/>
                <w:b w:val="0"/>
                <w:color w:val="16130F"/>
                <w:sz w:val="20"/>
              </w:rPr>
              <w:t>Long-haul / international mix as a yield proxy</w:t>
            </w:r>
          </w:p>
        </w:tc>
      </w:tr>
      <w:tr>
        <w:tc>
          <w:tcPr>
            <w:tcW w:type="dxa" w:w="3120"/>
          </w:tcPr>
          <w:p>
            <w:r/>
            <w:r>
              <w:rPr>
                <w:rFonts w:ascii="Calibri" w:hAnsi="Calibri" w:eastAsia="Calibri"/>
                <w:b w:val="0"/>
                <w:color w:val="16130F"/>
                <w:sz w:val="20"/>
              </w:rPr>
              <w:t>Growth outlook</w:t>
            </w:r>
          </w:p>
        </w:tc>
        <w:tc>
          <w:tcPr>
            <w:tcW w:type="dxa" w:w="3120"/>
          </w:tcPr>
          <w:p>
            <w:r/>
            <w:r>
              <w:rPr>
                <w:rFonts w:ascii="Calibri" w:hAnsi="Calibri" w:eastAsia="Calibri"/>
                <w:b w:val="0"/>
                <w:color w:val="16130F"/>
                <w:sz w:val="20"/>
              </w:rPr>
              <w:t>0.10</w:t>
            </w:r>
          </w:p>
        </w:tc>
        <w:tc>
          <w:tcPr>
            <w:tcW w:type="dxa" w:w="3120"/>
          </w:tcPr>
          <w:p>
            <w:r/>
            <w:r>
              <w:rPr>
                <w:rFonts w:ascii="Calibri" w:hAnsi="Calibri" w:eastAsia="Calibri"/>
                <w:b w:val="0"/>
                <w:color w:val="16130F"/>
                <w:sz w:val="20"/>
              </w:rPr>
              <w:t>TAF / CAGR outlook vs peers</w:t>
            </w:r>
          </w:p>
        </w:tc>
      </w:tr>
      <w:tr>
        <w:tc>
          <w:tcPr>
            <w:tcW w:type="dxa" w:w="3120"/>
          </w:tcPr>
          <w:p>
            <w:r/>
            <w:r>
              <w:rPr>
                <w:rFonts w:ascii="Calibri" w:hAnsi="Calibri" w:eastAsia="Calibri"/>
                <w:b w:val="0"/>
                <w:color w:val="16130F"/>
                <w:sz w:val="20"/>
              </w:rPr>
              <w:t>Capital feasibility</w:t>
            </w:r>
          </w:p>
        </w:tc>
        <w:tc>
          <w:tcPr>
            <w:tcW w:type="dxa" w:w="3120"/>
          </w:tcPr>
          <w:p>
            <w:r/>
            <w:r>
              <w:rPr>
                <w:rFonts w:ascii="Calibri" w:hAnsi="Calibri" w:eastAsia="Calibri"/>
                <w:b w:val="0"/>
                <w:color w:val="16130F"/>
                <w:sz w:val="20"/>
              </w:rPr>
              <w:t>0.05</w:t>
            </w:r>
          </w:p>
        </w:tc>
        <w:tc>
          <w:tcPr>
            <w:tcW w:type="dxa" w:w="3120"/>
          </w:tcPr>
          <w:p>
            <w:r/>
            <w:r>
              <w:rPr>
                <w:rFonts w:ascii="Calibri" w:hAnsi="Calibri" w:eastAsia="Calibri"/>
                <w:b w:val="0"/>
                <w:color w:val="16130F"/>
                <w:sz w:val="20"/>
              </w:rPr>
              <w:t>NPIAS/AIP; often the dropped weight</w:t>
            </w:r>
          </w:p>
        </w:tc>
      </w:tr>
    </w:tbl>
    <w:p/>
    <w:p>
      <w:r>
        <w:drawing>
          <wp:inline xmlns:a="http://schemas.openxmlformats.org/drawingml/2006/main" xmlns:pic="http://schemas.openxmlformats.org/drawingml/2006/picture">
            <wp:extent cx="5577840" cy="272509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725094"/>
                    </a:xfrm>
                    <a:prstGeom prst="rect"/>
                  </pic:spPr>
                </pic:pic>
              </a:graphicData>
            </a:graphic>
          </wp:inline>
        </w:drawing>
      </w:r>
    </w:p>
    <w:p>
      <w:r>
        <w:rPr>
          <w:rFonts w:ascii="Calibri" w:hAnsi="Calibri" w:eastAsia="Calibri"/>
          <w:b w:val="0"/>
          <w:i/>
          <w:color w:val="4D473E"/>
          <w:sz w:val="18"/>
        </w:rPr>
        <w:t>Figure 3. Constraint multipliers applied after the weighted sum.</w:t>
      </w:r>
    </w:p>
    <w:p>
      <w:pPr>
        <w:pStyle w:val="Heading2"/>
      </w:pPr>
      <w:r>
        <w:rPr>
          <w:rFonts w:ascii="Calibri" w:hAnsi="Calibri"/>
          <w:color w:val="6F5520"/>
        </w:rPr>
        <w:t>Drop-and-renormalize</w:t>
      </w:r>
    </w:p>
    <w:p>
      <w:pPr>
        <w:spacing w:after="160" w:line="240" w:lineRule="auto"/>
      </w:pPr>
      <w:r>
        <w:rPr>
          <w:rFonts w:ascii="Calibri" w:hAnsi="Calibri" w:eastAsia="Calibri"/>
          <w:b w:val="0"/>
          <w:i w:val="0"/>
          <w:color w:val="16130F"/>
          <w:sz w:val="22"/>
        </w:rPr>
        <w:t>If a feature is missing (for example no NPIAS for capital feasibility), that weight is removed and the remainder is rescaled to 1.0. Navaid never invents gate counts or TAF. The drop is listed on the ScoringTrace (weights_dropped, weights_used) and in the envelope. Example: drop 0.05; remaining mass 0.95; demand pressure used weight becomes 0.22 / 0.95 ≈ 0.232. Contributions are 100 × weight_used × scaled_0_1.</w:t>
      </w:r>
    </w:p>
    <w:p>
      <w:r>
        <w:drawing>
          <wp:inline xmlns:a="http://schemas.openxmlformats.org/drawingml/2006/main" xmlns:pic="http://schemas.openxmlformats.org/drawingml/2006/picture">
            <wp:extent cx="5577840" cy="290269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902697"/>
                    </a:xfrm>
                    <a:prstGeom prst="rect"/>
                  </pic:spPr>
                </pic:pic>
              </a:graphicData>
            </a:graphic>
          </wp:inline>
        </w:drawing>
      </w:r>
    </w:p>
    <w:p>
      <w:r>
        <w:rPr>
          <w:rFonts w:ascii="Calibri" w:hAnsi="Calibri" w:eastAsia="Calibri"/>
          <w:b w:val="0"/>
          <w:i/>
          <w:color w:val="4D473E"/>
          <w:sz w:val="18"/>
        </w:rPr>
        <w:t>Figure 4. Illustrative BDL waterfall after drop-and-renormalize. Live ranks come from the warehouse, not this picture.</w:t>
      </w:r>
    </w:p>
    <w:p>
      <w:pPr>
        <w:pStyle w:val="Heading2"/>
      </w:pPr>
      <w:r>
        <w:rPr>
          <w:rFonts w:ascii="Calibri" w:hAnsi="Calibri"/>
          <w:color w:val="6F5520"/>
        </w:rPr>
        <w:t>Unmet demand</w:t>
      </w:r>
    </w:p>
    <w:p>
      <w:pPr>
        <w:pStyle w:val="ListBullet"/>
      </w:pPr>
      <w:r>
        <w:rPr>
          <w:rFonts w:ascii="Calibri" w:hAnsi="Calibri" w:eastAsia="Calibri"/>
          <w:b w:val="0"/>
          <w:color w:val="16130F"/>
          <w:sz w:val="22"/>
        </w:rPr>
        <w:t>Load-factor gap: served × max(0, LF − 0.85) / 0.85.</w:t>
      </w:r>
    </w:p>
    <w:p>
      <w:pPr>
        <w:pStyle w:val="ListBullet"/>
      </w:pPr>
      <w:r>
        <w:rPr>
          <w:rFonts w:ascii="Calibri" w:hAnsi="Calibri" w:eastAsia="Calibri"/>
          <w:b w:val="0"/>
          <w:color w:val="16130F"/>
          <w:sz w:val="22"/>
        </w:rPr>
        <w:t>Forecast gap: max(0, TAF_10y − implied_current_capacity) if TAF exists.</w:t>
      </w:r>
    </w:p>
    <w:p>
      <w:pPr>
        <w:pStyle w:val="ListBullet"/>
      </w:pPr>
      <w:r>
        <w:rPr>
          <w:rFonts w:ascii="Calibri" w:hAnsi="Calibri" w:eastAsia="Calibri"/>
          <w:b w:val="0"/>
          <w:color w:val="16130F"/>
          <w:sz w:val="22"/>
        </w:rPr>
        <w:t>Leakage: same-CBSA airports growing faster, only while origin load factor is at or above 85%.</w:t>
      </w:r>
    </w:p>
    <w:p>
      <w:pPr>
        <w:spacing w:after="160" w:line="240" w:lineRule="auto"/>
      </w:pPr>
      <w:r>
        <w:rPr>
          <w:rFonts w:ascii="Calibri" w:hAnsi="Calibri" w:eastAsia="Calibri"/>
          <w:b w:val="0"/>
          <w:i w:val="0"/>
          <w:color w:val="16130F"/>
          <w:sz w:val="22"/>
        </w:rPr>
        <w:t>If load factor is below the seat-pressure rule, leakage is qualitative (for SFO: OAK/SJC) and not in the number. A TAF 10-year gap can still produce unmet passengers. Slot/curfew remain the investment caveat: a forecast gap is not a missing concourse.</w:t>
      </w:r>
    </w:p>
    <w:p>
      <w:pPr>
        <w:pStyle w:val="Heading2"/>
      </w:pPr>
      <w:r>
        <w:rPr>
          <w:rFonts w:ascii="Calibri" w:hAnsi="Calibri"/>
          <w:color w:val="6F5520"/>
        </w:rPr>
        <w:t>Long-haul</w:t>
      </w:r>
    </w:p>
    <w:p>
      <w:pPr>
        <w:spacing w:after="160" w:line="240" w:lineRule="auto"/>
      </w:pPr>
      <w:r>
        <w:rPr>
          <w:rFonts w:ascii="Calibri" w:hAnsi="Calibri" w:eastAsia="Calibri"/>
          <w:b w:val="0"/>
          <w:i w:val="0"/>
          <w:color w:val="16130F"/>
          <w:sz w:val="22"/>
        </w:rPr>
        <w:t>Great-circle kilometres on BTS T-100 segments, default Eurocontrol threshold 4000 km. The engine reports flight-segment share and passenger share, plus international share and optional percent over 6 hours. Cargo is excluded unless asked. Pin ANC→JFK ≈ 5420 km / 3370 mi. Warehouse T-100 is a filtered commercial sample, not every cargo and connecting itinerary. ANC→SEA→JFK is two segments, not true origin-and-destination.</w:t>
      </w:r>
    </w:p>
    <w:p>
      <w:pPr>
        <w:pStyle w:val="Heading2"/>
      </w:pPr>
      <w:r>
        <w:rPr>
          <w:rFonts w:ascii="Calibri" w:hAnsi="Calibri"/>
          <w:color w:val="6F5520"/>
        </w:rPr>
        <w:t>Congestion and ranker</w:t>
      </w:r>
    </w:p>
    <w:p>
      <w:pPr>
        <w:spacing w:after="160" w:line="240" w:lineRule="auto"/>
      </w:pPr>
      <w:r>
        <w:rPr>
          <w:rFonts w:ascii="Calibri" w:hAnsi="Calibri" w:eastAsia="Calibri"/>
          <w:b w:val="0"/>
          <w:i w:val="0"/>
          <w:color w:val="16130F"/>
          <w:sz w:val="22"/>
        </w:rPr>
        <w:t>Congestion is compared axis by axis: delay share, average arrival delay, cancellations, operations per runway, live FAA status, constraint type, and curfew text. There is no single congestion score. Shared ranks are 3, 3, 5; leftover ties break by ICAO ascending. Deterministic.</w:t>
      </w:r>
    </w:p>
    <w:p>
      <w:pPr>
        <w:pStyle w:val="Heading1"/>
      </w:pPr>
      <w:r>
        <w:rPr>
          <w:rFonts w:ascii="Calibri" w:hAnsi="Calibri"/>
          <w:color w:val="121A24"/>
        </w:rPr>
        <w:t>2. Key tradeoffs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Calibri" w:hAnsi="Calibri" w:eastAsia="Calibri"/>
                <w:b/>
                <w:color w:val="121A24"/>
                <w:sz w:val="20"/>
              </w:rPr>
              <w:t>Choice</w:t>
            </w:r>
          </w:p>
        </w:tc>
        <w:tc>
          <w:tcPr>
            <w:tcW w:type="dxa" w:w="2340"/>
          </w:tcPr>
          <w:p>
            <w:r/>
            <w:r>
              <w:rPr>
                <w:rFonts w:ascii="Calibri" w:hAnsi="Calibri" w:eastAsia="Calibri"/>
                <w:b/>
                <w:color w:val="121A24"/>
                <w:sz w:val="20"/>
              </w:rPr>
              <w:t>What we shipped</w:t>
            </w:r>
          </w:p>
        </w:tc>
        <w:tc>
          <w:tcPr>
            <w:tcW w:type="dxa" w:w="2340"/>
          </w:tcPr>
          <w:p>
            <w:r/>
            <w:r>
              <w:rPr>
                <w:rFonts w:ascii="Calibri" w:hAnsi="Calibri" w:eastAsia="Calibri"/>
                <w:b/>
                <w:color w:val="121A24"/>
                <w:sz w:val="20"/>
              </w:rPr>
              <w:t>What we refused</w:t>
            </w:r>
          </w:p>
        </w:tc>
        <w:tc>
          <w:tcPr>
            <w:tcW w:type="dxa" w:w="2340"/>
          </w:tcPr>
          <w:p>
            <w:r/>
            <w:r>
              <w:rPr>
                <w:rFonts w:ascii="Calibri" w:hAnsi="Calibri" w:eastAsia="Calibri"/>
                <w:b/>
                <w:color w:val="121A24"/>
                <w:sz w:val="20"/>
              </w:rPr>
              <w:t>Why</w:t>
            </w:r>
          </w:p>
        </w:tc>
      </w:tr>
      <w:tr>
        <w:tc>
          <w:tcPr>
            <w:tcW w:type="dxa" w:w="2340"/>
          </w:tcPr>
          <w:p>
            <w:r/>
            <w:r>
              <w:rPr>
                <w:rFonts w:ascii="Calibri" w:hAnsi="Calibri" w:eastAsia="Calibri"/>
                <w:b w:val="0"/>
                <w:color w:val="16130F"/>
                <w:sz w:val="20"/>
              </w:rPr>
              <w:t>KPI</w:t>
            </w:r>
          </w:p>
        </w:tc>
        <w:tc>
          <w:tcPr>
            <w:tcW w:type="dxa" w:w="2340"/>
          </w:tcPr>
          <w:p>
            <w:r/>
            <w:r>
              <w:rPr>
                <w:rFonts w:ascii="Calibri" w:hAnsi="Calibri" w:eastAsia="Calibri"/>
                <w:b w:val="0"/>
                <w:color w:val="16130F"/>
                <w:sz w:val="20"/>
              </w:rPr>
              <w:t>Peer-relative TEOI + traces</w:t>
            </w:r>
          </w:p>
        </w:tc>
        <w:tc>
          <w:tcPr>
            <w:tcW w:type="dxa" w:w="2340"/>
          </w:tcPr>
          <w:p>
            <w:r/>
            <w:r>
              <w:rPr>
                <w:rFonts w:ascii="Calibri" w:hAnsi="Calibri" w:eastAsia="Calibri"/>
                <w:b w:val="0"/>
                <w:color w:val="16130F"/>
                <w:sz w:val="20"/>
              </w:rPr>
              <w:t>LLM ranking; national grade</w:t>
            </w:r>
          </w:p>
        </w:tc>
        <w:tc>
          <w:tcPr>
            <w:tcW w:type="dxa" w:w="2340"/>
          </w:tcPr>
          <w:p>
            <w:r/>
            <w:r>
              <w:rPr>
                <w:rFonts w:ascii="Calibri" w:hAnsi="Calibri" w:eastAsia="Calibri"/>
                <w:b w:val="0"/>
                <w:color w:val="16130F"/>
                <w:sz w:val="20"/>
              </w:rPr>
              <w:t>The brief requires deterministic scoring and a visible working.</w:t>
            </w:r>
          </w:p>
        </w:tc>
      </w:tr>
      <w:tr>
        <w:tc>
          <w:tcPr>
            <w:tcW w:type="dxa" w:w="2340"/>
          </w:tcPr>
          <w:p>
            <w:r/>
            <w:r>
              <w:rPr>
                <w:rFonts w:ascii="Calibri" w:hAnsi="Calibri" w:eastAsia="Calibri"/>
                <w:b w:val="0"/>
                <w:color w:val="16130F"/>
                <w:sz w:val="20"/>
              </w:rPr>
              <w:t>Warehouse</w:t>
            </w:r>
          </w:p>
        </w:tc>
        <w:tc>
          <w:tcPr>
            <w:tcW w:type="dxa" w:w="2340"/>
          </w:tcPr>
          <w:p>
            <w:r/>
            <w:r>
              <w:rPr>
                <w:rFonts w:ascii="Calibri" w:hAnsi="Calibri" w:eastAsia="Calibri"/>
                <w:b w:val="0"/>
                <w:color w:val="16130F"/>
                <w:sz w:val="20"/>
              </w:rPr>
              <w:t>One DuckDB file</w:t>
            </w:r>
          </w:p>
        </w:tc>
        <w:tc>
          <w:tcPr>
            <w:tcW w:type="dxa" w:w="2340"/>
          </w:tcPr>
          <w:p>
            <w:r/>
            <w:r>
              <w:rPr>
                <w:rFonts w:ascii="Calibri" w:hAnsi="Calibri" w:eastAsia="Calibri"/>
                <w:b w:val="0"/>
                <w:color w:val="16130F"/>
                <w:sz w:val="20"/>
              </w:rPr>
              <w:t>Postgres / Snowflake / Pandas-as-SoR</w:t>
            </w:r>
          </w:p>
        </w:tc>
        <w:tc>
          <w:tcPr>
            <w:tcW w:type="dxa" w:w="2340"/>
          </w:tcPr>
          <w:p>
            <w:r/>
            <w:r>
              <w:rPr>
                <w:rFonts w:ascii="Calibri" w:hAnsi="Calibri" w:eastAsia="Calibri"/>
                <w:b w:val="0"/>
                <w:color w:val="16130F"/>
                <w:sz w:val="20"/>
              </w:rPr>
              <w:t>T-100 needs SQL; the assignment is local-first.</w:t>
            </w:r>
          </w:p>
        </w:tc>
      </w:tr>
      <w:tr>
        <w:tc>
          <w:tcPr>
            <w:tcW w:type="dxa" w:w="2340"/>
          </w:tcPr>
          <w:p>
            <w:r/>
            <w:r>
              <w:rPr>
                <w:rFonts w:ascii="Calibri" w:hAnsi="Calibri" w:eastAsia="Calibri"/>
                <w:b w:val="0"/>
                <w:color w:val="16130F"/>
                <w:sz w:val="20"/>
              </w:rPr>
              <w:t>RAG</w:t>
            </w:r>
          </w:p>
        </w:tc>
        <w:tc>
          <w:tcPr>
            <w:tcW w:type="dxa" w:w="2340"/>
          </w:tcPr>
          <w:p>
            <w:r/>
            <w:r>
              <w:rPr>
                <w:rFonts w:ascii="Calibri" w:hAnsi="Calibri" w:eastAsia="Calibri"/>
                <w:b w:val="0"/>
                <w:color w:val="16130F"/>
                <w:sz w:val="20"/>
              </w:rPr>
              <w:t>DuckDB FTS, airport-keyed notes</w:t>
            </w:r>
          </w:p>
        </w:tc>
        <w:tc>
          <w:tcPr>
            <w:tcW w:type="dxa" w:w="2340"/>
          </w:tcPr>
          <w:p>
            <w:r/>
            <w:r>
              <w:rPr>
                <w:rFonts w:ascii="Calibri" w:hAnsi="Calibri" w:eastAsia="Calibri"/>
                <w:b w:val="0"/>
                <w:color w:val="16130F"/>
                <w:sz w:val="20"/>
              </w:rPr>
              <w:t>Chroma, embeddings, RAG-as-ranker</w:t>
            </w:r>
          </w:p>
        </w:tc>
        <w:tc>
          <w:tcPr>
            <w:tcW w:type="dxa" w:w="2340"/>
          </w:tcPr>
          <w:p>
            <w:r/>
            <w:r>
              <w:rPr>
                <w:rFonts w:ascii="Calibri" w:hAnsi="Calibri" w:eastAsia="Calibri"/>
                <w:b w:val="0"/>
                <w:color w:val="16130F"/>
                <w:sz w:val="20"/>
              </w:rPr>
              <w:t>Tens of notes. T-100 wins facts.</w:t>
            </w:r>
          </w:p>
        </w:tc>
      </w:tr>
      <w:tr>
        <w:tc>
          <w:tcPr>
            <w:tcW w:type="dxa" w:w="2340"/>
          </w:tcPr>
          <w:p>
            <w:r/>
            <w:r>
              <w:rPr>
                <w:rFonts w:ascii="Calibri" w:hAnsi="Calibri" w:eastAsia="Calibri"/>
                <w:b w:val="0"/>
                <w:color w:val="16130F"/>
                <w:sz w:val="20"/>
              </w:rPr>
              <w:t>Agent loop</w:t>
            </w:r>
          </w:p>
        </w:tc>
        <w:tc>
          <w:tcPr>
            <w:tcW w:type="dxa" w:w="2340"/>
          </w:tcPr>
          <w:p>
            <w:r/>
            <w:r>
              <w:rPr>
                <w:rFonts w:ascii="Calibri" w:hAnsi="Calibri" w:eastAsia="Calibri"/>
                <w:b w:val="0"/>
                <w:color w:val="16130F"/>
                <w:sz w:val="20"/>
              </w:rPr>
              <w:t>Owned orchestrator</w:t>
            </w:r>
          </w:p>
        </w:tc>
        <w:tc>
          <w:tcPr>
            <w:tcW w:type="dxa" w:w="2340"/>
          </w:tcPr>
          <w:p>
            <w:r/>
            <w:r>
              <w:rPr>
                <w:rFonts w:ascii="Calibri" w:hAnsi="Calibri" w:eastAsia="Calibri"/>
                <w:b w:val="0"/>
                <w:color w:val="16130F"/>
                <w:sz w:val="20"/>
              </w:rPr>
              <w:t>LangChain, CrewAI, ADK, AFC</w:t>
            </w:r>
          </w:p>
        </w:tc>
        <w:tc>
          <w:tcPr>
            <w:tcW w:type="dxa" w:w="2340"/>
          </w:tcPr>
          <w:p>
            <w:r/>
            <w:r>
              <w:rPr>
                <w:rFonts w:ascii="Calibri" w:hAnsi="Calibri" w:eastAsia="Calibri"/>
                <w:b w:val="0"/>
                <w:color w:val="16130F"/>
                <w:sz w:val="20"/>
              </w:rPr>
              <w:t>Reconstruct, traces, and number lock must be visible Python.</w:t>
            </w:r>
          </w:p>
        </w:tc>
      </w:tr>
      <w:tr>
        <w:tc>
          <w:tcPr>
            <w:tcW w:type="dxa" w:w="2340"/>
          </w:tcPr>
          <w:p>
            <w:r/>
            <w:r>
              <w:rPr>
                <w:rFonts w:ascii="Calibri" w:hAnsi="Calibri" w:eastAsia="Calibri"/>
                <w:b w:val="0"/>
                <w:color w:val="16130F"/>
                <w:sz w:val="20"/>
              </w:rPr>
              <w:t>Model</w:t>
            </w:r>
          </w:p>
        </w:tc>
        <w:tc>
          <w:tcPr>
            <w:tcW w:type="dxa" w:w="2340"/>
          </w:tcPr>
          <w:p>
            <w:r/>
            <w:r>
              <w:rPr>
                <w:rFonts w:ascii="Calibri" w:hAnsi="Calibri" w:eastAsia="Calibri"/>
                <w:b w:val="0"/>
                <w:color w:val="16130F"/>
                <w:sz w:val="20"/>
              </w:rPr>
              <w:t>gemini-2.5-flash</w:t>
            </w:r>
          </w:p>
        </w:tc>
        <w:tc>
          <w:tcPr>
            <w:tcW w:type="dxa" w:w="2340"/>
          </w:tcPr>
          <w:p>
            <w:r/>
            <w:r>
              <w:rPr>
                <w:rFonts w:ascii="Calibri" w:hAnsi="Calibri" w:eastAsia="Calibri"/>
                <w:b w:val="0"/>
                <w:color w:val="16130F"/>
                <w:sz w:val="20"/>
              </w:rPr>
              <w:t>Pro as default; OpenAI</w:t>
            </w:r>
          </w:p>
        </w:tc>
        <w:tc>
          <w:tcPr>
            <w:tcW w:type="dxa" w:w="2340"/>
          </w:tcPr>
          <w:p>
            <w:r/>
            <w:r>
              <w:rPr>
                <w:rFonts w:ascii="Calibri" w:hAnsi="Calibri" w:eastAsia="Calibri"/>
                <w:b w:val="0"/>
                <w:color w:val="16130F"/>
                <w:sz w:val="20"/>
              </w:rPr>
              <w:t>Numbers already come from engines. Flash is enough to narrate.</w:t>
            </w:r>
          </w:p>
        </w:tc>
      </w:tr>
      <w:tr>
        <w:tc>
          <w:tcPr>
            <w:tcW w:type="dxa" w:w="2340"/>
          </w:tcPr>
          <w:p>
            <w:r/>
            <w:r>
              <w:rPr>
                <w:rFonts w:ascii="Calibri" w:hAnsi="Calibri" w:eastAsia="Calibri"/>
                <w:b w:val="0"/>
                <w:color w:val="16130F"/>
                <w:sz w:val="20"/>
              </w:rPr>
              <w:t>Profit</w:t>
            </w:r>
          </w:p>
        </w:tc>
        <w:tc>
          <w:tcPr>
            <w:tcW w:type="dxa" w:w="2340"/>
          </w:tcPr>
          <w:p>
            <w:r/>
            <w:r>
              <w:rPr>
                <w:rFonts w:ascii="Calibri" w:hAnsi="Calibri" w:eastAsia="Calibri"/>
                <w:b w:val="0"/>
                <w:color w:val="16130F"/>
                <w:sz w:val="20"/>
              </w:rPr>
              <w:t>Capacity-unlock proxy</w:t>
            </w:r>
          </w:p>
        </w:tc>
        <w:tc>
          <w:tcPr>
            <w:tcW w:type="dxa" w:w="2340"/>
          </w:tcPr>
          <w:p>
            <w:r/>
            <w:r>
              <w:rPr>
                <w:rFonts w:ascii="Calibri" w:hAnsi="Calibri" w:eastAsia="Calibri"/>
                <w:b w:val="0"/>
                <w:color w:val="16130F"/>
                <w:sz w:val="20"/>
              </w:rPr>
              <w:t>PFC / NPV / airline equity</w:t>
            </w:r>
          </w:p>
        </w:tc>
        <w:tc>
          <w:tcPr>
            <w:tcW w:type="dxa" w:w="2340"/>
          </w:tcPr>
          <w:p>
            <w:r/>
            <w:r>
              <w:rPr>
                <w:rFonts w:ascii="Calibri" w:hAnsi="Calibri" w:eastAsia="Calibri"/>
                <w:b w:val="0"/>
                <w:color w:val="16130F"/>
                <w:sz w:val="20"/>
              </w:rPr>
              <w:t>Honest scope. AAL is refused.</w:t>
            </w:r>
          </w:p>
        </w:tc>
      </w:tr>
      <w:tr>
        <w:tc>
          <w:tcPr>
            <w:tcW w:type="dxa" w:w="2340"/>
          </w:tcPr>
          <w:p>
            <w:r/>
            <w:r>
              <w:rPr>
                <w:rFonts w:ascii="Calibri" w:hAnsi="Calibri" w:eastAsia="Calibri"/>
                <w:b w:val="0"/>
                <w:color w:val="16130F"/>
                <w:sz w:val="20"/>
              </w:rPr>
              <w:t>Long-haul</w:t>
            </w:r>
          </w:p>
        </w:tc>
        <w:tc>
          <w:tcPr>
            <w:tcW w:type="dxa" w:w="2340"/>
          </w:tcPr>
          <w:p>
            <w:r/>
            <w:r>
              <w:rPr>
                <w:rFonts w:ascii="Calibri" w:hAnsi="Calibri" w:eastAsia="Calibri"/>
                <w:b w:val="0"/>
                <w:color w:val="16130F"/>
                <w:sz w:val="20"/>
              </w:rPr>
              <w:t>4000 km segments</w:t>
            </w:r>
          </w:p>
        </w:tc>
        <w:tc>
          <w:tcPr>
            <w:tcW w:type="dxa" w:w="2340"/>
          </w:tcPr>
          <w:p>
            <w:r/>
            <w:r>
              <w:rPr>
                <w:rFonts w:ascii="Calibri" w:hAnsi="Calibri" w:eastAsia="Calibri"/>
                <w:b w:val="0"/>
                <w:color w:val="16130F"/>
                <w:sz w:val="20"/>
              </w:rPr>
              <w:t>True O&amp;D; mixing km and miles</w:t>
            </w:r>
          </w:p>
        </w:tc>
        <w:tc>
          <w:tcPr>
            <w:tcW w:type="dxa" w:w="2340"/>
          </w:tcPr>
          <w:p>
            <w:r/>
            <w:r>
              <w:rPr>
                <w:rFonts w:ascii="Calibri" w:hAnsi="Calibri" w:eastAsia="Calibri"/>
                <w:b w:val="0"/>
                <w:color w:val="16130F"/>
                <w:sz w:val="20"/>
              </w:rPr>
              <w:t>T-100 is legs. ANC→JFK pins the unit.</w:t>
            </w:r>
          </w:p>
        </w:tc>
      </w:tr>
      <w:tr>
        <w:tc>
          <w:tcPr>
            <w:tcW w:type="dxa" w:w="2340"/>
          </w:tcPr>
          <w:p>
            <w:r/>
            <w:r>
              <w:rPr>
                <w:rFonts w:ascii="Calibri" w:hAnsi="Calibri" w:eastAsia="Calibri"/>
                <w:b w:val="0"/>
                <w:color w:val="16130F"/>
                <w:sz w:val="20"/>
              </w:rPr>
              <w:t>Congestion</w:t>
            </w:r>
          </w:p>
        </w:tc>
        <w:tc>
          <w:tcPr>
            <w:tcW w:type="dxa" w:w="2340"/>
          </w:tcPr>
          <w:p>
            <w:r/>
            <w:r>
              <w:rPr>
                <w:rFonts w:ascii="Calibri" w:hAnsi="Calibri" w:eastAsia="Calibri"/>
                <w:b w:val="0"/>
                <w:color w:val="16130F"/>
                <w:sz w:val="20"/>
              </w:rPr>
              <w:t>Axis-by-axis + curfew</w:t>
            </w:r>
          </w:p>
        </w:tc>
        <w:tc>
          <w:tcPr>
            <w:tcW w:type="dxa" w:w="2340"/>
          </w:tcPr>
          <w:p>
            <w:r/>
            <w:r>
              <w:rPr>
                <w:rFonts w:ascii="Calibri" w:hAnsi="Calibri" w:eastAsia="Calibri"/>
                <w:b w:val="0"/>
                <w:color w:val="16130F"/>
                <w:sz w:val="20"/>
              </w:rPr>
              <w:t>Fake composite score</w:t>
            </w:r>
          </w:p>
        </w:tc>
        <w:tc>
          <w:tcPr>
            <w:tcW w:type="dxa" w:w="2340"/>
          </w:tcPr>
          <w:p>
            <w:r/>
            <w:r>
              <w:rPr>
                <w:rFonts w:ascii="Calibri" w:hAnsi="Calibri" w:eastAsia="Calibri"/>
                <w:b w:val="0"/>
                <w:color w:val="16130F"/>
                <w:sz w:val="20"/>
              </w:rPr>
              <w:t>LAX delay volume vs SNA curfew are different facts.</w:t>
            </w:r>
          </w:p>
        </w:tc>
      </w:tr>
    </w:tbl>
    <w:p/>
    <w:p>
      <w:pPr>
        <w:spacing w:after="160" w:line="240" w:lineRule="auto"/>
      </w:pPr>
      <w:r>
        <w:rPr>
          <w:rFonts w:ascii="Calibri" w:hAnsi="Calibri" w:eastAsia="Calibri"/>
          <w:b w:val="0"/>
          <w:i w:val="0"/>
          <w:color w:val="16130F"/>
          <w:sz w:val="22"/>
        </w:rPr>
        <w:t>Stale warehouse snapshot (&gt;90 days) is always listed as an uncertainty and pulls confidence to low. Missing required inputs also force low confidence. That is an honesty tradeoff: the demo will not pretend 2024 boardings are live 2026 operations.</w:t>
      </w:r>
    </w:p>
    <w:p>
      <w:pPr>
        <w:pStyle w:val="Heading1"/>
      </w:pPr>
      <w:r>
        <w:rPr>
          <w:rFonts w:ascii="Calibri" w:hAnsi="Calibri"/>
          <w:color w:val="121A24"/>
        </w:rPr>
        <w:t>3. Where and how AI is used</w:t>
      </w:r>
    </w:p>
    <w:p>
      <w:r>
        <w:drawing>
          <wp:inline xmlns:a="http://schemas.openxmlformats.org/drawingml/2006/main" xmlns:pic="http://schemas.openxmlformats.org/drawingml/2006/picture">
            <wp:extent cx="5577840" cy="275839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2758395"/>
                    </a:xfrm>
                    <a:prstGeom prst="rect"/>
                  </pic:spPr>
                </pic:pic>
              </a:graphicData>
            </a:graphic>
          </wp:inline>
        </w:drawing>
      </w:r>
    </w:p>
    <w:p>
      <w:r>
        <w:rPr>
          <w:rFonts w:ascii="Calibri" w:hAnsi="Calibri" w:eastAsia="Calibri"/>
          <w:b w:val="0"/>
          <w:i/>
          <w:color w:val="4D473E"/>
          <w:sz w:val="18"/>
        </w:rPr>
        <w:t>Figure 5. Gemini may reconstruct, decompose, and narrate. Engines own every number.</w:t>
      </w:r>
    </w:p>
    <w:p>
      <w:pPr>
        <w:spacing w:after="160" w:line="240" w:lineRule="auto"/>
      </w:pPr>
      <w:r>
        <w:rPr>
          <w:rFonts w:ascii="Calibri" w:hAnsi="Calibri" w:eastAsia="Calibri"/>
          <w:b w:val="0"/>
          <w:i w:val="0"/>
          <w:color w:val="16130F"/>
          <w:sz w:val="22"/>
        </w:rPr>
        <w:t>Gemini is allowed to:</w:t>
      </w:r>
    </w:p>
    <w:p>
      <w:pPr>
        <w:pStyle w:val="ListBullet"/>
      </w:pPr>
      <w:r>
        <w:rPr>
          <w:rFonts w:ascii="Calibri" w:hAnsi="Calibri" w:eastAsia="Calibri"/>
          <w:b w:val="0"/>
          <w:color w:val="16130F"/>
          <w:sz w:val="22"/>
        </w:rPr>
        <w:t>Rewrite follow-ups (“those two”, “why is #2 above #3?”, “add PWM”) into a standalone reconstructed_query.</w:t>
      </w:r>
    </w:p>
    <w:p>
      <w:pPr>
        <w:pStyle w:val="ListBullet"/>
      </w:pPr>
      <w:r>
        <w:rPr>
          <w:rFonts w:ascii="Calibri" w:hAnsi="Calibri" w:eastAsia="Calibri"/>
          <w:b w:val="0"/>
          <w:color w:val="16130F"/>
          <w:sz w:val="22"/>
        </w:rPr>
        <w:t>Help decompose a compound question into closed intents — rules still emit every subgoal.</w:t>
      </w:r>
    </w:p>
    <w:p>
      <w:pPr>
        <w:pStyle w:val="ListBullet"/>
      </w:pPr>
      <w:r>
        <w:rPr>
          <w:rFonts w:ascii="Calibri" w:hAnsi="Calibri" w:eastAsia="Calibri"/>
          <w:b w:val="0"/>
          <w:color w:val="16130F"/>
          <w:sz w:val="22"/>
        </w:rPr>
        <w:t>Call a closed tool list: resolve_airport, rank_expansion, compare_congestion, longhaul_share, unmet_demand, airport_metrics, explain_teoi, search_corpus, get_live_status.</w:t>
      </w:r>
    </w:p>
    <w:p>
      <w:pPr>
        <w:pStyle w:val="ListBullet"/>
      </w:pPr>
      <w:r>
        <w:rPr>
          <w:rFonts w:ascii="Calibri" w:hAnsi="Calibri" w:eastAsia="Calibri"/>
          <w:b w:val="0"/>
          <w:color w:val="16130F"/>
          <w:sz w:val="22"/>
        </w:rPr>
        <w:t>Narrate locked traces in Markdown. Automatic function calling is off so the number lock can intercept every digit.</w:t>
      </w:r>
    </w:p>
    <w:p>
      <w:pPr>
        <w:pStyle w:val="ListBullet"/>
      </w:pPr>
      <w:r>
        <w:rPr>
          <w:rFonts w:ascii="Calibri" w:hAnsi="Calibri" w:eastAsia="Calibri"/>
          <w:b w:val="0"/>
          <w:color w:val="16130F"/>
          <w:sz w:val="22"/>
        </w:rPr>
        <w:t>Optional TTS on the workbench. Same vendor as the chat model.</w:t>
      </w:r>
    </w:p>
    <w:p>
      <w:pPr>
        <w:spacing w:after="160" w:line="240" w:lineRule="auto"/>
      </w:pPr>
      <w:r>
        <w:rPr>
          <w:rFonts w:ascii="Calibri" w:hAnsi="Calibri" w:eastAsia="Calibri"/>
          <w:b w:val="0"/>
          <w:i w:val="0"/>
          <w:color w:val="16130F"/>
          <w:sz w:val="22"/>
        </w:rPr>
        <w:t>Gemini is forbidden to:</w:t>
      </w:r>
    </w:p>
    <w:p>
      <w:pPr>
        <w:pStyle w:val="ListBullet"/>
      </w:pPr>
      <w:r>
        <w:rPr>
          <w:rFonts w:ascii="Calibri" w:hAnsi="Calibri" w:eastAsia="Calibri"/>
          <w:b w:val="0"/>
          <w:color w:val="16130F"/>
          <w:sz w:val="22"/>
        </w:rPr>
        <w:t>Produce a TEOI, rank, percent, or gate count that is not in tool JSON.</w:t>
      </w:r>
    </w:p>
    <w:p>
      <w:pPr>
        <w:pStyle w:val="ListBullet"/>
      </w:pPr>
      <w:r>
        <w:rPr>
          <w:rFonts w:ascii="Calibri" w:hAnsi="Calibri" w:eastAsia="Calibri"/>
          <w:b w:val="0"/>
          <w:color w:val="16130F"/>
          <w:sz w:val="22"/>
        </w:rPr>
        <w:t>Re-rank a singleton when session traces already include a peer set.</w:t>
      </w:r>
    </w:p>
    <w:p>
      <w:pPr>
        <w:pStyle w:val="ListBullet"/>
      </w:pPr>
      <w:r>
        <w:rPr>
          <w:rFonts w:ascii="Calibri" w:hAnsi="Calibri" w:eastAsia="Calibri"/>
          <w:b w:val="0"/>
          <w:color w:val="16130F"/>
          <w:sz w:val="22"/>
        </w:rPr>
        <w:t>Treat RAG notes as a ranker. If notes and T-100 disagree, T-100 wins.</w:t>
      </w:r>
    </w:p>
    <w:p>
      <w:pPr>
        <w:pStyle w:val="ListBullet"/>
      </w:pPr>
      <w:r>
        <w:rPr>
          <w:rFonts w:ascii="Calibri" w:hAnsi="Calibri" w:eastAsia="Calibri"/>
          <w:b w:val="0"/>
          <w:color w:val="16130F"/>
          <w:sz w:val="22"/>
        </w:rPr>
        <w:t>Advise on securities (buy AAL), restaurants, or non-airport questions — those parts are refused, the rest still answers.</w:t>
      </w:r>
    </w:p>
    <w:p>
      <w:pPr>
        <w:pStyle w:val="Heading2"/>
      </w:pPr>
      <w:r>
        <w:rPr>
          <w:rFonts w:ascii="Calibri" w:hAnsi="Calibri"/>
          <w:color w:val="6F5520"/>
        </w:rPr>
        <w:t>Every /ask</w:t>
      </w:r>
    </w:p>
    <w:p>
      <w:pPr>
        <w:spacing w:after="160" w:line="240" w:lineRule="auto"/>
      </w:pPr>
      <w:r>
        <w:rPr>
          <w:rFonts w:ascii="Calibri" w:hAnsi="Calibri" w:eastAsia="Calibri"/>
          <w:b w:val="0"/>
          <w:i w:val="0"/>
          <w:color w:val="16130F"/>
          <w:sz w:val="22"/>
        </w:rPr>
        <w:t>User question → reconstruct → decompose → plan tools → run engines → number lock + TEOI traces → narrate one section per subgoal → store session. The Answer object always carries assumptions, uncertainties, out-of-scope, confidence, sources, and as_of. Gradio and the designed site are skins over the same FastAPI contract.</w:t>
      </w:r>
    </w:p>
    <w:p>
      <w:pPr>
        <w:pStyle w:val="Heading2"/>
      </w:pPr>
      <w:r>
        <w:rPr>
          <w:rFonts w:ascii="Calibri" w:hAnsi="Calibri"/>
          <w:color w:val="6F5520"/>
        </w:rPr>
        <w:t>Canonical questions</w:t>
      </w:r>
    </w:p>
    <w:p>
      <w:pPr>
        <w:pStyle w:val="ListBullet"/>
      </w:pPr>
      <w:r>
        <w:rPr>
          <w:rFonts w:ascii="Calibri" w:hAnsi="Calibri" w:eastAsia="Calibri"/>
          <w:b w:val="0"/>
          <w:color w:val="16130F"/>
          <w:sz w:val="22"/>
        </w:rPr>
        <w:t>New England expansion — peer-relative TEOI; BOS is scale; regionals can win landside; PWM is Portland Maine, not PDX.</w:t>
      </w:r>
    </w:p>
    <w:p>
      <w:pPr>
        <w:pStyle w:val="ListBullet"/>
      </w:pPr>
      <w:r>
        <w:rPr>
          <w:rFonts w:ascii="Calibri" w:hAnsi="Calibri" w:eastAsia="Calibri"/>
          <w:b w:val="0"/>
          <w:color w:val="16130F"/>
          <w:sz w:val="22"/>
        </w:rPr>
        <w:t>LA vs Santa Ana congestion — LA → LAX not the metro; Santa Ana → SNA not SAT; no composite score.</w:t>
      </w:r>
    </w:p>
    <w:p>
      <w:pPr>
        <w:pStyle w:val="ListBullet"/>
      </w:pPr>
      <w:r>
        <w:rPr>
          <w:rFonts w:ascii="Calibri" w:hAnsi="Calibri" w:eastAsia="Calibri"/>
          <w:b w:val="0"/>
          <w:color w:val="16130F"/>
          <w:sz w:val="22"/>
        </w:rPr>
        <w:t>Anchorage long-haul — 4000 km segments; flight share and passenger share; cargo out unless asked.</w:t>
      </w:r>
    </w:p>
    <w:p>
      <w:pPr>
        <w:pStyle w:val="ListBullet"/>
      </w:pPr>
      <w:r>
        <w:rPr>
          <w:rFonts w:ascii="Calibri" w:hAnsi="Calibri" w:eastAsia="Calibri"/>
          <w:b w:val="0"/>
          <w:color w:val="16130F"/>
          <w:sz w:val="22"/>
        </w:rPr>
        <w:t>SFO unmet — clamped formula; leakage gated on 85% load factor; slot/curfew still bind.</w:t>
      </w:r>
    </w:p>
    <w:p>
      <w:r>
        <w:rPr>
          <w:rFonts w:ascii="Calibri" w:hAnsi="Calibri" w:eastAsia="Calibri"/>
          <w:b w:val="0"/>
          <w:color w:val="4D473E"/>
          <w:sz w:val="18"/>
        </w:rPr>
        <w:t>Related repository files: docs/ARCHITECTURE.md (canonical markdown), docs/GLOSSARY.md, docs/DECISION_LOG.md. Default model gemini-2.5-flash. RAG is DuckDB FTS — no embedding model, no Chroma.</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