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NATP ATP Pattern Generator</w:t>
      </w:r>
    </w:p>
    <w:p>
      <w:pPr>
        <w:spacing w:after="200"/>
      </w:pPr>
      <w:r>
        <w:rPr>
          <w:i/>
          <w:color w:val="505050"/>
          <w:sz w:val="22"/>
        </w:rPr>
        <w:t>Human overview of the MATLAB project</w:t>
      </w:r>
    </w:p>
    <w:p>
      <w:pPr>
        <w:pStyle w:val="Heading1"/>
      </w:pPr>
      <w:r>
        <w:t>What the project does</w:t>
      </w:r>
    </w:p>
    <w:p>
      <w:r>
        <w:t>This MATLAB project creates automatic test patterns for printhead and channel verification. It lays out optical-density targets, registration targets, bidirectional and scan patterns, and long line patterns on an A3 page. The patterns are converted from physical millimetre coordinates into per-channel binary images that can be used by downstream print and camera processes.</w:t>
      </w:r>
    </w:p>
    <w:p>
      <w:pPr>
        <w:pStyle w:val="Heading1"/>
      </w:pPr>
      <w:r>
        <w:t>How to run it</w:t>
      </w:r>
    </w:p>
    <w:p>
      <w:r>
        <w:t>The main entry point is Test.m. Run it from the project folder with the required MATLAB/toolbox dependencies on the path. The script uses an 800 x 800 dpi working resolution, builds the default configuration, renders the test elements, saves one-bit channel images, creates a preview, and writes a CSV report of scan locations.</w:t>
      </w:r>
    </w:p>
    <w:p>
      <w:pPr>
        <w:pStyle w:val="Heading1"/>
      </w:pPr>
      <w:r>
        <w:t>Main workflow</w:t>
      </w:r>
    </w:p>
    <w:tbl>
      <w:tblPr>
        <w:tblW w:type="auto" w:w="0"/>
        <w:jc w:val="center"/>
        <w:tblLayout w:type="fixed"/>
        <w:tblLook w:firstColumn="1" w:firstRow="1" w:lastColumn="0" w:lastRow="0" w:noHBand="0" w:noVBand="1" w:val="04A0"/>
      </w:tblPr>
      <w:tblGrid>
        <w:gridCol w:w="5040"/>
        <w:gridCol w:w="5040"/>
      </w:tblGrid>
      <w:tr>
        <w:tc>
          <w:tcPr>
            <w:tcW w:type="dxa" w:w="5040"/>
            <w:vAlign w:val="center"/>
            <w:shd w:fill="365F91"/>
          </w:tcPr>
          <w:p>
            <w:pPr>
              <w:spacing w:after="0"/>
            </w:pPr>
            <w:r/>
            <w:r>
              <w:rPr>
                <w:rFonts w:ascii="Aptos" w:hAnsi="Aptos"/>
                <w:b/>
                <w:color w:val="FFFFFF"/>
                <w:sz w:val="19"/>
              </w:rPr>
              <w:t>Stage</w:t>
            </w:r>
          </w:p>
        </w:tc>
        <w:tc>
          <w:tcPr>
            <w:tcW w:type="dxa" w:w="5040"/>
            <w:vAlign w:val="center"/>
            <w:shd w:fill="365F91"/>
          </w:tcPr>
          <w:p>
            <w:pPr>
              <w:spacing w:after="0"/>
            </w:pPr>
            <w:r/>
            <w:r>
              <w:rPr>
                <w:rFonts w:ascii="Aptos" w:hAnsi="Aptos"/>
                <w:b/>
                <w:color w:val="FFFFFF"/>
                <w:sz w:val="19"/>
              </w:rPr>
              <w:t>What happens</w:t>
            </w:r>
          </w:p>
        </w:tc>
      </w:tr>
      <w:tr>
        <w:tc>
          <w:tcPr>
            <w:tcW w:type="dxa" w:w="5040"/>
            <w:vAlign w:val="center"/>
            <w:shd w:fill="EAF1F8"/>
          </w:tcPr>
          <w:p>
            <w:pPr>
              <w:spacing w:after="0"/>
            </w:pPr>
            <w:r/>
            <w:r>
              <w:rPr>
                <w:rFonts w:ascii="Aptos" w:hAnsi="Aptos"/>
                <w:b/>
                <w:sz w:val="19"/>
              </w:rPr>
              <w:t>1. Configure</w:t>
            </w:r>
          </w:p>
        </w:tc>
        <w:tc>
          <w:tcPr>
            <w:tcW w:type="dxa" w:w="5040"/>
            <w:vAlign w:val="center"/>
          </w:tcPr>
          <w:p>
            <w:pPr>
              <w:spacing w:after="0"/>
            </w:pPr>
            <w:r/>
            <w:r>
              <w:rPr>
                <w:rFonts w:ascii="Aptos" w:hAnsi="Aptos"/>
                <w:b w:val="0"/>
                <w:sz w:val="19"/>
              </w:rPr>
              <w:t>makeDB.m defines paper size, channels, section positions, dimensions, offsets, masks, and heat-stripe settings.</w:t>
            </w:r>
          </w:p>
        </w:tc>
      </w:tr>
      <w:tr>
        <w:tc>
          <w:tcPr>
            <w:tcW w:type="dxa" w:w="5040"/>
            <w:vAlign w:val="center"/>
            <w:shd w:fill="EAF1F8"/>
          </w:tcPr>
          <w:p>
            <w:pPr>
              <w:spacing w:after="0"/>
            </w:pPr>
            <w:r/>
            <w:r>
              <w:rPr>
                <w:rFonts w:ascii="Aptos" w:hAnsi="Aptos"/>
                <w:b/>
                <w:sz w:val="19"/>
              </w:rPr>
              <w:t>2. Describe</w:t>
            </w:r>
          </w:p>
        </w:tc>
        <w:tc>
          <w:tcPr>
            <w:tcW w:type="dxa" w:w="5040"/>
            <w:vAlign w:val="center"/>
          </w:tcPr>
          <w:p>
            <w:pPr>
              <w:spacing w:after="0"/>
            </w:pPr>
            <w:r/>
            <w:r>
              <w:rPr>
                <w:rFonts w:ascii="Aptos" w:hAnsi="Aptos"/>
                <w:b w:val="0"/>
                <w:sz w:val="19"/>
              </w:rPr>
              <w:t>getInfo.m converts the configuration into a list of OD, BiDir, Scan, and Line elements.</w:t>
            </w:r>
          </w:p>
        </w:tc>
      </w:tr>
      <w:tr>
        <w:tc>
          <w:tcPr>
            <w:tcW w:type="dxa" w:w="5040"/>
            <w:vAlign w:val="center"/>
            <w:shd w:fill="EAF1F8"/>
          </w:tcPr>
          <w:p>
            <w:pPr>
              <w:spacing w:after="0"/>
            </w:pPr>
            <w:r/>
            <w:r>
              <w:rPr>
                <w:rFonts w:ascii="Aptos" w:hAnsi="Aptos"/>
                <w:b/>
                <w:sz w:val="19"/>
              </w:rPr>
              <w:t>3. Build</w:t>
            </w:r>
          </w:p>
        </w:tc>
        <w:tc>
          <w:tcPr>
            <w:tcW w:type="dxa" w:w="5040"/>
            <w:vAlign w:val="center"/>
          </w:tcPr>
          <w:p>
            <w:pPr>
              <w:spacing w:after="0"/>
            </w:pPr>
            <w:r/>
            <w:r>
              <w:rPr>
                <w:rFonts w:ascii="Aptos" w:hAnsi="Aptos"/>
                <w:b w:val="0"/>
                <w:sz w:val="19"/>
              </w:rPr>
              <w:t>ATPMker stores the elements and initializes one binary canvas for each configured channel.</w:t>
            </w:r>
          </w:p>
        </w:tc>
      </w:tr>
      <w:tr>
        <w:tc>
          <w:tcPr>
            <w:tcW w:type="dxa" w:w="5040"/>
            <w:vAlign w:val="center"/>
            <w:shd w:fill="EAF1F8"/>
          </w:tcPr>
          <w:p>
            <w:pPr>
              <w:spacing w:after="0"/>
            </w:pPr>
            <w:r/>
            <w:r>
              <w:rPr>
                <w:rFonts w:ascii="Aptos" w:hAnsi="Aptos"/>
                <w:b/>
                <w:sz w:val="19"/>
              </w:rPr>
              <w:t>4. Rasterize</w:t>
            </w:r>
          </w:p>
        </w:tc>
        <w:tc>
          <w:tcPr>
            <w:tcW w:type="dxa" w:w="5040"/>
            <w:vAlign w:val="center"/>
          </w:tcPr>
          <w:p>
            <w:pPr>
              <w:spacing w:after="0"/>
            </w:pPr>
            <w:r/>
            <w:r>
              <w:rPr>
                <w:rFonts w:ascii="Aptos" w:hAnsi="Aptos"/>
                <w:b w:val="0"/>
                <w:sz w:val="19"/>
              </w:rPr>
              <w:t>Types.m creates each binary mask; ATPMker places it at the requested position and resolution.</w:t>
            </w:r>
          </w:p>
        </w:tc>
      </w:tr>
      <w:tr>
        <w:tc>
          <w:tcPr>
            <w:tcW w:type="dxa" w:w="5040"/>
            <w:vAlign w:val="center"/>
            <w:shd w:fill="EAF1F8"/>
          </w:tcPr>
          <w:p>
            <w:pPr>
              <w:spacing w:after="0"/>
            </w:pPr>
            <w:r/>
            <w:r>
              <w:rPr>
                <w:rFonts w:ascii="Aptos" w:hAnsi="Aptos"/>
                <w:b/>
                <w:sz w:val="19"/>
              </w:rPr>
              <w:t>5. Export</w:t>
            </w:r>
          </w:p>
        </w:tc>
        <w:tc>
          <w:tcPr>
            <w:tcW w:type="dxa" w:w="5040"/>
            <w:vAlign w:val="center"/>
          </w:tcPr>
          <w:p>
            <w:pPr>
              <w:spacing w:after="0"/>
            </w:pPr>
            <w:r/>
            <w:r>
              <w:rPr>
                <w:rFonts w:ascii="Aptos" w:hAnsi="Aptos"/>
                <w:b w:val="0"/>
                <w:sz w:val="19"/>
              </w:rPr>
              <w:t>Channel images are saved as one-bit TIFF files. A preview and scan-location CSV report are also generated.</w:t>
            </w:r>
          </w:p>
        </w:tc>
      </w:tr>
    </w:tbl>
    <w:p>
      <w:pPr>
        <w:pStyle w:val="Heading1"/>
      </w:pPr>
      <w:r>
        <w:t>The main building blocks</w:t>
      </w:r>
    </w:p>
    <w:p>
      <w:r>
        <w:t>ATPMker is the central renderer. It owns the channel images and the list of pattern elements. The element classes describe the different test shapes: OD for filled targets, BiDir and Scan for registration patterns, and Line for long scan lines. Types.m converts those logical elements into binary masks before they are placed on the channel canvases.</w:t>
      </w:r>
    </w:p>
    <w:p>
      <w:r>
        <w:t>makeDB.m is the most important file for changing the physical layout. Channel names, distances, masks, section starts, line lengths, and heat-stripe dimensions are defined there. getInfo.m determines how those settings become actual pattern positions.</w:t>
      </w:r>
    </w:p>
    <w:p>
      <w:pPr>
        <w:pStyle w:val="Heading1"/>
      </w:pPr>
      <w:r>
        <w:t>Outputs</w:t>
      </w:r>
    </w:p>
    <w:p>
      <w:r>
        <w:t>A successful run of Test.m is expected to create or update the following outputs in the project folder:</w:t>
      </w:r>
    </w:p>
    <w:p>
      <w:pPr>
        <w:pStyle w:val="ListBullet"/>
      </w:pPr>
      <w:r>
        <w:t>ATP_OD, ATP_Reg, and ATP_Lines folders containing per-channel one-bit TIFF images.</w:t>
      </w:r>
    </w:p>
    <w:p>
      <w:pPr>
        <w:pStyle w:val="ListBullet"/>
      </w:pPr>
      <w:r>
        <w:t>A displayed RGB preview showing the generated pattern and reported scan locations.</w:t>
      </w:r>
    </w:p>
    <w:p>
      <w:pPr>
        <w:pStyle w:val="ListBullet"/>
      </w:pPr>
      <w:r>
        <w:t>Locations31.csv containing scanable element positions and derived exposure/inversion metadata.</w:t>
      </w:r>
    </w:p>
    <w:p>
      <w:pPr>
        <w:pStyle w:val="Heading1"/>
      </w:pPr>
      <w:r>
        <w:t>Important notes</w:t>
      </w:r>
    </w:p>
    <w:p>
      <w:r>
        <w:t>The project depends on shared MATLAB utilities that are not stored in this folder, including BWMker, CArray, PArray, UnitConv, conversion functions, folderTree, and image export helpers. Test2.m is an alternate heat-stripe workflow, but its current checked-in version has the getInfoNeonDB call commented out while still using info, so it requires correction before it can run end to end. Report voltage and PH values are currently generated randomly by ATPMker.getReport.</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NATP project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