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F577E" w14:textId="77777777" w:rsidR="00480987" w:rsidRDefault="00000000" w:rsidP="00B56267">
      <w:pPr>
        <w:pStyle w:val="Heading3"/>
        <w:spacing w:line="300" w:lineRule="auto"/>
        <w:jc w:val="center"/>
        <w:rPr>
          <w:rFonts w:hint="default"/>
        </w:rPr>
      </w:pPr>
      <w:r>
        <w:rPr>
          <w:rFonts w:ascii="Songti SC" w:eastAsia="Songti SC" w:hAnsi="Songti SC" w:cs="Songti SC"/>
          <w:sz w:val="24"/>
        </w:rPr>
        <w:t>摘要</w:t>
      </w:r>
    </w:p>
    <w:p w14:paraId="22EC5D82" w14:textId="05517406" w:rsidR="00480987" w:rsidRDefault="00000000">
      <w:pPr>
        <w:pStyle w:val="NormalWeb"/>
        <w:spacing w:line="300" w:lineRule="auto"/>
        <w:ind w:firstLine="480"/>
      </w:pPr>
      <w:r>
        <w:rPr>
          <w:rFonts w:ascii="Songti SC" w:eastAsia="Songti SC" w:hAnsi="Songti SC" w:cs="Songti SC" w:hint="eastAsia"/>
        </w:rPr>
        <w:t>动作条件视频世界模型将未来观测压缩为视觉 token 后进行自回归生成，并可借助全参考评价指标和组相对策略优化进行后训练。然而，可计算的图像误差并不必然构成可靠的相对学习信号：冻结视觉编解码器把候选限制在其可重建输出集合内，而原始真实帧通常不能被该接口精确复现；由此产生的重建残差会与各候选误差发生不同交互，从而改变 GRPO 实际消费的组内排序。多步生成又常把一个序列级优势广播给全部未来帧视觉 token 块，忽略早期预测对后续误差的累积影响。为此，我们提出 RC-GRPO（Reconstruction-Calibrated Group Relative Policy Optimization）。该方法首先在完全相同的候选组上审计原始目标与编解码重建目标造成的秩相关变化和候选对翻转，随后使用重建校准评价器修正训练期比较参照，并以原始评价器约束校准更新的一阶方向；在多步阶段，则以完整帧 token 块为责任单元，将从当前位置到序列末端的逐帧回报分配给能够影响这些结果的前序块。实验上，证据沿机制与预测质量两条线索展开。在 CNN-FSQ、压缩 FSQ 与 NVIDIA Cosmos DV-FSQ 三种独立编解码器上，真实帧经 encode–decode 后的重建残差均不可忽略；在 RT-1 与 VP2-RoboSuite 的同候选审计中，以编解码重建结果为比较目标后，秩相关提高、候选对翻转减少，表明目标侧重建残差会干扰组相对学习信号，且该现象不局限于单一 tokenizer。在固定 RT-1 协议、相对同一冻结 base 时，完整方法将 LPIPS 与 MSE 分别降低约 7.6% 与 12.4%，</w:t>
      </w:r>
      <w:r w:rsidR="00B56267">
        <w:rPr>
          <w:rFonts w:ascii="Songti SC" w:eastAsia="Songti SC" w:hAnsi="Songti SC" w:cs="Songti SC" w:hint="eastAsia"/>
        </w:rPr>
        <w:t>并优于同协议下的RLVR-World模型。</w:t>
      </w:r>
    </w:p>
    <w:p w14:paraId="60CC0ACF" w14:textId="77777777" w:rsidR="00480987" w:rsidRDefault="00000000" w:rsidP="00B56267">
      <w:pPr>
        <w:pStyle w:val="NormalWeb"/>
        <w:spacing w:line="300" w:lineRule="auto"/>
        <w:ind w:firstLine="420"/>
      </w:pPr>
      <w:r>
        <w:rPr>
          <w:rFonts w:ascii="Songti SC" w:eastAsia="Songti SC" w:hAnsi="Songti SC" w:cs="Songti SC" w:hint="eastAsia"/>
        </w:rPr>
        <w:t>关键词：视频世界模型；组相对策略优化；重建校准；重建残差；候选排序；时间信用分配</w:t>
      </w:r>
    </w:p>
    <w:p w14:paraId="0EC78516" w14:textId="77777777" w:rsidR="00480987" w:rsidRDefault="00000000">
      <w:pPr>
        <w:pStyle w:val="Heading3"/>
        <w:spacing w:line="300" w:lineRule="auto"/>
        <w:jc w:val="both"/>
        <w:rPr>
          <w:rFonts w:hint="default"/>
        </w:rPr>
      </w:pPr>
      <w:r>
        <w:rPr>
          <w:rFonts w:ascii="Songti SC" w:eastAsia="Songti SC" w:hAnsi="Songti SC" w:cs="Songti SC"/>
          <w:sz w:val="24"/>
        </w:rPr>
        <w:lastRenderedPageBreak/>
        <w:t>引言</w:t>
      </w:r>
    </w:p>
    <w:p w14:paraId="17496753" w14:textId="77777777" w:rsidR="00480987" w:rsidRDefault="00000000">
      <w:pPr>
        <w:pStyle w:val="NormalWeb"/>
        <w:spacing w:line="300" w:lineRule="auto"/>
        <w:ind w:firstLine="480"/>
      </w:pPr>
      <w:r>
        <w:rPr>
          <w:rFonts w:ascii="Songti SC" w:eastAsia="Songti SC" w:hAnsi="Songti SC" w:cs="Songti SC" w:hint="eastAsia"/>
        </w:rPr>
        <w:t>条件视频世界模型通过预测动作执行后的未来视觉状态，为机器人规划、交互式仿真和基于模型的决策提供内部动态模型</w:t>
      </w:r>
      <w:r>
        <w:rPr>
          <w:rFonts w:ascii="Times New Roman" w:eastAsia="Times New Roman" w:hAnsi="Times New Roman" w:cs="Times New Roman"/>
        </w:rPr>
        <w:t>[117, 121, 87, 110]</w:t>
      </w:r>
      <w:r>
        <w:rPr>
          <w:rFonts w:ascii="Songti SC" w:eastAsia="Songti SC" w:hAnsi="Songti SC" w:cs="Songti SC" w:hint="eastAsia"/>
        </w:rPr>
        <w:t>。随着离散视觉表征和自回归生成的发展，相关方法将视频压缩为视觉</w:t>
      </w:r>
      <w:r>
        <w:rPr>
          <w:rFonts w:ascii="Times New Roman" w:eastAsia="Times New Roman" w:hAnsi="Times New Roman" w:cs="Times New Roman"/>
        </w:rPr>
        <w:t xml:space="preserve"> token </w:t>
      </w:r>
      <w:r>
        <w:rPr>
          <w:rFonts w:ascii="Songti SC" w:eastAsia="Songti SC" w:hAnsi="Songti SC" w:cs="Songti SC" w:hint="eastAsia"/>
        </w:rPr>
        <w:t>序列，在保持生成能力的同时降低长视频建模成本</w:t>
      </w:r>
      <w:r>
        <w:rPr>
          <w:rFonts w:ascii="Times New Roman" w:eastAsia="Times New Roman" w:hAnsi="Times New Roman" w:cs="Times New Roman"/>
        </w:rPr>
        <w:t>[212, 266, 274, 304, 305]</w:t>
      </w:r>
      <w:r>
        <w:rPr>
          <w:rFonts w:ascii="Songti SC" w:eastAsia="Songti SC" w:hAnsi="Songti SC" w:cs="Songti SC" w:hint="eastAsia"/>
        </w:rPr>
        <w:t>。近期，可验证奖励后训练进一步从同一状态与动作条件下采样多条候选未来，将候选解码为图像，再依据其相对真实未来帧的评价结果更新生成策略</w:t>
      </w:r>
      <w:r>
        <w:rPr>
          <w:rFonts w:ascii="Times New Roman" w:eastAsia="Times New Roman" w:hAnsi="Times New Roman" w:cs="Times New Roman"/>
        </w:rPr>
        <w:t>[303]</w:t>
      </w:r>
      <w:r>
        <w:rPr>
          <w:rFonts w:ascii="Songti SC" w:eastAsia="Songti SC" w:hAnsi="Songti SC" w:cs="Songti SC" w:hint="eastAsia"/>
        </w:rPr>
        <w:t>。这使世界模型能够直接优化任务相关的预测质量，但其有效性取决于评价器能否给出可靠的候选相对偏好。</w:t>
      </w:r>
    </w:p>
    <w:p w14:paraId="760D95D1" w14:textId="77777777" w:rsidR="00480987" w:rsidRDefault="00000000">
      <w:pPr>
        <w:pStyle w:val="NormalWeb"/>
        <w:spacing w:line="300" w:lineRule="auto"/>
        <w:ind w:firstLine="480"/>
      </w:pPr>
      <w:r>
        <w:rPr>
          <w:rFonts w:ascii="Songti SC" w:eastAsia="Songti SC" w:hAnsi="Songti SC" w:cs="Songti SC" w:hint="eastAsia"/>
        </w:rPr>
        <w:t>这一流程包含一个容易被忽略的表示约束。设冻结视觉编码器、量化器和解码器分别为 E、Q 与 D，则模型生成的候选只能落在 D 所定义的可重建输出集合内，而原始真实帧 s' 通常不满足 s'=D(Q(E(s')))；离散量化、有限表示容量和有损解码都会留下不可完全消除的目标侧重建残差[305, 308, 309]。在普通重建评测中，该残差体现为有损表征下的编解码重建误差；在组相对后训练中，更关键的后果是它会与每个候选的预测误差发生不同的交互，从而改变候选之间的优劣关系。本文将 d(s', D(Q(E(s')))) 称为编解码重建误差，将 s' 与 D(Q(E(s'))) 之差称为重建残差，并将原始目标与编解码重建目标在同一候选组上产生的排序分歧称为目标集合失配。因此，真正需要诊断的不是所有候选分数是否被共同平移，而是 GRPO 消费的组内秩是否发生改变。</w:t>
      </w:r>
    </w:p>
    <w:p w14:paraId="02397BC0" w14:textId="77777777" w:rsidR="00480987" w:rsidRDefault="00000000">
      <w:pPr>
        <w:pStyle w:val="NormalWeb"/>
        <w:spacing w:line="300" w:lineRule="auto"/>
        <w:ind w:firstLine="480"/>
      </w:pPr>
      <w:r>
        <w:rPr>
          <w:rFonts w:ascii="Songti SC" w:eastAsia="Songti SC" w:hAnsi="Songti SC" w:cs="Songti SC" w:hint="eastAsia"/>
        </w:rPr>
        <w:t>现有研究尚不能直接解决这一问题。改进 tokenizer、增大表示容量或采用更高效的量化方式能够降低编解码重建误差[85, 189, 279, 305]，但这通常需要重新训练视觉接口，也不能保证既有冻结模型上的目标侧重建残差消失。增加 MSE、</w:t>
      </w:r>
      <w:r>
        <w:rPr>
          <w:rFonts w:ascii="Songti SC" w:eastAsia="Songti SC" w:hAnsi="Songti SC" w:cs="Songti SC" w:hint="eastAsia"/>
        </w:rPr>
        <w:lastRenderedPageBreak/>
        <w:t>LPIPS 或 SSIM 等像素与感知指标[309-311]，仍然是在解码后与同一个不可精确复现的真实帧比较，因而不会自动修复组内排序。简单减去常数重建残差同样不能恢复被交互项改变的相对排序。奖励塑形和辅助目标能够增强训练信号[61, 69, 78, 281]，却往往依赖任务先验，并可能改变原始预测目标。另一方面，GRPO 最初通过组内相对优势降低策略优化的资源开销[307]，但其目标函数默认上游奖励排序已经可靠。</w:t>
      </w:r>
    </w:p>
    <w:p w14:paraId="724D1BC9" w14:textId="2DD17A4E" w:rsidR="00480987" w:rsidRPr="00B56267" w:rsidRDefault="00000000" w:rsidP="00B56267">
      <w:pPr>
        <w:pStyle w:val="NormalWeb"/>
        <w:spacing w:line="300" w:lineRule="auto"/>
        <w:ind w:firstLine="482"/>
        <w:rPr>
          <w:rFonts w:ascii="Songti SC" w:eastAsia="Songti SC" w:hAnsi="Songti SC" w:cs="Songti SC"/>
        </w:rPr>
      </w:pPr>
      <w:r w:rsidRPr="00B56267">
        <w:rPr>
          <w:rFonts w:ascii="Songti SC" w:eastAsia="Songti SC" w:hAnsi="Songti SC" w:cs="Songti SC"/>
        </w:rPr>
        <w:t>RLVR-World将这一范式扩展到视频世界模型：对同一条件采样候选未来，解码后用MSE、LPIPS等全参考指标构造可验证奖励，再以GRPO更新自回归生成策略[303]。该框架证明了可验证奖励后训练的可行性，但仍留下两个与tokenized视频生成结构直接相关的问题。第一，评价器以原始真实帧作为比较参照，而候选受冻结编解码器的可重建集合约束，目标集合失配可能干扰组内排序。第二，多步训练通常把一个序列级优势广播给所有未来视觉token，没有区分不同时间位置对后续视觉误差的影响。前者发生在奖励进入GRPO之前，后者发生在奖励被分配给生成token时；二者共同决定后训练信号是否与模型的生成结构一致。</w:t>
      </w:r>
    </w:p>
    <w:p w14:paraId="132FE037" w14:textId="77777777" w:rsidR="00480987" w:rsidRDefault="00000000">
      <w:pPr>
        <w:pStyle w:val="NormalWeb"/>
        <w:spacing w:line="300" w:lineRule="auto"/>
        <w:ind w:firstLine="480"/>
      </w:pPr>
      <w:r>
        <w:rPr>
          <w:rFonts w:ascii="Songti SC" w:eastAsia="Songti SC" w:hAnsi="Songti SC" w:cs="Songti SC" w:hint="eastAsia"/>
        </w:rPr>
        <w:t>为解决上述问题，我们提出 RC-GRPO（Reconstruction-Calibrated Group Relative Policy Optimization）。RC-GRPO 保持世界模型、视觉 tokenizer、解码器、候选采样流程和最终原始帧评测协议不变，只校准训练期评价参照和优势作用范围。在评价侧，我们先执行同候选可达性审计，再使用真实帧经同一冻结编解码器得到的重建结果作为训练期参照；在优化侧，我们以完整未来帧 token 块为时间责任单元，为每个位置分配其能够影响的后续逐帧回报。该方法由“训练前诊断、可重建集合内比较、原始目标约束更新、时间轴上定向归因”构成一条</w:t>
      </w:r>
      <w:r>
        <w:rPr>
          <w:rFonts w:ascii="Songti SC" w:eastAsia="Songti SC" w:hAnsi="Songti SC" w:cs="Songti SC" w:hint="eastAsia"/>
        </w:rPr>
        <w:lastRenderedPageBreak/>
        <w:t>连续方法链，而不是简单叠加更多图像指标或另行训练奖励模型。</w:t>
      </w:r>
    </w:p>
    <w:p w14:paraId="2EB9617E" w14:textId="77777777" w:rsidR="00480987" w:rsidRDefault="00000000">
      <w:pPr>
        <w:pStyle w:val="NormalWeb"/>
        <w:spacing w:line="300" w:lineRule="auto"/>
        <w:ind w:firstLine="480"/>
      </w:pPr>
      <w:r>
        <w:rPr>
          <w:rFonts w:ascii="Songti SC" w:eastAsia="Songti SC" w:hAnsi="Songti SC" w:cs="Songti SC" w:hint="eastAsia"/>
        </w:rPr>
        <w:t>具体而言，可达性审计对完全相同的候选组分别使用原始真实帧 s' 与编解码重建目标 D(Q(E(s'))) 评分，报告两种评价器的秩相关、候选对翻转率，以及它们与解码器输入表示误差的一致性。只有当同候选审计显示排序通道受到影响时，重建校准评价器才具有明确的启用依据。训练时，评价器保留原有 MSE 与 LPIPS，仅把比较目标替换为编解码重建结果；测试时所有指标仍统一相对原始真实帧计算。考虑到更换训练参照可能改变原始目标下的局部优化方向，我们还在同一候选组上构造原始与校准代理目标，并把校准梯度限制在不降低原始代理目标一阶进度的半空间内。因此，编解码重建目标用于修正候选排序，原始目标则继续充当不可随意牺牲的保真锚点。</w:t>
      </w:r>
    </w:p>
    <w:p w14:paraId="18DDEB81" w14:textId="77777777" w:rsidR="00480987" w:rsidRDefault="00000000">
      <w:pPr>
        <w:pStyle w:val="NormalWeb"/>
        <w:spacing w:line="300" w:lineRule="auto"/>
        <w:ind w:firstLine="480"/>
      </w:pPr>
      <w:r>
        <w:rPr>
          <w:rFonts w:ascii="Songti SC" w:eastAsia="Songti SC" w:hAnsi="Songti SC" w:cs="Songti SC" w:hint="eastAsia"/>
        </w:rPr>
        <w:t>针对长序列信用分配，我们提出帧块级时间回报。对于第</w:t>
      </w:r>
      <w:r>
        <w:rPr>
          <w:rFonts w:ascii="Times New Roman" w:eastAsia="Times New Roman" w:hAnsi="Times New Roman" w:cs="Times New Roman"/>
        </w:rPr>
        <w:t xml:space="preserve"> t </w:t>
      </w:r>
      <w:r>
        <w:rPr>
          <w:rFonts w:ascii="Songti SC" w:eastAsia="Songti SC" w:hAnsi="Songti SC" w:cs="Songti SC" w:hint="eastAsia"/>
        </w:rPr>
        <w:t>个未来帧对应的完整视觉</w:t>
      </w:r>
      <w:r>
        <w:rPr>
          <w:rFonts w:ascii="Times New Roman" w:eastAsia="Times New Roman" w:hAnsi="Times New Roman" w:cs="Times New Roman"/>
        </w:rPr>
        <w:t xml:space="preserve"> token </w:t>
      </w:r>
      <w:r>
        <w:rPr>
          <w:rFonts w:ascii="Songti SC" w:eastAsia="Songti SC" w:hAnsi="Songti SC" w:cs="Songti SC" w:hint="eastAsia"/>
        </w:rPr>
        <w:t>块，累计从</w:t>
      </w:r>
      <w:r>
        <w:rPr>
          <w:rFonts w:ascii="Times New Roman" w:eastAsia="Times New Roman" w:hAnsi="Times New Roman" w:cs="Times New Roman"/>
        </w:rPr>
        <w:t xml:space="preserve"> t </w:t>
      </w:r>
      <w:r>
        <w:rPr>
          <w:rFonts w:ascii="Songti SC" w:eastAsia="Songti SC" w:hAnsi="Songti SC" w:cs="Songti SC" w:hint="eastAsia"/>
        </w:rPr>
        <w:t>到预测终点的逐帧校准奖励，并只在相同上下文、相同时间位置的候选组内进行标准化；所得优势仅作用于第</w:t>
      </w:r>
      <w:r>
        <w:rPr>
          <w:rFonts w:ascii="Times New Roman" w:eastAsia="Times New Roman" w:hAnsi="Times New Roman" w:cs="Times New Roman"/>
        </w:rPr>
        <w:t xml:space="preserve"> t </w:t>
      </w:r>
      <w:r>
        <w:rPr>
          <w:rFonts w:ascii="Songti SC" w:eastAsia="Songti SC" w:hAnsi="Songti SC" w:cs="Songti SC" w:hint="eastAsia"/>
        </w:rPr>
        <w:t>个帧块。与把同一序列级优势广播给全部</w:t>
      </w:r>
      <w:r>
        <w:rPr>
          <w:rFonts w:ascii="Times New Roman" w:eastAsia="Times New Roman" w:hAnsi="Times New Roman" w:cs="Times New Roman"/>
        </w:rPr>
        <w:t xml:space="preserve"> token </w:t>
      </w:r>
      <w:r>
        <w:rPr>
          <w:rFonts w:ascii="Songti SC" w:eastAsia="Songti SC" w:hAnsi="Songti SC" w:cs="Songti SC" w:hint="eastAsia"/>
        </w:rPr>
        <w:t>相比，该设计允许早期帧接收其对后续预测造成的累计反馈；与逐帧短视优势相比，它又保留了早期决策和延迟视觉结果之间的联系。由此，优势的统计比较范围和作用范围都与自回归视频的帧边界及时间依赖保持一致。</w:t>
      </w:r>
    </w:p>
    <w:p w14:paraId="14A06758" w14:textId="77777777" w:rsidR="00480987" w:rsidRDefault="00000000">
      <w:pPr>
        <w:pStyle w:val="NormalWeb"/>
        <w:spacing w:line="300" w:lineRule="auto"/>
        <w:ind w:firstLine="480"/>
      </w:pPr>
      <w:r>
        <w:rPr>
          <w:rFonts w:ascii="Songti SC" w:eastAsia="Songti SC" w:hAnsi="Songti SC" w:cs="Songti SC" w:hint="eastAsia"/>
        </w:rPr>
        <w:t>本文的主要贡献如下：</w:t>
      </w:r>
    </w:p>
    <w:p w14:paraId="68A94646" w14:textId="77777777" w:rsidR="00480987" w:rsidRDefault="00000000">
      <w:pPr>
        <w:pStyle w:val="NormalWeb"/>
        <w:spacing w:line="300" w:lineRule="auto"/>
      </w:pPr>
      <w:r>
        <w:rPr>
          <w:rFonts w:ascii="Songti SC" w:eastAsia="Songti SC" w:hAnsi="Songti SC" w:cs="Songti SC" w:hint="eastAsia"/>
        </w:rPr>
        <w:t>（1）我们揭示并操作化了 tokenized 视频世界模型后训练中的目标集合失配：目标侧重建残差并非一定会被组内中心化消除，其候选相关交互会直接改变 GRPO 消费的相对排序。我们据此提出以同候选秩相关、候选对翻转率和表示一致性为核心的可达性审计，把有损编解码带来的重建残差从一般压缩现象转化</w:t>
      </w:r>
      <w:r>
        <w:rPr>
          <w:rFonts w:ascii="Songti SC" w:eastAsia="Songti SC" w:hAnsi="Songti SC" w:cs="Songti SC" w:hint="eastAsia"/>
        </w:rPr>
        <w:lastRenderedPageBreak/>
        <w:t>为可检验的策略优化诊断。</w:t>
      </w:r>
    </w:p>
    <w:p w14:paraId="40F9EB2F" w14:textId="77777777" w:rsidR="00480987" w:rsidRDefault="00000000">
      <w:pPr>
        <w:pStyle w:val="NormalWeb"/>
        <w:spacing w:line="300" w:lineRule="auto"/>
      </w:pPr>
      <w:r>
        <w:rPr>
          <w:rFonts w:ascii="Songti SC" w:eastAsia="Songti SC" w:hAnsi="Songti SC" w:cs="Songti SC" w:hint="eastAsia"/>
        </w:rPr>
        <w:t>（2）我们提出 RC-GRPO：在不改动世界模型及冻结视觉接口的条件下，以重建校准评价器修正训练期比较参照，以原始目标约束更新方向，并以未来帧 token 块上的时间回报完成长序列信用分配，从而统一处理候选排序可靠性与自回归时间责任。</w:t>
      </w:r>
    </w:p>
    <w:p w14:paraId="4EC0384C" w14:textId="7103D7DF" w:rsidR="00480987" w:rsidRDefault="00000000">
      <w:pPr>
        <w:pStyle w:val="NormalWeb"/>
        <w:spacing w:line="300" w:lineRule="auto"/>
      </w:pPr>
      <w:r>
        <w:rPr>
          <w:rFonts w:ascii="Songti SC" w:eastAsia="Songti SC" w:hAnsi="Songti SC" w:cs="Songti SC" w:hint="eastAsia"/>
        </w:rPr>
        <w:t>（3）我们在跨编解码器和跨世界模型的协议下验证上述机制，并在固定 RT-1 协议下报告相对同一冻结 base 的预测质量。在 CNN-FSQ、压缩 FSQ 与独立设计的 Cosmos DV-FSQ[306] 上，真实帧的 encode–decode LPIPS 重建误差分别约为 0.053、0.077 和 0.190；RT-1[110] 与 VP2-RoboSuite[111, 304] 的同候选审计均显示：以编解码重建结果为训练期比较目标后，秩相关提高、候选对翻转减少。在 episode-disjoint 评测中，</w:t>
      </w:r>
      <w:r w:rsidR="00AB4893" w:rsidRPr="00AB4893">
        <w:rPr>
          <w:rFonts w:ascii="Songti SC" w:eastAsia="Songti SC" w:hAnsi="Songti SC" w:cs="Songti SC"/>
        </w:rPr>
        <w:t>完整 RC-GRPO 相对冻结 base 将 LPIPS 与 MSE 分别降低约 7.6% 与 12.4%，并相对同协议下公开的 RLVR-World checkpoint 进一步将 LPIPS 与 MSE 降低约 3.7% 与 5.8%。</w:t>
      </w:r>
    </w:p>
    <w:p w14:paraId="3F3CADBA" w14:textId="77777777" w:rsidR="00480987" w:rsidRDefault="00000000">
      <w:pPr>
        <w:pStyle w:val="Heading3"/>
        <w:spacing w:line="300" w:lineRule="auto"/>
        <w:jc w:val="both"/>
        <w:rPr>
          <w:rFonts w:hint="default"/>
        </w:rPr>
      </w:pPr>
      <w:r>
        <w:rPr>
          <w:rFonts w:ascii="Songti SC" w:eastAsia="Songti SC" w:hAnsi="Songti SC" w:cs="Songti SC"/>
          <w:sz w:val="24"/>
        </w:rPr>
        <w:t>参考文献</w:t>
      </w:r>
    </w:p>
    <w:p w14:paraId="15E1848D" w14:textId="77777777" w:rsidR="00480987" w:rsidRDefault="00000000">
      <w:pPr>
        <w:pStyle w:val="NormalWeb"/>
        <w:spacing w:line="300" w:lineRule="auto"/>
      </w:pPr>
      <w:r>
        <w:rPr>
          <w:rFonts w:ascii="Times New Roman" w:eastAsia="Times New Roman" w:hAnsi="Times New Roman" w:cs="Times New Roman"/>
        </w:rPr>
        <w:t xml:space="preserve">[17] </w:t>
      </w:r>
      <w:r>
        <w:rPr>
          <w:rFonts w:ascii="Songti SC" w:eastAsia="Songti SC" w:hAnsi="Songti SC" w:cs="Songti SC" w:hint="eastAsia"/>
        </w:rPr>
        <w:t>“</w:t>
      </w:r>
      <w:r>
        <w:rPr>
          <w:rFonts w:ascii="Times New Roman" w:eastAsia="Times New Roman" w:hAnsi="Times New Roman" w:cs="Times New Roman"/>
        </w:rPr>
        <w:t>Textual Belief States for World Models: Identifiable Representation Learning Under Strict Mediation</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fGRPO</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2025.</w:t>
      </w:r>
    </w:p>
    <w:p w14:paraId="07A6CFBF" w14:textId="77777777" w:rsidR="00480987" w:rsidRDefault="00000000">
      <w:pPr>
        <w:pStyle w:val="NormalWeb"/>
        <w:spacing w:line="300" w:lineRule="auto"/>
      </w:pPr>
      <w:r>
        <w:rPr>
          <w:rFonts w:ascii="Times New Roman" w:eastAsia="Times New Roman" w:hAnsi="Times New Roman" w:cs="Times New Roman"/>
        </w:rPr>
        <w:t xml:space="preserve">[18] Li et al., </w:t>
      </w:r>
      <w:r>
        <w:rPr>
          <w:rFonts w:ascii="Songti SC" w:eastAsia="Songti SC" w:hAnsi="Songti SC" w:cs="Songti SC" w:hint="eastAsia"/>
        </w:rPr>
        <w:t>“</w:t>
      </w:r>
      <w:r>
        <w:rPr>
          <w:rFonts w:ascii="Times New Roman" w:eastAsia="Times New Roman" w:hAnsi="Times New Roman" w:cs="Times New Roman"/>
        </w:rPr>
        <w:t>Growing with the Generator: Self-paced GRPO for Video Generation,</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arXiv</w:t>
      </w:r>
      <w:proofErr w:type="spellEnd"/>
      <w:r>
        <w:rPr>
          <w:rFonts w:ascii="Times New Roman" w:eastAsia="Times New Roman" w:hAnsi="Times New Roman" w:cs="Times New Roman"/>
        </w:rPr>
        <w:t xml:space="preserve"> preprint, 2025.</w:t>
      </w:r>
    </w:p>
    <w:p w14:paraId="257C808B" w14:textId="77777777" w:rsidR="00480987" w:rsidRDefault="00000000">
      <w:pPr>
        <w:pStyle w:val="NormalWeb"/>
        <w:spacing w:line="300" w:lineRule="auto"/>
      </w:pPr>
      <w:r>
        <w:rPr>
          <w:rFonts w:ascii="Times New Roman" w:eastAsia="Times New Roman" w:hAnsi="Times New Roman" w:cs="Times New Roman"/>
        </w:rPr>
        <w:t xml:space="preserve">[21] Dorka et al., </w:t>
      </w:r>
      <w:r>
        <w:rPr>
          <w:rFonts w:ascii="Songti SC" w:eastAsia="Songti SC" w:hAnsi="Songti SC" w:cs="Songti SC" w:hint="eastAsia"/>
        </w:rPr>
        <w:t>“</w:t>
      </w:r>
      <w:r>
        <w:rPr>
          <w:rFonts w:ascii="Times New Roman" w:eastAsia="Times New Roman" w:hAnsi="Times New Roman" w:cs="Times New Roman"/>
        </w:rPr>
        <w:t>Dynamic Update-to-Data Ratio: Minimizing World Model Overfitting,</w:t>
      </w:r>
      <w:r>
        <w:rPr>
          <w:rFonts w:ascii="Songti SC" w:eastAsia="Songti SC" w:hAnsi="Songti SC" w:cs="Songti SC" w:hint="eastAsia"/>
        </w:rPr>
        <w:t>”</w:t>
      </w:r>
      <w:r>
        <w:rPr>
          <w:rFonts w:ascii="Times New Roman" w:eastAsia="Times New Roman" w:hAnsi="Times New Roman" w:cs="Times New Roman"/>
        </w:rPr>
        <w:t xml:space="preserve"> ICLR, 2023.</w:t>
      </w:r>
    </w:p>
    <w:p w14:paraId="345C2A24" w14:textId="77777777" w:rsidR="00480987" w:rsidRDefault="00000000">
      <w:pPr>
        <w:pStyle w:val="NormalWeb"/>
        <w:spacing w:line="300" w:lineRule="auto"/>
      </w:pPr>
      <w:r>
        <w:rPr>
          <w:rFonts w:ascii="Times New Roman" w:eastAsia="Times New Roman" w:hAnsi="Times New Roman" w:cs="Times New Roman"/>
        </w:rPr>
        <w:t xml:space="preserve">[49] Vafa et al., </w:t>
      </w:r>
      <w:r>
        <w:rPr>
          <w:rFonts w:ascii="Songti SC" w:eastAsia="Songti SC" w:hAnsi="Songti SC" w:cs="Songti SC" w:hint="eastAsia"/>
        </w:rPr>
        <w:t>“</w:t>
      </w:r>
      <w:r>
        <w:rPr>
          <w:rFonts w:ascii="Times New Roman" w:eastAsia="Times New Roman" w:hAnsi="Times New Roman" w:cs="Times New Roman"/>
        </w:rPr>
        <w:t>Evaluating the World Model Implicit in a Generative Model,</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2024.</w:t>
      </w:r>
    </w:p>
    <w:p w14:paraId="4EC97228" w14:textId="77777777" w:rsidR="00480987" w:rsidRDefault="00000000">
      <w:pPr>
        <w:pStyle w:val="NormalWeb"/>
        <w:spacing w:line="300" w:lineRule="auto"/>
      </w:pPr>
      <w:r>
        <w:rPr>
          <w:rFonts w:ascii="Times New Roman" w:eastAsia="Times New Roman" w:hAnsi="Times New Roman" w:cs="Times New Roman"/>
        </w:rPr>
        <w:lastRenderedPageBreak/>
        <w:t xml:space="preserve">[61] Guo et al., </w:t>
      </w:r>
      <w:r>
        <w:rPr>
          <w:rFonts w:ascii="Songti SC" w:eastAsia="Songti SC" w:hAnsi="Songti SC" w:cs="Songti SC" w:hint="eastAsia"/>
        </w:rPr>
        <w:t>“</w:t>
      </w:r>
      <w:r>
        <w:rPr>
          <w:rFonts w:ascii="Times New Roman" w:eastAsia="Times New Roman" w:hAnsi="Times New Roman" w:cs="Times New Roman"/>
        </w:rPr>
        <w:t>Policy-shaped prediction: avoiding distractions in model-based reinforcement learning,</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2024.</w:t>
      </w:r>
    </w:p>
    <w:p w14:paraId="212D4286" w14:textId="77777777" w:rsidR="00480987" w:rsidRDefault="00000000">
      <w:pPr>
        <w:pStyle w:val="NormalWeb"/>
        <w:spacing w:line="300" w:lineRule="auto"/>
      </w:pPr>
      <w:r>
        <w:rPr>
          <w:rFonts w:ascii="Times New Roman" w:eastAsia="Times New Roman" w:hAnsi="Times New Roman" w:cs="Times New Roman"/>
        </w:rPr>
        <w:t xml:space="preserve">[69] Verma et al., </w:t>
      </w:r>
      <w:r>
        <w:rPr>
          <w:rFonts w:ascii="Songti SC" w:eastAsia="Songti SC" w:hAnsi="Songti SC" w:cs="Songti SC" w:hint="eastAsia"/>
        </w:rPr>
        <w:t>“</w:t>
      </w:r>
      <w:r>
        <w:rPr>
          <w:rFonts w:ascii="Times New Roman" w:eastAsia="Times New Roman" w:hAnsi="Times New Roman" w:cs="Times New Roman"/>
        </w:rPr>
        <w:t>Hindsight PRIORs for Reward Learning from Human Preferences,</w:t>
      </w:r>
      <w:r>
        <w:rPr>
          <w:rFonts w:ascii="Songti SC" w:eastAsia="Songti SC" w:hAnsi="Songti SC" w:cs="Songti SC" w:hint="eastAsia"/>
        </w:rPr>
        <w:t>”</w:t>
      </w:r>
      <w:r>
        <w:rPr>
          <w:rFonts w:ascii="Times New Roman" w:eastAsia="Times New Roman" w:hAnsi="Times New Roman" w:cs="Times New Roman"/>
        </w:rPr>
        <w:t xml:space="preserve"> ICLR, 2024.</w:t>
      </w:r>
    </w:p>
    <w:p w14:paraId="605DC7EC" w14:textId="77777777" w:rsidR="00480987" w:rsidRDefault="00000000">
      <w:pPr>
        <w:pStyle w:val="NormalWeb"/>
        <w:spacing w:line="300" w:lineRule="auto"/>
      </w:pPr>
      <w:r>
        <w:rPr>
          <w:rFonts w:ascii="Times New Roman" w:eastAsia="Times New Roman" w:hAnsi="Times New Roman" w:cs="Times New Roman"/>
        </w:rPr>
        <w:t xml:space="preserve">[78] </w:t>
      </w:r>
      <w:proofErr w:type="spellStart"/>
      <w:r>
        <w:rPr>
          <w:rFonts w:ascii="Times New Roman" w:eastAsia="Times New Roman" w:hAnsi="Times New Roman" w:cs="Times New Roman"/>
        </w:rPr>
        <w:t>Rigter</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Reward-Free Curricula for Training Robust World Models,</w:t>
      </w:r>
      <w:r>
        <w:rPr>
          <w:rFonts w:ascii="Songti SC" w:eastAsia="Songti SC" w:hAnsi="Songti SC" w:cs="Songti SC" w:hint="eastAsia"/>
        </w:rPr>
        <w:t>”</w:t>
      </w:r>
      <w:r>
        <w:rPr>
          <w:rFonts w:ascii="Times New Roman" w:eastAsia="Times New Roman" w:hAnsi="Times New Roman" w:cs="Times New Roman"/>
        </w:rPr>
        <w:t xml:space="preserve"> ICLR, 2024.</w:t>
      </w:r>
    </w:p>
    <w:p w14:paraId="08CBA040" w14:textId="77777777" w:rsidR="00480987" w:rsidRDefault="00000000">
      <w:pPr>
        <w:pStyle w:val="NormalWeb"/>
        <w:spacing w:line="300" w:lineRule="auto"/>
      </w:pPr>
      <w:r>
        <w:rPr>
          <w:rFonts w:ascii="Times New Roman" w:eastAsia="Times New Roman" w:hAnsi="Times New Roman" w:cs="Times New Roman"/>
        </w:rPr>
        <w:t xml:space="preserve">[85] Micheli et al., </w:t>
      </w:r>
      <w:r>
        <w:rPr>
          <w:rFonts w:ascii="Songti SC" w:eastAsia="Songti SC" w:hAnsi="Songti SC" w:cs="Songti SC" w:hint="eastAsia"/>
        </w:rPr>
        <w:t>“</w:t>
      </w:r>
      <w:r>
        <w:rPr>
          <w:rFonts w:ascii="Times New Roman" w:eastAsia="Times New Roman" w:hAnsi="Times New Roman" w:cs="Times New Roman"/>
        </w:rPr>
        <w:t>Efficient World Models with Context-Aware Tokenization</w:t>
      </w:r>
      <w:r>
        <w:rPr>
          <w:rFonts w:ascii="Songti SC" w:eastAsia="Songti SC" w:hAnsi="Songti SC" w:cs="Songti SC" w:hint="eastAsia"/>
        </w:rPr>
        <w:t>”</w:t>
      </w:r>
      <w:r>
        <w:rPr>
          <w:rFonts w:ascii="Times New Roman" w:eastAsia="Times New Roman" w:hAnsi="Times New Roman" w:cs="Times New Roman"/>
        </w:rPr>
        <w:t xml:space="preserve"> (</w:t>
      </w:r>
      <w:r>
        <w:rPr>
          <w:rFonts w:ascii="Songti SC" w:eastAsia="Songti SC" w:hAnsi="Songti SC" w:cs="Songti SC" w:hint="eastAsia"/>
        </w:rPr>
        <w:t>Δ</w:t>
      </w:r>
      <w:r>
        <w:rPr>
          <w:rFonts w:ascii="Times New Roman" w:eastAsia="Times New Roman" w:hAnsi="Times New Roman" w:cs="Times New Roman"/>
        </w:rPr>
        <w:t>-IRIS), ICML, 2024.</w:t>
      </w:r>
    </w:p>
    <w:p w14:paraId="06CF5FDD" w14:textId="77777777" w:rsidR="00480987" w:rsidRDefault="00000000">
      <w:pPr>
        <w:pStyle w:val="NormalWeb"/>
        <w:spacing w:line="300" w:lineRule="auto"/>
      </w:pPr>
      <w:r>
        <w:rPr>
          <w:rFonts w:ascii="Times New Roman" w:eastAsia="Times New Roman" w:hAnsi="Times New Roman" w:cs="Times New Roman"/>
        </w:rPr>
        <w:t xml:space="preserve">[87] Bruce et al., </w:t>
      </w:r>
      <w:r>
        <w:rPr>
          <w:rFonts w:ascii="Songti SC" w:eastAsia="Songti SC" w:hAnsi="Songti SC" w:cs="Songti SC" w:hint="eastAsia"/>
        </w:rPr>
        <w:t>“</w:t>
      </w:r>
      <w:r>
        <w:rPr>
          <w:rFonts w:ascii="Times New Roman" w:eastAsia="Times New Roman" w:hAnsi="Times New Roman" w:cs="Times New Roman"/>
        </w:rPr>
        <w:t>Genie: Generative Interactive Environments,</w:t>
      </w:r>
      <w:r>
        <w:rPr>
          <w:rFonts w:ascii="Songti SC" w:eastAsia="Songti SC" w:hAnsi="Songti SC" w:cs="Songti SC" w:hint="eastAsia"/>
        </w:rPr>
        <w:t>”</w:t>
      </w:r>
      <w:r>
        <w:rPr>
          <w:rFonts w:ascii="Times New Roman" w:eastAsia="Times New Roman" w:hAnsi="Times New Roman" w:cs="Times New Roman"/>
        </w:rPr>
        <w:t xml:space="preserve"> ICML, 2024.</w:t>
      </w:r>
    </w:p>
    <w:p w14:paraId="5C9D65FE" w14:textId="77777777" w:rsidR="00480987" w:rsidRDefault="00000000">
      <w:pPr>
        <w:pStyle w:val="NormalWeb"/>
        <w:spacing w:line="300" w:lineRule="auto"/>
      </w:pPr>
      <w:r>
        <w:rPr>
          <w:rFonts w:ascii="Times New Roman" w:eastAsia="Times New Roman" w:hAnsi="Times New Roman" w:cs="Times New Roman"/>
        </w:rPr>
        <w:t xml:space="preserve">[90] Cohen et al., </w:t>
      </w:r>
      <w:r>
        <w:rPr>
          <w:rFonts w:ascii="Songti SC" w:eastAsia="Songti SC" w:hAnsi="Songti SC" w:cs="Songti SC" w:hint="eastAsia"/>
        </w:rPr>
        <w:t>“</w:t>
      </w:r>
      <w:r>
        <w:rPr>
          <w:rFonts w:ascii="Times New Roman" w:eastAsia="Times New Roman" w:hAnsi="Times New Roman" w:cs="Times New Roman"/>
        </w:rPr>
        <w:t>Improving Token-Based World Models with Parallel Observation Prediction,</w:t>
      </w:r>
      <w:r>
        <w:rPr>
          <w:rFonts w:ascii="Songti SC" w:eastAsia="Songti SC" w:hAnsi="Songti SC" w:cs="Songti SC" w:hint="eastAsia"/>
        </w:rPr>
        <w:t>”</w:t>
      </w:r>
      <w:r>
        <w:rPr>
          <w:rFonts w:ascii="Times New Roman" w:eastAsia="Times New Roman" w:hAnsi="Times New Roman" w:cs="Times New Roman"/>
        </w:rPr>
        <w:t xml:space="preserve"> ICML, 2024.</w:t>
      </w:r>
    </w:p>
    <w:p w14:paraId="1D5EB0C5" w14:textId="77777777" w:rsidR="00480987" w:rsidRDefault="00000000">
      <w:pPr>
        <w:pStyle w:val="NormalWeb"/>
        <w:spacing w:line="300" w:lineRule="auto"/>
      </w:pPr>
      <w:r>
        <w:rPr>
          <w:rFonts w:ascii="Times New Roman" w:eastAsia="Times New Roman" w:hAnsi="Times New Roman" w:cs="Times New Roman"/>
        </w:rPr>
        <w:t xml:space="preserve">[96] Ni et al., </w:t>
      </w:r>
      <w:r>
        <w:rPr>
          <w:rFonts w:ascii="Songti SC" w:eastAsia="Songti SC" w:hAnsi="Songti SC" w:cs="Songti SC" w:hint="eastAsia"/>
        </w:rPr>
        <w:t>“</w:t>
      </w:r>
      <w:r>
        <w:rPr>
          <w:rFonts w:ascii="Times New Roman" w:eastAsia="Times New Roman" w:hAnsi="Times New Roman" w:cs="Times New Roman"/>
        </w:rPr>
        <w:t>Sequence Compression Speeds Up Credit Assignment in Reinforcement Learning,</w:t>
      </w:r>
      <w:r>
        <w:rPr>
          <w:rFonts w:ascii="Songti SC" w:eastAsia="Songti SC" w:hAnsi="Songti SC" w:cs="Songti SC" w:hint="eastAsia"/>
        </w:rPr>
        <w:t>”</w:t>
      </w:r>
      <w:r>
        <w:rPr>
          <w:rFonts w:ascii="Times New Roman" w:eastAsia="Times New Roman" w:hAnsi="Times New Roman" w:cs="Times New Roman"/>
        </w:rPr>
        <w:t xml:space="preserve"> ICML, 2024.</w:t>
      </w:r>
    </w:p>
    <w:p w14:paraId="54B033D5" w14:textId="77777777" w:rsidR="00480987" w:rsidRDefault="00000000">
      <w:pPr>
        <w:pStyle w:val="NormalWeb"/>
        <w:spacing w:line="300" w:lineRule="auto"/>
      </w:pPr>
      <w:r>
        <w:rPr>
          <w:rFonts w:ascii="Times New Roman" w:eastAsia="Times New Roman" w:hAnsi="Times New Roman" w:cs="Times New Roman"/>
        </w:rPr>
        <w:t xml:space="preserve">[103] Zhao et al., </w:t>
      </w:r>
      <w:r>
        <w:rPr>
          <w:rFonts w:ascii="Songti SC" w:eastAsia="Songti SC" w:hAnsi="Songti SC" w:cs="Songti SC" w:hint="eastAsia"/>
        </w:rPr>
        <w:t>“</w:t>
      </w:r>
      <w:r>
        <w:rPr>
          <w:rFonts w:ascii="Times New Roman" w:eastAsia="Times New Roman" w:hAnsi="Times New Roman" w:cs="Times New Roman"/>
        </w:rPr>
        <w:t>DriveDreamer-2: LLM-Enhanced World Models for Diverse Driving Video Generation,</w:t>
      </w:r>
      <w:r>
        <w:rPr>
          <w:rFonts w:ascii="Songti SC" w:eastAsia="Songti SC" w:hAnsi="Songti SC" w:cs="Songti SC" w:hint="eastAsia"/>
        </w:rPr>
        <w:t>”</w:t>
      </w:r>
      <w:r>
        <w:rPr>
          <w:rFonts w:ascii="Times New Roman" w:eastAsia="Times New Roman" w:hAnsi="Times New Roman" w:cs="Times New Roman"/>
        </w:rPr>
        <w:t xml:space="preserve"> AAAI, 2025.</w:t>
      </w:r>
    </w:p>
    <w:p w14:paraId="06C14A0C" w14:textId="77777777" w:rsidR="00480987" w:rsidRDefault="00000000">
      <w:pPr>
        <w:pStyle w:val="NormalWeb"/>
        <w:spacing w:line="300" w:lineRule="auto"/>
      </w:pPr>
      <w:r>
        <w:rPr>
          <w:rFonts w:ascii="Times New Roman" w:eastAsia="Times New Roman" w:hAnsi="Times New Roman" w:cs="Times New Roman"/>
        </w:rPr>
        <w:t xml:space="preserve">[110] Brohan et al., </w:t>
      </w:r>
      <w:r>
        <w:rPr>
          <w:rFonts w:ascii="Songti SC" w:eastAsia="Songti SC" w:hAnsi="Songti SC" w:cs="Songti SC" w:hint="eastAsia"/>
        </w:rPr>
        <w:t>“</w:t>
      </w:r>
      <w:r>
        <w:rPr>
          <w:rFonts w:ascii="Times New Roman" w:eastAsia="Times New Roman" w:hAnsi="Times New Roman" w:cs="Times New Roman"/>
        </w:rPr>
        <w:t>RT-1: Robotics Transformer for Real-World Control at Scale,</w:t>
      </w:r>
      <w:r>
        <w:rPr>
          <w:rFonts w:ascii="Songti SC" w:eastAsia="Songti SC" w:hAnsi="Songti SC" w:cs="Songti SC" w:hint="eastAsia"/>
        </w:rPr>
        <w:t>”</w:t>
      </w:r>
      <w:r>
        <w:rPr>
          <w:rFonts w:ascii="Times New Roman" w:eastAsia="Times New Roman" w:hAnsi="Times New Roman" w:cs="Times New Roman"/>
        </w:rPr>
        <w:t xml:space="preserve"> arXiv:2212.06817, 2022.</w:t>
      </w:r>
    </w:p>
    <w:p w14:paraId="404275C4" w14:textId="77777777" w:rsidR="00480987" w:rsidRDefault="00000000">
      <w:pPr>
        <w:pStyle w:val="NormalWeb"/>
        <w:spacing w:line="300" w:lineRule="auto"/>
      </w:pPr>
      <w:r>
        <w:rPr>
          <w:rFonts w:ascii="Times New Roman" w:eastAsia="Times New Roman" w:hAnsi="Times New Roman" w:cs="Times New Roman"/>
        </w:rPr>
        <w:t xml:space="preserve">[111] Tian et al., </w:t>
      </w:r>
      <w:r>
        <w:rPr>
          <w:rFonts w:ascii="Songti SC" w:eastAsia="Songti SC" w:hAnsi="Songti SC" w:cs="Songti SC" w:hint="eastAsia"/>
        </w:rPr>
        <w:t>“</w:t>
      </w:r>
      <w:r>
        <w:rPr>
          <w:rFonts w:ascii="Times New Roman" w:eastAsia="Times New Roman" w:hAnsi="Times New Roman" w:cs="Times New Roman"/>
        </w:rPr>
        <w:t>A Control-Centric Benchmark for Video Prediction</w:t>
      </w:r>
      <w:r>
        <w:rPr>
          <w:rFonts w:ascii="Songti SC" w:eastAsia="Songti SC" w:hAnsi="Songti SC" w:cs="Songti SC" w:hint="eastAsia"/>
        </w:rPr>
        <w:t>”</w:t>
      </w:r>
      <w:r>
        <w:rPr>
          <w:rFonts w:ascii="Times New Roman" w:eastAsia="Times New Roman" w:hAnsi="Times New Roman" w:cs="Times New Roman"/>
        </w:rPr>
        <w:t xml:space="preserve"> (VP</w:t>
      </w:r>
      <w:r>
        <w:rPr>
          <w:rFonts w:ascii="Songti SC" w:eastAsia="Songti SC" w:hAnsi="Songti SC" w:cs="Songti SC" w:hint="eastAsia"/>
        </w:rPr>
        <w:t>²</w:t>
      </w:r>
      <w:r>
        <w:rPr>
          <w:rFonts w:ascii="Times New Roman" w:eastAsia="Times New Roman" w:hAnsi="Times New Roman" w:cs="Times New Roman"/>
        </w:rPr>
        <w:t>), ICLR, 2023.</w:t>
      </w:r>
    </w:p>
    <w:p w14:paraId="50ACBE03" w14:textId="77777777" w:rsidR="00480987" w:rsidRDefault="00000000">
      <w:pPr>
        <w:pStyle w:val="NormalWeb"/>
        <w:spacing w:line="300" w:lineRule="auto"/>
      </w:pPr>
      <w:r>
        <w:rPr>
          <w:rFonts w:ascii="Times New Roman" w:eastAsia="Times New Roman" w:hAnsi="Times New Roman" w:cs="Times New Roman"/>
        </w:rPr>
        <w:t xml:space="preserve">[112] Micheli et al., </w:t>
      </w:r>
      <w:r>
        <w:rPr>
          <w:rFonts w:ascii="Songti SC" w:eastAsia="Songti SC" w:hAnsi="Songti SC" w:cs="Songti SC" w:hint="eastAsia"/>
        </w:rPr>
        <w:t>“</w:t>
      </w:r>
      <w:r>
        <w:rPr>
          <w:rFonts w:ascii="Times New Roman" w:eastAsia="Times New Roman" w:hAnsi="Times New Roman" w:cs="Times New Roman"/>
        </w:rPr>
        <w:t>IRIS: Transformers are Sample-Efficient World Models,</w:t>
      </w:r>
      <w:r>
        <w:rPr>
          <w:rFonts w:ascii="Songti SC" w:eastAsia="Songti SC" w:hAnsi="Songti SC" w:cs="Songti SC" w:hint="eastAsia"/>
        </w:rPr>
        <w:t>”</w:t>
      </w:r>
      <w:r>
        <w:rPr>
          <w:rFonts w:ascii="Times New Roman" w:eastAsia="Times New Roman" w:hAnsi="Times New Roman" w:cs="Times New Roman"/>
        </w:rPr>
        <w:t xml:space="preserve"> ICLR, 2023.</w:t>
      </w:r>
    </w:p>
    <w:p w14:paraId="0E0262D1" w14:textId="77777777" w:rsidR="00480987" w:rsidRDefault="00000000">
      <w:pPr>
        <w:pStyle w:val="NormalWeb"/>
        <w:spacing w:line="300" w:lineRule="auto"/>
      </w:pPr>
      <w:r>
        <w:rPr>
          <w:rFonts w:ascii="Times New Roman" w:eastAsia="Times New Roman" w:hAnsi="Times New Roman" w:cs="Times New Roman"/>
        </w:rPr>
        <w:t xml:space="preserve">[117] Goff et al., </w:t>
      </w:r>
      <w:r>
        <w:rPr>
          <w:rFonts w:ascii="Songti SC" w:eastAsia="Songti SC" w:hAnsi="Songti SC" w:cs="Songti SC" w:hint="eastAsia"/>
        </w:rPr>
        <w:t>“</w:t>
      </w:r>
      <w:r>
        <w:rPr>
          <w:rFonts w:ascii="Times New Roman" w:eastAsia="Times New Roman" w:hAnsi="Times New Roman" w:cs="Times New Roman"/>
        </w:rPr>
        <w:t>Learning to Drive from a World Model,</w:t>
      </w:r>
      <w:r>
        <w:rPr>
          <w:rFonts w:ascii="Songti SC" w:eastAsia="Songti SC" w:hAnsi="Songti SC" w:cs="Songti SC" w:hint="eastAsia"/>
        </w:rPr>
        <w:t>”</w:t>
      </w:r>
      <w:r>
        <w:rPr>
          <w:rFonts w:ascii="Times New Roman" w:eastAsia="Times New Roman" w:hAnsi="Times New Roman" w:cs="Times New Roman"/>
        </w:rPr>
        <w:t xml:space="preserve"> CVPR Workshops, 2025.</w:t>
      </w:r>
    </w:p>
    <w:p w14:paraId="0C95AAB8" w14:textId="77777777" w:rsidR="00480987" w:rsidRDefault="00000000">
      <w:pPr>
        <w:pStyle w:val="NormalWeb"/>
        <w:spacing w:line="300" w:lineRule="auto"/>
      </w:pPr>
      <w:r>
        <w:rPr>
          <w:rFonts w:ascii="Times New Roman" w:eastAsia="Times New Roman" w:hAnsi="Times New Roman" w:cs="Times New Roman"/>
        </w:rPr>
        <w:t xml:space="preserve">[121] Bar et al., </w:t>
      </w:r>
      <w:r>
        <w:rPr>
          <w:rFonts w:ascii="Songti SC" w:eastAsia="Songti SC" w:hAnsi="Songti SC" w:cs="Songti SC" w:hint="eastAsia"/>
        </w:rPr>
        <w:t>“</w:t>
      </w:r>
      <w:r>
        <w:rPr>
          <w:rFonts w:ascii="Times New Roman" w:eastAsia="Times New Roman" w:hAnsi="Times New Roman" w:cs="Times New Roman"/>
        </w:rPr>
        <w:t>Navigation World Models,</w:t>
      </w:r>
      <w:r>
        <w:rPr>
          <w:rFonts w:ascii="Songti SC" w:eastAsia="Songti SC" w:hAnsi="Songti SC" w:cs="Songti SC" w:hint="eastAsia"/>
        </w:rPr>
        <w:t>”</w:t>
      </w:r>
      <w:r>
        <w:rPr>
          <w:rFonts w:ascii="Times New Roman" w:eastAsia="Times New Roman" w:hAnsi="Times New Roman" w:cs="Times New Roman"/>
        </w:rPr>
        <w:t xml:space="preserve"> CVPR, 2025.</w:t>
      </w:r>
    </w:p>
    <w:p w14:paraId="64C3108F" w14:textId="77777777" w:rsidR="00480987" w:rsidRDefault="00000000">
      <w:pPr>
        <w:pStyle w:val="NormalWeb"/>
        <w:spacing w:line="300" w:lineRule="auto"/>
      </w:pPr>
      <w:r>
        <w:rPr>
          <w:rFonts w:ascii="Times New Roman" w:eastAsia="Times New Roman" w:hAnsi="Times New Roman" w:cs="Times New Roman"/>
        </w:rPr>
        <w:t xml:space="preserve">[126] Yang et al., </w:t>
      </w:r>
      <w:r>
        <w:rPr>
          <w:rFonts w:ascii="Songti SC" w:eastAsia="Songti SC" w:hAnsi="Songti SC" w:cs="Songti SC" w:hint="eastAsia"/>
        </w:rPr>
        <w:t>“</w:t>
      </w:r>
      <w:r>
        <w:rPr>
          <w:rFonts w:ascii="Times New Roman" w:eastAsia="Times New Roman" w:hAnsi="Times New Roman" w:cs="Times New Roman"/>
        </w:rPr>
        <w:t xml:space="preserve">Thinking in Space: How Multimodal Large Language Models See, </w:t>
      </w:r>
      <w:r>
        <w:rPr>
          <w:rFonts w:ascii="Times New Roman" w:eastAsia="Times New Roman" w:hAnsi="Times New Roman" w:cs="Times New Roman"/>
        </w:rPr>
        <w:lastRenderedPageBreak/>
        <w:t>Remember, and Recall Spaces,</w:t>
      </w:r>
      <w:r>
        <w:rPr>
          <w:rFonts w:ascii="Songti SC" w:eastAsia="Songti SC" w:hAnsi="Songti SC" w:cs="Songti SC" w:hint="eastAsia"/>
        </w:rPr>
        <w:t>”</w:t>
      </w:r>
      <w:r>
        <w:rPr>
          <w:rFonts w:ascii="Times New Roman" w:eastAsia="Times New Roman" w:hAnsi="Times New Roman" w:cs="Times New Roman"/>
        </w:rPr>
        <w:t xml:space="preserve"> CVPR, 2025.</w:t>
      </w:r>
    </w:p>
    <w:p w14:paraId="2A5F353D" w14:textId="77777777" w:rsidR="00480987" w:rsidRDefault="00000000">
      <w:pPr>
        <w:pStyle w:val="NormalWeb"/>
        <w:spacing w:line="300" w:lineRule="auto"/>
      </w:pPr>
      <w:r>
        <w:rPr>
          <w:rFonts w:ascii="Times New Roman" w:eastAsia="Times New Roman" w:hAnsi="Times New Roman" w:cs="Times New Roman"/>
        </w:rPr>
        <w:t xml:space="preserve">[130] Xie et al., </w:t>
      </w:r>
      <w:r>
        <w:rPr>
          <w:rFonts w:ascii="Songti SC" w:eastAsia="Songti SC" w:hAnsi="Songti SC" w:cs="Songti SC" w:hint="eastAsia"/>
        </w:rPr>
        <w:t>“</w:t>
      </w:r>
      <w:r>
        <w:rPr>
          <w:rFonts w:ascii="Times New Roman" w:eastAsia="Times New Roman" w:hAnsi="Times New Roman" w:cs="Times New Roman"/>
        </w:rPr>
        <w:t>Disentangled World Models: Learning to Transfer Semantic Knowledge from Distracting Videos for Reinforcement Learning,</w:t>
      </w:r>
      <w:r>
        <w:rPr>
          <w:rFonts w:ascii="Songti SC" w:eastAsia="Songti SC" w:hAnsi="Songti SC" w:cs="Songti SC" w:hint="eastAsia"/>
        </w:rPr>
        <w:t>”</w:t>
      </w:r>
      <w:r>
        <w:rPr>
          <w:rFonts w:ascii="Times New Roman" w:eastAsia="Times New Roman" w:hAnsi="Times New Roman" w:cs="Times New Roman"/>
        </w:rPr>
        <w:t xml:space="preserve"> ICCV, 2025.</w:t>
      </w:r>
    </w:p>
    <w:p w14:paraId="218A1F3B" w14:textId="77777777" w:rsidR="00480987" w:rsidRDefault="00000000">
      <w:pPr>
        <w:pStyle w:val="NormalWeb"/>
        <w:spacing w:line="300" w:lineRule="auto"/>
      </w:pPr>
      <w:r>
        <w:rPr>
          <w:rFonts w:ascii="Times New Roman" w:eastAsia="Times New Roman" w:hAnsi="Times New Roman" w:cs="Times New Roman"/>
        </w:rPr>
        <w:t xml:space="preserve">[141] Po et al., </w:t>
      </w:r>
      <w:r>
        <w:rPr>
          <w:rFonts w:ascii="Songti SC" w:eastAsia="Songti SC" w:hAnsi="Songti SC" w:cs="Songti SC" w:hint="eastAsia"/>
        </w:rPr>
        <w:t>“</w:t>
      </w:r>
      <w:r>
        <w:rPr>
          <w:rFonts w:ascii="Times New Roman" w:eastAsia="Times New Roman" w:hAnsi="Times New Roman" w:cs="Times New Roman"/>
        </w:rPr>
        <w:t>Long-Context State-Space Video World Models,</w:t>
      </w:r>
      <w:r>
        <w:rPr>
          <w:rFonts w:ascii="Songti SC" w:eastAsia="Songti SC" w:hAnsi="Songti SC" w:cs="Songti SC" w:hint="eastAsia"/>
        </w:rPr>
        <w:t>”</w:t>
      </w:r>
      <w:r>
        <w:rPr>
          <w:rFonts w:ascii="Times New Roman" w:eastAsia="Times New Roman" w:hAnsi="Times New Roman" w:cs="Times New Roman"/>
        </w:rPr>
        <w:t xml:space="preserve"> ICCV, 2025.</w:t>
      </w:r>
    </w:p>
    <w:p w14:paraId="4ADCEB81" w14:textId="77777777" w:rsidR="00480987" w:rsidRDefault="00000000">
      <w:pPr>
        <w:pStyle w:val="NormalWeb"/>
        <w:spacing w:line="300" w:lineRule="auto"/>
      </w:pPr>
      <w:r>
        <w:rPr>
          <w:rFonts w:ascii="Times New Roman" w:eastAsia="Times New Roman" w:hAnsi="Times New Roman" w:cs="Times New Roman"/>
        </w:rPr>
        <w:t xml:space="preserve">[189] Yan et al., </w:t>
      </w:r>
      <w:r>
        <w:rPr>
          <w:rFonts w:ascii="Songti SC" w:eastAsia="Songti SC" w:hAnsi="Songti SC" w:cs="Songti SC" w:hint="eastAsia"/>
        </w:rPr>
        <w:t>“</w:t>
      </w:r>
      <w:proofErr w:type="spellStart"/>
      <w:r>
        <w:rPr>
          <w:rFonts w:ascii="Times New Roman" w:eastAsia="Times New Roman" w:hAnsi="Times New Roman" w:cs="Times New Roman"/>
        </w:rPr>
        <w:t>ElasticTok</w:t>
      </w:r>
      <w:proofErr w:type="spellEnd"/>
      <w:r>
        <w:rPr>
          <w:rFonts w:ascii="Times New Roman" w:eastAsia="Times New Roman" w:hAnsi="Times New Roman" w:cs="Times New Roman"/>
        </w:rPr>
        <w:t>: Adaptive Tokenization for Image and Video,</w:t>
      </w:r>
      <w:r>
        <w:rPr>
          <w:rFonts w:ascii="Songti SC" w:eastAsia="Songti SC" w:hAnsi="Songti SC" w:cs="Songti SC" w:hint="eastAsia"/>
        </w:rPr>
        <w:t>”</w:t>
      </w:r>
      <w:r>
        <w:rPr>
          <w:rFonts w:ascii="Times New Roman" w:eastAsia="Times New Roman" w:hAnsi="Times New Roman" w:cs="Times New Roman"/>
        </w:rPr>
        <w:t xml:space="preserve"> ICLR, 2025.</w:t>
      </w:r>
    </w:p>
    <w:p w14:paraId="1843A23C" w14:textId="77777777" w:rsidR="00480987" w:rsidRDefault="00000000">
      <w:pPr>
        <w:pStyle w:val="NormalWeb"/>
        <w:spacing w:line="300" w:lineRule="auto"/>
      </w:pPr>
      <w:r>
        <w:rPr>
          <w:rFonts w:ascii="Times New Roman" w:eastAsia="Times New Roman" w:hAnsi="Times New Roman" w:cs="Times New Roman"/>
        </w:rPr>
        <w:t xml:space="preserve">[212] </w:t>
      </w:r>
      <w:proofErr w:type="spellStart"/>
      <w:r>
        <w:rPr>
          <w:rFonts w:ascii="Times New Roman" w:eastAsia="Times New Roman" w:hAnsi="Times New Roman" w:cs="Times New Roman"/>
        </w:rPr>
        <w:t>Burchi</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Accurate and Efficient World Modeling with Masked Latent Transformers</w:t>
      </w:r>
      <w:r>
        <w:rPr>
          <w:rFonts w:ascii="Songti SC" w:eastAsia="Songti SC" w:hAnsi="Songti SC" w:cs="Songti SC" w:hint="eastAsia"/>
        </w:rPr>
        <w:t>”</w:t>
      </w:r>
      <w:r>
        <w:rPr>
          <w:rFonts w:ascii="Times New Roman" w:eastAsia="Times New Roman" w:hAnsi="Times New Roman" w:cs="Times New Roman"/>
        </w:rPr>
        <w:t xml:space="preserve"> (EMERALD), ICML, 2025.</w:t>
      </w:r>
    </w:p>
    <w:p w14:paraId="75B3A0A0" w14:textId="77777777" w:rsidR="00480987" w:rsidRDefault="00000000">
      <w:pPr>
        <w:pStyle w:val="NormalWeb"/>
        <w:spacing w:line="300" w:lineRule="auto"/>
      </w:pPr>
      <w:r>
        <w:rPr>
          <w:rFonts w:ascii="Times New Roman" w:eastAsia="Times New Roman" w:hAnsi="Times New Roman" w:cs="Times New Roman"/>
        </w:rPr>
        <w:t xml:space="preserve">[245] He et al., </w:t>
      </w:r>
      <w:r>
        <w:rPr>
          <w:rFonts w:ascii="Songti SC" w:eastAsia="Songti SC" w:hAnsi="Songti SC" w:cs="Songti SC" w:hint="eastAsia"/>
        </w:rPr>
        <w:t>“</w:t>
      </w:r>
      <w:r>
        <w:rPr>
          <w:rFonts w:ascii="Times New Roman" w:eastAsia="Times New Roman" w:hAnsi="Times New Roman" w:cs="Times New Roman"/>
        </w:rPr>
        <w:t>3D4D: An Interactive, Editable, 4D World Model via 3D Video Generation,</w:t>
      </w:r>
      <w:r>
        <w:rPr>
          <w:rFonts w:ascii="Songti SC" w:eastAsia="Songti SC" w:hAnsi="Songti SC" w:cs="Songti SC" w:hint="eastAsia"/>
        </w:rPr>
        <w:t>”</w:t>
      </w:r>
      <w:r>
        <w:rPr>
          <w:rFonts w:ascii="Times New Roman" w:eastAsia="Times New Roman" w:hAnsi="Times New Roman" w:cs="Times New Roman"/>
        </w:rPr>
        <w:t xml:space="preserve"> AAAI, 2026.</w:t>
      </w:r>
    </w:p>
    <w:p w14:paraId="0726093F" w14:textId="77777777" w:rsidR="00480987" w:rsidRDefault="00000000">
      <w:pPr>
        <w:pStyle w:val="NormalWeb"/>
        <w:spacing w:line="300" w:lineRule="auto"/>
      </w:pPr>
      <w:r>
        <w:rPr>
          <w:rFonts w:ascii="Times New Roman" w:eastAsia="Times New Roman" w:hAnsi="Times New Roman" w:cs="Times New Roman"/>
        </w:rPr>
        <w:t xml:space="preserve">[247] Wang et al., </w:t>
      </w:r>
      <w:r>
        <w:rPr>
          <w:rFonts w:ascii="Songti SC" w:eastAsia="Songti SC" w:hAnsi="Songti SC" w:cs="Songti SC" w:hint="eastAsia"/>
        </w:rPr>
        <w:t>“</w:t>
      </w:r>
      <w:r>
        <w:rPr>
          <w:rFonts w:ascii="Times New Roman" w:eastAsia="Times New Roman" w:hAnsi="Times New Roman" w:cs="Times New Roman"/>
        </w:rPr>
        <w:t>Beyond Single-Speed Reasoning: Coordinating Fast and Slow Dynamics for Efficient World Modeling,</w:t>
      </w:r>
      <w:r>
        <w:rPr>
          <w:rFonts w:ascii="Songti SC" w:eastAsia="Songti SC" w:hAnsi="Songti SC" w:cs="Songti SC" w:hint="eastAsia"/>
        </w:rPr>
        <w:t>”</w:t>
      </w:r>
      <w:r>
        <w:rPr>
          <w:rFonts w:ascii="Times New Roman" w:eastAsia="Times New Roman" w:hAnsi="Times New Roman" w:cs="Times New Roman"/>
        </w:rPr>
        <w:t xml:space="preserve"> AAAI, 2026.</w:t>
      </w:r>
    </w:p>
    <w:p w14:paraId="593D77BF" w14:textId="77777777" w:rsidR="00480987" w:rsidRDefault="00000000">
      <w:pPr>
        <w:pStyle w:val="NormalWeb"/>
        <w:spacing w:line="300" w:lineRule="auto"/>
      </w:pPr>
      <w:r>
        <w:rPr>
          <w:rFonts w:ascii="Times New Roman" w:eastAsia="Times New Roman" w:hAnsi="Times New Roman" w:cs="Times New Roman"/>
        </w:rPr>
        <w:t xml:space="preserve">[249] Yu et al., </w:t>
      </w:r>
      <w:r>
        <w:rPr>
          <w:rFonts w:ascii="Songti SC" w:eastAsia="Songti SC" w:hAnsi="Songti SC" w:cs="Songti SC" w:hint="eastAsia"/>
        </w:rPr>
        <w:t>“</w:t>
      </w:r>
      <w:proofErr w:type="spellStart"/>
      <w:r>
        <w:rPr>
          <w:rFonts w:ascii="Times New Roman" w:eastAsia="Times New Roman" w:hAnsi="Times New Roman" w:cs="Times New Roman"/>
        </w:rPr>
        <w:t>CorrectAD</w:t>
      </w:r>
      <w:proofErr w:type="spellEnd"/>
      <w:r>
        <w:rPr>
          <w:rFonts w:ascii="Times New Roman" w:eastAsia="Times New Roman" w:hAnsi="Times New Roman" w:cs="Times New Roman"/>
        </w:rPr>
        <w:t>: A Self-Correcting Agentic System to Improve End-to-end Planning in Autonomous Driving,</w:t>
      </w:r>
      <w:r>
        <w:rPr>
          <w:rFonts w:ascii="Songti SC" w:eastAsia="Songti SC" w:hAnsi="Songti SC" w:cs="Songti SC" w:hint="eastAsia"/>
        </w:rPr>
        <w:t>”</w:t>
      </w:r>
      <w:r>
        <w:rPr>
          <w:rFonts w:ascii="Times New Roman" w:eastAsia="Times New Roman" w:hAnsi="Times New Roman" w:cs="Times New Roman"/>
        </w:rPr>
        <w:t xml:space="preserve"> AAAI, 2026.</w:t>
      </w:r>
    </w:p>
    <w:p w14:paraId="2627CDA1" w14:textId="77777777" w:rsidR="00480987" w:rsidRDefault="00000000">
      <w:pPr>
        <w:pStyle w:val="NormalWeb"/>
        <w:spacing w:line="300" w:lineRule="auto"/>
      </w:pPr>
      <w:r>
        <w:rPr>
          <w:rFonts w:ascii="Times New Roman" w:eastAsia="Times New Roman" w:hAnsi="Times New Roman" w:cs="Times New Roman"/>
        </w:rPr>
        <w:t xml:space="preserve">[251] </w:t>
      </w:r>
      <w:proofErr w:type="spellStart"/>
      <w:r>
        <w:rPr>
          <w:rFonts w:ascii="Times New Roman" w:eastAsia="Times New Roman" w:hAnsi="Times New Roman" w:cs="Times New Roman"/>
        </w:rPr>
        <w:t>Pandaram</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Dynamic Sparsity: Challenging Common Sparsity Assumptions for Learning World Models in Robotic Reinforcement Learning Benchmarks,</w:t>
      </w:r>
      <w:r>
        <w:rPr>
          <w:rFonts w:ascii="Songti SC" w:eastAsia="Songti SC" w:hAnsi="Songti SC" w:cs="Songti SC" w:hint="eastAsia"/>
        </w:rPr>
        <w:t>”</w:t>
      </w:r>
      <w:r>
        <w:rPr>
          <w:rFonts w:ascii="Times New Roman" w:eastAsia="Times New Roman" w:hAnsi="Times New Roman" w:cs="Times New Roman"/>
        </w:rPr>
        <w:t xml:space="preserve"> AAAI, 2026.</w:t>
      </w:r>
    </w:p>
    <w:p w14:paraId="60085AE6" w14:textId="77777777" w:rsidR="00480987" w:rsidRDefault="00000000">
      <w:pPr>
        <w:pStyle w:val="NormalWeb"/>
        <w:spacing w:line="300" w:lineRule="auto"/>
      </w:pPr>
      <w:r>
        <w:rPr>
          <w:rFonts w:ascii="Times New Roman" w:eastAsia="Times New Roman" w:hAnsi="Times New Roman" w:cs="Times New Roman"/>
        </w:rPr>
        <w:t xml:space="preserve">[255] Nishimoto and Matsubara, </w:t>
      </w:r>
      <w:r>
        <w:rPr>
          <w:rFonts w:ascii="Songti SC" w:eastAsia="Songti SC" w:hAnsi="Songti SC" w:cs="Songti SC" w:hint="eastAsia"/>
        </w:rPr>
        <w:t>“</w:t>
      </w:r>
      <w:r>
        <w:rPr>
          <w:rFonts w:ascii="Times New Roman" w:eastAsia="Times New Roman" w:hAnsi="Times New Roman" w:cs="Times New Roman"/>
        </w:rPr>
        <w:t>Object-Centric World Models for Causality-Aware Reinforcement Learning,</w:t>
      </w:r>
      <w:r>
        <w:rPr>
          <w:rFonts w:ascii="Songti SC" w:eastAsia="Songti SC" w:hAnsi="Songti SC" w:cs="Songti SC" w:hint="eastAsia"/>
        </w:rPr>
        <w:t>”</w:t>
      </w:r>
      <w:r>
        <w:rPr>
          <w:rFonts w:ascii="Times New Roman" w:eastAsia="Times New Roman" w:hAnsi="Times New Roman" w:cs="Times New Roman"/>
        </w:rPr>
        <w:t xml:space="preserve"> AAAI, 2026.</w:t>
      </w:r>
    </w:p>
    <w:p w14:paraId="3B941959" w14:textId="77777777" w:rsidR="00480987" w:rsidRDefault="00000000">
      <w:pPr>
        <w:pStyle w:val="NormalWeb"/>
        <w:spacing w:line="300" w:lineRule="auto"/>
      </w:pPr>
      <w:r>
        <w:rPr>
          <w:rFonts w:ascii="Times New Roman" w:eastAsia="Times New Roman" w:hAnsi="Times New Roman" w:cs="Times New Roman"/>
        </w:rPr>
        <w:t xml:space="preserve">[260] Ni et al., </w:t>
      </w:r>
      <w:r>
        <w:rPr>
          <w:rFonts w:ascii="Songti SC" w:eastAsia="Songti SC" w:hAnsi="Songti SC" w:cs="Songti SC" w:hint="eastAsia"/>
        </w:rPr>
        <w:t>“</w:t>
      </w:r>
      <w:proofErr w:type="spellStart"/>
      <w:r>
        <w:rPr>
          <w:rFonts w:ascii="Times New Roman" w:eastAsia="Times New Roman" w:hAnsi="Times New Roman" w:cs="Times New Roman"/>
        </w:rPr>
        <w:t>SparseWorld</w:t>
      </w:r>
      <w:proofErr w:type="spellEnd"/>
      <w:r>
        <w:rPr>
          <w:rFonts w:ascii="Times New Roman" w:eastAsia="Times New Roman" w:hAnsi="Times New Roman" w:cs="Times New Roman"/>
        </w:rPr>
        <w:t>: A Flexible, Adaptive, and Efficient 4D Occupancy World Model Powered by Sparse and Dynamic Queries,</w:t>
      </w:r>
      <w:r>
        <w:rPr>
          <w:rFonts w:ascii="Songti SC" w:eastAsia="Songti SC" w:hAnsi="Songti SC" w:cs="Songti SC" w:hint="eastAsia"/>
        </w:rPr>
        <w:t>”</w:t>
      </w:r>
      <w:r>
        <w:rPr>
          <w:rFonts w:ascii="Times New Roman" w:eastAsia="Times New Roman" w:hAnsi="Times New Roman" w:cs="Times New Roman"/>
        </w:rPr>
        <w:t xml:space="preserve"> AAAI, 2026.</w:t>
      </w:r>
    </w:p>
    <w:p w14:paraId="3B9D4579" w14:textId="77777777" w:rsidR="00480987" w:rsidRDefault="00000000">
      <w:pPr>
        <w:pStyle w:val="NormalWeb"/>
        <w:spacing w:line="300" w:lineRule="auto"/>
      </w:pPr>
      <w:r>
        <w:rPr>
          <w:rFonts w:ascii="Times New Roman" w:eastAsia="Times New Roman" w:hAnsi="Times New Roman" w:cs="Times New Roman"/>
        </w:rPr>
        <w:t xml:space="preserve">[261] Yang, </w:t>
      </w:r>
      <w:r>
        <w:rPr>
          <w:rFonts w:ascii="Songti SC" w:eastAsia="Songti SC" w:hAnsi="Songti SC" w:cs="Songti SC" w:hint="eastAsia"/>
        </w:rPr>
        <w:t>“</w:t>
      </w:r>
      <w:r>
        <w:rPr>
          <w:rFonts w:ascii="Times New Roman" w:eastAsia="Times New Roman" w:hAnsi="Times New Roman" w:cs="Times New Roman"/>
        </w:rPr>
        <w:t>Toward Causal Foundation World Models: From Representation to Decision-Making,</w:t>
      </w:r>
      <w:r>
        <w:rPr>
          <w:rFonts w:ascii="Songti SC" w:eastAsia="Songti SC" w:hAnsi="Songti SC" w:cs="Songti SC" w:hint="eastAsia"/>
        </w:rPr>
        <w:t>”</w:t>
      </w:r>
      <w:r>
        <w:rPr>
          <w:rFonts w:ascii="Times New Roman" w:eastAsia="Times New Roman" w:hAnsi="Times New Roman" w:cs="Times New Roman"/>
        </w:rPr>
        <w:t xml:space="preserve"> AAAI, 2026.</w:t>
      </w:r>
    </w:p>
    <w:p w14:paraId="1B7EFA24" w14:textId="77777777" w:rsidR="00480987" w:rsidRDefault="00000000">
      <w:pPr>
        <w:pStyle w:val="NormalWeb"/>
        <w:spacing w:line="300" w:lineRule="auto"/>
      </w:pPr>
      <w:r>
        <w:rPr>
          <w:rFonts w:ascii="Times New Roman" w:eastAsia="Times New Roman" w:hAnsi="Times New Roman" w:cs="Times New Roman"/>
        </w:rPr>
        <w:lastRenderedPageBreak/>
        <w:t xml:space="preserve">[262] Liang et al., </w:t>
      </w:r>
      <w:r>
        <w:rPr>
          <w:rFonts w:ascii="Songti SC" w:eastAsia="Songti SC" w:hAnsi="Songti SC" w:cs="Songti SC" w:hint="eastAsia"/>
        </w:rPr>
        <w:t>“</w:t>
      </w:r>
      <w:proofErr w:type="spellStart"/>
      <w:r>
        <w:rPr>
          <w:rFonts w:ascii="Times New Roman" w:eastAsia="Times New Roman" w:hAnsi="Times New Roman" w:cs="Times New Roman"/>
        </w:rPr>
        <w:t>UNeMo</w:t>
      </w:r>
      <w:proofErr w:type="spellEnd"/>
      <w:r>
        <w:rPr>
          <w:rFonts w:ascii="Times New Roman" w:eastAsia="Times New Roman" w:hAnsi="Times New Roman" w:cs="Times New Roman"/>
        </w:rPr>
        <w:t>: Collaborative Visual-Language Reasoning and Navigation via a Multimodal World Model,</w:t>
      </w:r>
      <w:r>
        <w:rPr>
          <w:rFonts w:ascii="Songti SC" w:eastAsia="Songti SC" w:hAnsi="Songti SC" w:cs="Songti SC" w:hint="eastAsia"/>
        </w:rPr>
        <w:t>”</w:t>
      </w:r>
      <w:r>
        <w:rPr>
          <w:rFonts w:ascii="Times New Roman" w:eastAsia="Times New Roman" w:hAnsi="Times New Roman" w:cs="Times New Roman"/>
        </w:rPr>
        <w:t xml:space="preserve"> AAAI, 2026.</w:t>
      </w:r>
    </w:p>
    <w:p w14:paraId="714EFFFB" w14:textId="77777777" w:rsidR="00480987" w:rsidRDefault="00000000">
      <w:pPr>
        <w:pStyle w:val="NormalWeb"/>
        <w:spacing w:line="300" w:lineRule="auto"/>
      </w:pPr>
      <w:r>
        <w:rPr>
          <w:rFonts w:ascii="Times New Roman" w:eastAsia="Times New Roman" w:hAnsi="Times New Roman" w:cs="Times New Roman"/>
        </w:rPr>
        <w:t xml:space="preserve">[264] </w:t>
      </w:r>
      <w:r>
        <w:rPr>
          <w:rFonts w:ascii="Songti SC" w:eastAsia="Songti SC" w:hAnsi="Songti SC" w:cs="Songti SC" w:hint="eastAsia"/>
        </w:rPr>
        <w:t>“</w:t>
      </w:r>
      <w:proofErr w:type="spellStart"/>
      <w:r>
        <w:rPr>
          <w:rFonts w:ascii="Times New Roman" w:eastAsia="Times New Roman" w:hAnsi="Times New Roman" w:cs="Times New Roman"/>
        </w:rPr>
        <w:t>WorldGrow</w:t>
      </w:r>
      <w:proofErr w:type="spellEnd"/>
      <w:r>
        <w:rPr>
          <w:rFonts w:ascii="Times New Roman" w:eastAsia="Times New Roman" w:hAnsi="Times New Roman" w:cs="Times New Roman"/>
        </w:rPr>
        <w:t>: Generating Infinite 3D World,</w:t>
      </w:r>
      <w:r>
        <w:rPr>
          <w:rFonts w:ascii="Songti SC" w:eastAsia="Songti SC" w:hAnsi="Songti SC" w:cs="Songti SC" w:hint="eastAsia"/>
        </w:rPr>
        <w:t>”</w:t>
      </w:r>
      <w:r>
        <w:rPr>
          <w:rFonts w:ascii="Times New Roman" w:eastAsia="Times New Roman" w:hAnsi="Times New Roman" w:cs="Times New Roman"/>
        </w:rPr>
        <w:t xml:space="preserve"> AAAI, 2026 (Oral).</w:t>
      </w:r>
    </w:p>
    <w:p w14:paraId="7EBF3644" w14:textId="77777777" w:rsidR="00480987" w:rsidRDefault="00000000">
      <w:pPr>
        <w:pStyle w:val="NormalWeb"/>
        <w:spacing w:line="300" w:lineRule="auto"/>
      </w:pPr>
      <w:r>
        <w:rPr>
          <w:rFonts w:ascii="Times New Roman" w:eastAsia="Times New Roman" w:hAnsi="Times New Roman" w:cs="Times New Roman"/>
        </w:rPr>
        <w:t xml:space="preserve">[265] Zhu et al., </w:t>
      </w:r>
      <w:r>
        <w:rPr>
          <w:rFonts w:ascii="Songti SC" w:eastAsia="Songti SC" w:hAnsi="Songti SC" w:cs="Songti SC" w:hint="eastAsia"/>
        </w:rPr>
        <w:t>“</w:t>
      </w:r>
      <w:proofErr w:type="spellStart"/>
      <w:r>
        <w:rPr>
          <w:rFonts w:ascii="Times New Roman" w:eastAsia="Times New Roman" w:hAnsi="Times New Roman" w:cs="Times New Roman"/>
        </w:rPr>
        <w:t>WorldRFT</w:t>
      </w:r>
      <w:proofErr w:type="spellEnd"/>
      <w:r>
        <w:rPr>
          <w:rFonts w:ascii="Times New Roman" w:eastAsia="Times New Roman" w:hAnsi="Times New Roman" w:cs="Times New Roman"/>
        </w:rPr>
        <w:t>: Latent World Model Planning with Reinforcement Fine-Tuning for Autonomous Driving,</w:t>
      </w:r>
      <w:r>
        <w:rPr>
          <w:rFonts w:ascii="Songti SC" w:eastAsia="Songti SC" w:hAnsi="Songti SC" w:cs="Songti SC" w:hint="eastAsia"/>
        </w:rPr>
        <w:t>”</w:t>
      </w:r>
      <w:r>
        <w:rPr>
          <w:rFonts w:ascii="Times New Roman" w:eastAsia="Times New Roman" w:hAnsi="Times New Roman" w:cs="Times New Roman"/>
        </w:rPr>
        <w:t xml:space="preserve"> AAAI, 2026.</w:t>
      </w:r>
    </w:p>
    <w:p w14:paraId="0891D919" w14:textId="77777777" w:rsidR="00480987" w:rsidRDefault="00000000">
      <w:pPr>
        <w:pStyle w:val="NormalWeb"/>
        <w:spacing w:line="300" w:lineRule="auto"/>
      </w:pPr>
      <w:r>
        <w:rPr>
          <w:rFonts w:ascii="Times New Roman" w:eastAsia="Times New Roman" w:hAnsi="Times New Roman" w:cs="Times New Roman"/>
        </w:rPr>
        <w:t xml:space="preserve">[266] </w:t>
      </w:r>
      <w:proofErr w:type="spellStart"/>
      <w:r>
        <w:rPr>
          <w:rFonts w:ascii="Times New Roman" w:eastAsia="Times New Roman" w:hAnsi="Times New Roman" w:cs="Times New Roman"/>
        </w:rPr>
        <w:t>Kerssies</w:t>
      </w:r>
      <w:proofErr w:type="spellEnd"/>
      <w:r>
        <w:rPr>
          <w:rFonts w:ascii="Times New Roman" w:eastAsia="Times New Roman" w:hAnsi="Times New Roman" w:cs="Times New Roman"/>
        </w:rPr>
        <w:t xml:space="preserve"> et al., </w:t>
      </w:r>
      <w:r>
        <w:rPr>
          <w:rFonts w:ascii="Songti SC" w:eastAsia="Songti SC" w:hAnsi="Songti SC" w:cs="Songti SC" w:hint="eastAsia"/>
        </w:rPr>
        <w:t>“</w:t>
      </w:r>
      <w:r>
        <w:rPr>
          <w:rFonts w:ascii="Times New Roman" w:eastAsia="Times New Roman" w:hAnsi="Times New Roman" w:cs="Times New Roman"/>
        </w:rPr>
        <w:t>A Frame is Worth One Token: Efficient Generative World Modeling with Delta Tokens,</w:t>
      </w:r>
      <w:r>
        <w:rPr>
          <w:rFonts w:ascii="Songti SC" w:eastAsia="Songti SC" w:hAnsi="Songti SC" w:cs="Songti SC" w:hint="eastAsia"/>
        </w:rPr>
        <w:t>”</w:t>
      </w:r>
      <w:r>
        <w:rPr>
          <w:rFonts w:ascii="Times New Roman" w:eastAsia="Times New Roman" w:hAnsi="Times New Roman" w:cs="Times New Roman"/>
        </w:rPr>
        <w:t xml:space="preserve"> CVPR, 2026 (Highlight).</w:t>
      </w:r>
    </w:p>
    <w:p w14:paraId="5E425A70" w14:textId="77777777" w:rsidR="00480987" w:rsidRDefault="00000000">
      <w:pPr>
        <w:pStyle w:val="NormalWeb"/>
        <w:spacing w:line="300" w:lineRule="auto"/>
      </w:pPr>
      <w:r>
        <w:rPr>
          <w:rFonts w:ascii="Times New Roman" w:eastAsia="Times New Roman" w:hAnsi="Times New Roman" w:cs="Times New Roman"/>
        </w:rPr>
        <w:t xml:space="preserve">[268] Yang et al., </w:t>
      </w:r>
      <w:r>
        <w:rPr>
          <w:rFonts w:ascii="Songti SC" w:eastAsia="Songti SC" w:hAnsi="Songti SC" w:cs="Songti SC" w:hint="eastAsia"/>
        </w:rPr>
        <w:t>“</w:t>
      </w:r>
      <w:r>
        <w:rPr>
          <w:rFonts w:ascii="Times New Roman" w:eastAsia="Times New Roman" w:hAnsi="Times New Roman" w:cs="Times New Roman"/>
        </w:rPr>
        <w:t>Chain of World: World Model Thinking in Latent Motion</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CoWVLA</w:t>
      </w:r>
      <w:proofErr w:type="spellEnd"/>
      <w:r>
        <w:rPr>
          <w:rFonts w:ascii="Times New Roman" w:eastAsia="Times New Roman" w:hAnsi="Times New Roman" w:cs="Times New Roman"/>
        </w:rPr>
        <w:t>), CVPR, 2026.</w:t>
      </w:r>
    </w:p>
    <w:p w14:paraId="32946A08" w14:textId="77777777" w:rsidR="00480987" w:rsidRDefault="00000000">
      <w:pPr>
        <w:pStyle w:val="NormalWeb"/>
        <w:spacing w:line="300" w:lineRule="auto"/>
      </w:pPr>
      <w:r>
        <w:rPr>
          <w:rFonts w:ascii="Times New Roman" w:eastAsia="Times New Roman" w:hAnsi="Times New Roman" w:cs="Times New Roman"/>
        </w:rPr>
        <w:t xml:space="preserve">[269] </w:t>
      </w:r>
      <w:r>
        <w:rPr>
          <w:rFonts w:ascii="Songti SC" w:eastAsia="Songti SC" w:hAnsi="Songti SC" w:cs="Songti SC" w:hint="eastAsia"/>
        </w:rPr>
        <w:t>“</w:t>
      </w:r>
      <w:r>
        <w:rPr>
          <w:rFonts w:ascii="Times New Roman" w:eastAsia="Times New Roman" w:hAnsi="Times New Roman" w:cs="Times New Roman"/>
        </w:rPr>
        <w:t>Dexterous World Models,</w:t>
      </w:r>
      <w:r>
        <w:rPr>
          <w:rFonts w:ascii="Songti SC" w:eastAsia="Songti SC" w:hAnsi="Songti SC" w:cs="Songti SC" w:hint="eastAsia"/>
        </w:rPr>
        <w:t>”</w:t>
      </w:r>
      <w:r>
        <w:rPr>
          <w:rFonts w:ascii="Times New Roman" w:eastAsia="Times New Roman" w:hAnsi="Times New Roman" w:cs="Times New Roman"/>
        </w:rPr>
        <w:t xml:space="preserve"> CVPR, 2026.</w:t>
      </w:r>
    </w:p>
    <w:p w14:paraId="02B48B9A" w14:textId="77777777" w:rsidR="00480987" w:rsidRDefault="00000000">
      <w:pPr>
        <w:pStyle w:val="NormalWeb"/>
        <w:spacing w:line="300" w:lineRule="auto"/>
      </w:pPr>
      <w:r>
        <w:rPr>
          <w:rFonts w:ascii="Times New Roman" w:eastAsia="Times New Roman" w:hAnsi="Times New Roman" w:cs="Times New Roman"/>
        </w:rPr>
        <w:t xml:space="preserve">[274] Bi et al., </w:t>
      </w:r>
      <w:r>
        <w:rPr>
          <w:rFonts w:ascii="Songti SC" w:eastAsia="Songti SC" w:hAnsi="Songti SC" w:cs="Songti SC" w:hint="eastAsia"/>
        </w:rPr>
        <w:t>“</w:t>
      </w:r>
      <w:r>
        <w:rPr>
          <w:rFonts w:ascii="Times New Roman" w:eastAsia="Times New Roman" w:hAnsi="Times New Roman" w:cs="Times New Roman"/>
        </w:rPr>
        <w:t>Motus: A Unified Latent Action World Model,</w:t>
      </w:r>
      <w:r>
        <w:rPr>
          <w:rFonts w:ascii="Songti SC" w:eastAsia="Songti SC" w:hAnsi="Songti SC" w:cs="Songti SC" w:hint="eastAsia"/>
        </w:rPr>
        <w:t>”</w:t>
      </w:r>
      <w:r>
        <w:rPr>
          <w:rFonts w:ascii="Times New Roman" w:eastAsia="Times New Roman" w:hAnsi="Times New Roman" w:cs="Times New Roman"/>
        </w:rPr>
        <w:t xml:space="preserve"> CVPR, 2026.</w:t>
      </w:r>
    </w:p>
    <w:p w14:paraId="635C4C7D" w14:textId="77777777" w:rsidR="00480987" w:rsidRDefault="00000000">
      <w:pPr>
        <w:pStyle w:val="NormalWeb"/>
        <w:spacing w:line="300" w:lineRule="auto"/>
      </w:pPr>
      <w:r>
        <w:rPr>
          <w:rFonts w:ascii="Times New Roman" w:eastAsia="Times New Roman" w:hAnsi="Times New Roman" w:cs="Times New Roman"/>
        </w:rPr>
        <w:t xml:space="preserve">[279] Kim et al., </w:t>
      </w:r>
      <w:r>
        <w:rPr>
          <w:rFonts w:ascii="Songti SC" w:eastAsia="Songti SC" w:hAnsi="Songti SC" w:cs="Songti SC" w:hint="eastAsia"/>
        </w:rPr>
        <w:t>“</w:t>
      </w:r>
      <w:r>
        <w:rPr>
          <w:rFonts w:ascii="Times New Roman" w:eastAsia="Times New Roman" w:hAnsi="Times New Roman" w:cs="Times New Roman"/>
        </w:rPr>
        <w:t>Planning in 8 Tokens: A Compact Discrete Tokenizer for Latent World Model,</w:t>
      </w:r>
      <w:r>
        <w:rPr>
          <w:rFonts w:ascii="Songti SC" w:eastAsia="Songti SC" w:hAnsi="Songti SC" w:cs="Songti SC" w:hint="eastAsia"/>
        </w:rPr>
        <w:t>”</w:t>
      </w:r>
      <w:r>
        <w:rPr>
          <w:rFonts w:ascii="Times New Roman" w:eastAsia="Times New Roman" w:hAnsi="Times New Roman" w:cs="Times New Roman"/>
        </w:rPr>
        <w:t xml:space="preserve"> CVPR, 2026.</w:t>
      </w:r>
    </w:p>
    <w:p w14:paraId="66EF446E" w14:textId="77777777" w:rsidR="00480987" w:rsidRDefault="00000000">
      <w:pPr>
        <w:pStyle w:val="NormalWeb"/>
        <w:spacing w:line="300" w:lineRule="auto"/>
      </w:pPr>
      <w:r>
        <w:rPr>
          <w:rFonts w:ascii="Times New Roman" w:eastAsia="Times New Roman" w:hAnsi="Times New Roman" w:cs="Times New Roman"/>
        </w:rPr>
        <w:t xml:space="preserve">[281] Wei et al., </w:t>
      </w:r>
      <w:r>
        <w:rPr>
          <w:rFonts w:ascii="Songti SC" w:eastAsia="Songti SC" w:hAnsi="Songti SC" w:cs="Songti SC" w:hint="eastAsia"/>
        </w:rPr>
        <w:t>“</w:t>
      </w:r>
      <w:proofErr w:type="spellStart"/>
      <w:r>
        <w:rPr>
          <w:rFonts w:ascii="Times New Roman" w:eastAsia="Times New Roman" w:hAnsi="Times New Roman" w:cs="Times New Roman"/>
        </w:rPr>
        <w:t>RehearseVLA</w:t>
      </w:r>
      <w:proofErr w:type="spellEnd"/>
      <w:r>
        <w:rPr>
          <w:rFonts w:ascii="Times New Roman" w:eastAsia="Times New Roman" w:hAnsi="Times New Roman" w:cs="Times New Roman"/>
        </w:rPr>
        <w:t xml:space="preserve">: Simulated Post-Training for VLAs with </w:t>
      </w:r>
      <w:proofErr w:type="gramStart"/>
      <w:r>
        <w:rPr>
          <w:rFonts w:ascii="Times New Roman" w:eastAsia="Times New Roman" w:hAnsi="Times New Roman" w:cs="Times New Roman"/>
        </w:rPr>
        <w:t>Physically-Consistent</w:t>
      </w:r>
      <w:proofErr w:type="gramEnd"/>
      <w:r>
        <w:rPr>
          <w:rFonts w:ascii="Times New Roman" w:eastAsia="Times New Roman" w:hAnsi="Times New Roman" w:cs="Times New Roman"/>
        </w:rPr>
        <w:t xml:space="preserve"> World Model,</w:t>
      </w:r>
      <w:r>
        <w:rPr>
          <w:rFonts w:ascii="Songti SC" w:eastAsia="Songti SC" w:hAnsi="Songti SC" w:cs="Songti SC" w:hint="eastAsia"/>
        </w:rPr>
        <w:t>”</w:t>
      </w:r>
      <w:r>
        <w:rPr>
          <w:rFonts w:ascii="Times New Roman" w:eastAsia="Times New Roman" w:hAnsi="Times New Roman" w:cs="Times New Roman"/>
        </w:rPr>
        <w:t xml:space="preserve"> CVPR, 2026.</w:t>
      </w:r>
    </w:p>
    <w:p w14:paraId="04212BD2" w14:textId="77777777" w:rsidR="00480987" w:rsidRDefault="00000000">
      <w:pPr>
        <w:pStyle w:val="NormalWeb"/>
        <w:spacing w:line="300" w:lineRule="auto"/>
      </w:pPr>
      <w:r>
        <w:rPr>
          <w:rFonts w:ascii="Times New Roman" w:eastAsia="Times New Roman" w:hAnsi="Times New Roman" w:cs="Times New Roman"/>
        </w:rPr>
        <w:t xml:space="preserve">[302] Zhu et al., </w:t>
      </w:r>
      <w:r>
        <w:rPr>
          <w:rFonts w:ascii="Songti SC" w:eastAsia="Songti SC" w:hAnsi="Songti SC" w:cs="Songti SC" w:hint="eastAsia"/>
        </w:rPr>
        <w:t>“</w:t>
      </w:r>
      <w:r>
        <w:rPr>
          <w:rFonts w:ascii="Times New Roman" w:eastAsia="Times New Roman" w:hAnsi="Times New Roman" w:cs="Times New Roman"/>
        </w:rPr>
        <w:t>WMPO: World Model-based Policy Optimization for Vision-Language-Action Models,</w:t>
      </w:r>
      <w:r>
        <w:rPr>
          <w:rFonts w:ascii="Songti SC" w:eastAsia="Songti SC" w:hAnsi="Songti SC" w:cs="Songti SC" w:hint="eastAsia"/>
        </w:rPr>
        <w:t>”</w:t>
      </w:r>
      <w:r>
        <w:rPr>
          <w:rFonts w:ascii="Times New Roman" w:eastAsia="Times New Roman" w:hAnsi="Times New Roman" w:cs="Times New Roman"/>
        </w:rPr>
        <w:t xml:space="preserve"> ICLR, 2026.</w:t>
      </w:r>
    </w:p>
    <w:p w14:paraId="079AD46F" w14:textId="77777777" w:rsidR="00480987" w:rsidRDefault="00000000">
      <w:pPr>
        <w:pStyle w:val="NormalWeb"/>
        <w:spacing w:line="300" w:lineRule="auto"/>
      </w:pPr>
      <w:r>
        <w:rPr>
          <w:rFonts w:ascii="Times New Roman" w:eastAsia="Times New Roman" w:hAnsi="Times New Roman" w:cs="Times New Roman"/>
        </w:rPr>
        <w:t xml:space="preserve">[303] J. Wu, S. Yin, N. Feng, and M. Long, </w:t>
      </w:r>
      <w:r>
        <w:rPr>
          <w:rFonts w:ascii="Songti SC" w:eastAsia="Songti SC" w:hAnsi="Songti SC" w:cs="Songti SC" w:hint="eastAsia"/>
        </w:rPr>
        <w:t>“</w:t>
      </w:r>
      <w:r>
        <w:rPr>
          <w:rFonts w:ascii="Times New Roman" w:eastAsia="Times New Roman" w:hAnsi="Times New Roman" w:cs="Times New Roman"/>
        </w:rPr>
        <w:t>RLVR-World: Training World Models with Reinforcement Learning,</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2025.</w:t>
      </w:r>
    </w:p>
    <w:p w14:paraId="59D46231" w14:textId="77777777" w:rsidR="00480987" w:rsidRDefault="00000000">
      <w:pPr>
        <w:pStyle w:val="NormalWeb"/>
        <w:spacing w:line="300" w:lineRule="auto"/>
      </w:pPr>
      <w:r>
        <w:rPr>
          <w:rFonts w:ascii="Times New Roman" w:eastAsia="Times New Roman" w:hAnsi="Times New Roman" w:cs="Times New Roman"/>
        </w:rPr>
        <w:t xml:space="preserve">[304] J. Wu, S. Yin, N. Feng, X. He, D. Li, J. Hao, and M. Long, </w:t>
      </w:r>
      <w:r>
        <w:rPr>
          <w:rFonts w:ascii="Songti SC" w:eastAsia="Songti SC" w:hAnsi="Songti SC" w:cs="Songti SC" w:hint="eastAsia"/>
        </w:rPr>
        <w:t>“</w:t>
      </w:r>
      <w:proofErr w:type="spellStart"/>
      <w:r>
        <w:rPr>
          <w:rFonts w:ascii="Times New Roman" w:eastAsia="Times New Roman" w:hAnsi="Times New Roman" w:cs="Times New Roman"/>
        </w:rPr>
        <w:t>iVideoGPT</w:t>
      </w:r>
      <w:proofErr w:type="spellEnd"/>
      <w:r>
        <w:rPr>
          <w:rFonts w:ascii="Times New Roman" w:eastAsia="Times New Roman" w:hAnsi="Times New Roman" w:cs="Times New Roman"/>
        </w:rPr>
        <w:t xml:space="preserve">: Interactive </w:t>
      </w:r>
      <w:proofErr w:type="spellStart"/>
      <w:r>
        <w:rPr>
          <w:rFonts w:ascii="Times New Roman" w:eastAsia="Times New Roman" w:hAnsi="Times New Roman" w:cs="Times New Roman"/>
        </w:rPr>
        <w:t>VideoGPTs</w:t>
      </w:r>
      <w:proofErr w:type="spellEnd"/>
      <w:r>
        <w:rPr>
          <w:rFonts w:ascii="Times New Roman" w:eastAsia="Times New Roman" w:hAnsi="Times New Roman" w:cs="Times New Roman"/>
        </w:rPr>
        <w:t xml:space="preserve"> are Scalable World Models,</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2024.</w:t>
      </w:r>
    </w:p>
    <w:p w14:paraId="43C7D0A9" w14:textId="77777777" w:rsidR="00480987" w:rsidRDefault="00000000">
      <w:pPr>
        <w:pStyle w:val="NormalWeb"/>
        <w:spacing w:line="300" w:lineRule="auto"/>
      </w:pPr>
      <w:r>
        <w:rPr>
          <w:rFonts w:ascii="Times New Roman" w:eastAsia="Times New Roman" w:hAnsi="Times New Roman" w:cs="Times New Roman"/>
        </w:rPr>
        <w:t xml:space="preserve">[305] F. Mentzer, D. Minnen, E. Agustsson, and M. Tschannen, </w:t>
      </w:r>
      <w:r>
        <w:rPr>
          <w:rFonts w:ascii="Songti SC" w:eastAsia="Songti SC" w:hAnsi="Songti SC" w:cs="Songti SC" w:hint="eastAsia"/>
        </w:rPr>
        <w:t>“</w:t>
      </w:r>
      <w:r>
        <w:rPr>
          <w:rFonts w:ascii="Times New Roman" w:eastAsia="Times New Roman" w:hAnsi="Times New Roman" w:cs="Times New Roman"/>
        </w:rPr>
        <w:t xml:space="preserve">Finite Scalar </w:t>
      </w:r>
      <w:r>
        <w:rPr>
          <w:rFonts w:ascii="Times New Roman" w:eastAsia="Times New Roman" w:hAnsi="Times New Roman" w:cs="Times New Roman"/>
        </w:rPr>
        <w:lastRenderedPageBreak/>
        <w:t>Quantization: VQ-VAE Made Simple,</w:t>
      </w:r>
      <w:r>
        <w:rPr>
          <w:rFonts w:ascii="Songti SC" w:eastAsia="Songti SC" w:hAnsi="Songti SC" w:cs="Songti SC" w:hint="eastAsia"/>
        </w:rPr>
        <w:t>”</w:t>
      </w:r>
      <w:r>
        <w:rPr>
          <w:rFonts w:ascii="Times New Roman" w:eastAsia="Times New Roman" w:hAnsi="Times New Roman" w:cs="Times New Roman"/>
        </w:rPr>
        <w:t xml:space="preserve"> ICLR, 2024.</w:t>
      </w:r>
    </w:p>
    <w:p w14:paraId="639CBB95" w14:textId="77777777" w:rsidR="00480987" w:rsidRDefault="00000000">
      <w:pPr>
        <w:pStyle w:val="NormalWeb"/>
        <w:spacing w:line="300" w:lineRule="auto"/>
      </w:pPr>
      <w:r>
        <w:rPr>
          <w:rFonts w:ascii="Times New Roman" w:eastAsia="Times New Roman" w:hAnsi="Times New Roman" w:cs="Times New Roman"/>
        </w:rPr>
        <w:t xml:space="preserve">[306] NVIDIA, </w:t>
      </w:r>
      <w:r>
        <w:rPr>
          <w:rFonts w:ascii="Songti SC" w:eastAsia="Songti SC" w:hAnsi="Songti SC" w:cs="Songti SC" w:hint="eastAsia"/>
        </w:rPr>
        <w:t>“</w:t>
      </w:r>
      <w:r>
        <w:rPr>
          <w:rFonts w:ascii="Times New Roman" w:eastAsia="Times New Roman" w:hAnsi="Times New Roman" w:cs="Times New Roman"/>
        </w:rPr>
        <w:t>Cosmos World Foundation Model Platform for Physical AI,</w:t>
      </w:r>
      <w:r>
        <w:rPr>
          <w:rFonts w:ascii="Songti SC" w:eastAsia="Songti SC" w:hAnsi="Songti SC" w:cs="Songti SC" w:hint="eastAsia"/>
        </w:rPr>
        <w:t>”</w:t>
      </w:r>
      <w:r>
        <w:rPr>
          <w:rFonts w:ascii="Times New Roman" w:eastAsia="Times New Roman" w:hAnsi="Times New Roman" w:cs="Times New Roman"/>
        </w:rPr>
        <w:t xml:space="preserve"> arXiv:2501.03575, 2025.</w:t>
      </w:r>
    </w:p>
    <w:p w14:paraId="0ED53B51" w14:textId="77777777" w:rsidR="00480987" w:rsidRDefault="00000000">
      <w:pPr>
        <w:pStyle w:val="NormalWeb"/>
        <w:spacing w:line="300" w:lineRule="auto"/>
      </w:pPr>
      <w:r>
        <w:rPr>
          <w:rFonts w:ascii="Times New Roman" w:eastAsia="Times New Roman" w:hAnsi="Times New Roman" w:cs="Times New Roman"/>
        </w:rPr>
        <w:t xml:space="preserve">[307] Z. Shao et al., </w:t>
      </w:r>
      <w:r>
        <w:rPr>
          <w:rFonts w:ascii="Songti SC" w:eastAsia="Songti SC" w:hAnsi="Songti SC" w:cs="Songti SC" w:hint="eastAsia"/>
        </w:rPr>
        <w:t>“</w:t>
      </w:r>
      <w:proofErr w:type="spellStart"/>
      <w:r>
        <w:rPr>
          <w:rFonts w:ascii="Times New Roman" w:eastAsia="Times New Roman" w:hAnsi="Times New Roman" w:cs="Times New Roman"/>
        </w:rPr>
        <w:t>DeepSeekMath</w:t>
      </w:r>
      <w:proofErr w:type="spellEnd"/>
      <w:r>
        <w:rPr>
          <w:rFonts w:ascii="Times New Roman" w:eastAsia="Times New Roman" w:hAnsi="Times New Roman" w:cs="Times New Roman"/>
        </w:rPr>
        <w:t>: Pushing the Limits of Mathematical Reasoning in Open Language Models,</w:t>
      </w:r>
      <w:r>
        <w:rPr>
          <w:rFonts w:ascii="Songti SC" w:eastAsia="Songti SC" w:hAnsi="Songti SC" w:cs="Songti SC" w:hint="eastAsia"/>
        </w:rPr>
        <w:t>”</w:t>
      </w:r>
      <w:r>
        <w:rPr>
          <w:rFonts w:ascii="Times New Roman" w:eastAsia="Times New Roman" w:hAnsi="Times New Roman" w:cs="Times New Roman"/>
        </w:rPr>
        <w:t xml:space="preserve"> arXiv:2402.03300, 2024.</w:t>
      </w:r>
    </w:p>
    <w:p w14:paraId="25515364" w14:textId="77777777" w:rsidR="00480987" w:rsidRDefault="00000000">
      <w:pPr>
        <w:pStyle w:val="NormalWeb"/>
        <w:spacing w:line="300" w:lineRule="auto"/>
      </w:pPr>
      <w:r>
        <w:rPr>
          <w:rFonts w:ascii="Times New Roman" w:eastAsia="Times New Roman" w:hAnsi="Times New Roman" w:cs="Times New Roman"/>
        </w:rPr>
        <w:t xml:space="preserve">[308] A. van den Oord, O. </w:t>
      </w:r>
      <w:proofErr w:type="spellStart"/>
      <w:r>
        <w:rPr>
          <w:rFonts w:ascii="Times New Roman" w:eastAsia="Times New Roman" w:hAnsi="Times New Roman" w:cs="Times New Roman"/>
        </w:rPr>
        <w:t>Vinyals</w:t>
      </w:r>
      <w:proofErr w:type="spellEnd"/>
      <w:r>
        <w:rPr>
          <w:rFonts w:ascii="Times New Roman" w:eastAsia="Times New Roman" w:hAnsi="Times New Roman" w:cs="Times New Roman"/>
        </w:rPr>
        <w:t xml:space="preserve">, and K. </w:t>
      </w:r>
      <w:proofErr w:type="spellStart"/>
      <w:r>
        <w:rPr>
          <w:rFonts w:ascii="Times New Roman" w:eastAsia="Times New Roman" w:hAnsi="Times New Roman" w:cs="Times New Roman"/>
        </w:rPr>
        <w:t>Kavukcuoglu</w:t>
      </w:r>
      <w:proofErr w:type="spellEnd"/>
      <w:r>
        <w:rPr>
          <w:rFonts w:ascii="Times New Roman" w:eastAsia="Times New Roman" w:hAnsi="Times New Roman" w:cs="Times New Roman"/>
        </w:rPr>
        <w:t xml:space="preserve">, </w:t>
      </w:r>
      <w:r>
        <w:rPr>
          <w:rFonts w:ascii="Songti SC" w:eastAsia="Songti SC" w:hAnsi="Songti SC" w:cs="Songti SC" w:hint="eastAsia"/>
        </w:rPr>
        <w:t>“</w:t>
      </w:r>
      <w:r>
        <w:rPr>
          <w:rFonts w:ascii="Times New Roman" w:eastAsia="Times New Roman" w:hAnsi="Times New Roman" w:cs="Times New Roman"/>
        </w:rPr>
        <w:t>Neural Discrete Representation Learning,</w:t>
      </w:r>
      <w:r>
        <w:rPr>
          <w:rFonts w:ascii="Songti SC" w:eastAsia="Songti SC" w:hAnsi="Songti SC" w:cs="Songti SC" w:hint="eastAsia"/>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NeurIPS</w:t>
      </w:r>
      <w:proofErr w:type="spellEnd"/>
      <w:r>
        <w:rPr>
          <w:rFonts w:ascii="Times New Roman" w:eastAsia="Times New Roman" w:hAnsi="Times New Roman" w:cs="Times New Roman"/>
        </w:rPr>
        <w:t>, 2017.</w:t>
      </w:r>
    </w:p>
    <w:p w14:paraId="3BF8E950" w14:textId="77777777" w:rsidR="00480987" w:rsidRDefault="00000000">
      <w:pPr>
        <w:pStyle w:val="NormalWeb"/>
        <w:spacing w:line="300" w:lineRule="auto"/>
      </w:pPr>
      <w:r>
        <w:rPr>
          <w:rFonts w:ascii="Times New Roman" w:eastAsia="Times New Roman" w:hAnsi="Times New Roman" w:cs="Times New Roman"/>
        </w:rPr>
        <w:t xml:space="preserve">[309] Y. Blau and T. Michaeli, </w:t>
      </w:r>
      <w:r>
        <w:rPr>
          <w:rFonts w:ascii="Songti SC" w:eastAsia="Songti SC" w:hAnsi="Songti SC" w:cs="Songti SC" w:hint="eastAsia"/>
        </w:rPr>
        <w:t>“</w:t>
      </w:r>
      <w:r>
        <w:rPr>
          <w:rFonts w:ascii="Times New Roman" w:eastAsia="Times New Roman" w:hAnsi="Times New Roman" w:cs="Times New Roman"/>
        </w:rPr>
        <w:t>The Perception-Distortion Tradeoff,</w:t>
      </w:r>
      <w:r>
        <w:rPr>
          <w:rFonts w:ascii="Songti SC" w:eastAsia="Songti SC" w:hAnsi="Songti SC" w:cs="Songti SC" w:hint="eastAsia"/>
        </w:rPr>
        <w:t>”</w:t>
      </w:r>
      <w:r>
        <w:rPr>
          <w:rFonts w:ascii="Times New Roman" w:eastAsia="Times New Roman" w:hAnsi="Times New Roman" w:cs="Times New Roman"/>
        </w:rPr>
        <w:t xml:space="preserve"> CVPR, 2018, pp. 6228</w:t>
      </w:r>
      <w:r>
        <w:rPr>
          <w:rFonts w:ascii="Songti SC" w:eastAsia="Songti SC" w:hAnsi="Songti SC" w:cs="Songti SC" w:hint="eastAsia"/>
        </w:rPr>
        <w:t>–</w:t>
      </w:r>
      <w:r>
        <w:rPr>
          <w:rFonts w:ascii="Times New Roman" w:eastAsia="Times New Roman" w:hAnsi="Times New Roman" w:cs="Times New Roman"/>
        </w:rPr>
        <w:t>6237.</w:t>
      </w:r>
    </w:p>
    <w:p w14:paraId="571B6E90" w14:textId="77777777" w:rsidR="00480987" w:rsidRDefault="00000000">
      <w:pPr>
        <w:pStyle w:val="NormalWeb"/>
        <w:spacing w:line="300" w:lineRule="auto"/>
      </w:pPr>
      <w:r>
        <w:rPr>
          <w:rFonts w:ascii="Times New Roman" w:eastAsia="Times New Roman" w:hAnsi="Times New Roman" w:cs="Times New Roman"/>
        </w:rPr>
        <w:t xml:space="preserve">[310] R. Zhang, P. Isola, A. A. Efros, E. Shechtman, and O. Wang, </w:t>
      </w:r>
      <w:r>
        <w:rPr>
          <w:rFonts w:ascii="Songti SC" w:eastAsia="Songti SC" w:hAnsi="Songti SC" w:cs="Songti SC" w:hint="eastAsia"/>
        </w:rPr>
        <w:t>“</w:t>
      </w:r>
      <w:r>
        <w:rPr>
          <w:rFonts w:ascii="Times New Roman" w:eastAsia="Times New Roman" w:hAnsi="Times New Roman" w:cs="Times New Roman"/>
        </w:rPr>
        <w:t>The Unreasonable Effectiveness of Deep Features as a Perceptual Metric,</w:t>
      </w:r>
      <w:r>
        <w:rPr>
          <w:rFonts w:ascii="Songti SC" w:eastAsia="Songti SC" w:hAnsi="Songti SC" w:cs="Songti SC" w:hint="eastAsia"/>
        </w:rPr>
        <w:t>”</w:t>
      </w:r>
      <w:r>
        <w:rPr>
          <w:rFonts w:ascii="Times New Roman" w:eastAsia="Times New Roman" w:hAnsi="Times New Roman" w:cs="Times New Roman"/>
        </w:rPr>
        <w:t xml:space="preserve"> CVPR, 2018, pp. 586</w:t>
      </w:r>
      <w:r>
        <w:rPr>
          <w:rFonts w:ascii="Songti SC" w:eastAsia="Songti SC" w:hAnsi="Songti SC" w:cs="Songti SC" w:hint="eastAsia"/>
        </w:rPr>
        <w:t>–</w:t>
      </w:r>
      <w:r>
        <w:rPr>
          <w:rFonts w:ascii="Times New Roman" w:eastAsia="Times New Roman" w:hAnsi="Times New Roman" w:cs="Times New Roman"/>
        </w:rPr>
        <w:t>595.</w:t>
      </w:r>
    </w:p>
    <w:p w14:paraId="526D759C" w14:textId="77777777" w:rsidR="00480987" w:rsidRDefault="00000000">
      <w:pPr>
        <w:pStyle w:val="NormalWeb"/>
        <w:spacing w:line="300" w:lineRule="auto"/>
      </w:pPr>
      <w:r>
        <w:rPr>
          <w:rFonts w:ascii="Times New Roman" w:eastAsia="Times New Roman" w:hAnsi="Times New Roman" w:cs="Times New Roman"/>
        </w:rPr>
        <w:t xml:space="preserve">[311] Z. Wang, A. C. </w:t>
      </w:r>
      <w:proofErr w:type="spellStart"/>
      <w:r>
        <w:rPr>
          <w:rFonts w:ascii="Times New Roman" w:eastAsia="Times New Roman" w:hAnsi="Times New Roman" w:cs="Times New Roman"/>
        </w:rPr>
        <w:t>Bovik</w:t>
      </w:r>
      <w:proofErr w:type="spellEnd"/>
      <w:r>
        <w:rPr>
          <w:rFonts w:ascii="Times New Roman" w:eastAsia="Times New Roman" w:hAnsi="Times New Roman" w:cs="Times New Roman"/>
        </w:rPr>
        <w:t xml:space="preserve">, H. R. Sheikh, and E. P. Simoncelli, </w:t>
      </w:r>
      <w:r>
        <w:rPr>
          <w:rFonts w:ascii="Songti SC" w:eastAsia="Songti SC" w:hAnsi="Songti SC" w:cs="Songti SC" w:hint="eastAsia"/>
        </w:rPr>
        <w:t>“</w:t>
      </w:r>
      <w:r>
        <w:rPr>
          <w:rFonts w:ascii="Times New Roman" w:eastAsia="Times New Roman" w:hAnsi="Times New Roman" w:cs="Times New Roman"/>
        </w:rPr>
        <w:t>Image Quality Assessment: From Error Visibility to Structural Similarity,</w:t>
      </w:r>
      <w:r>
        <w:rPr>
          <w:rFonts w:ascii="Songti SC" w:eastAsia="Songti SC" w:hAnsi="Songti SC" w:cs="Songti SC" w:hint="eastAsia"/>
        </w:rPr>
        <w:t>”</w:t>
      </w:r>
      <w:r>
        <w:rPr>
          <w:rFonts w:ascii="Times New Roman" w:eastAsia="Times New Roman" w:hAnsi="Times New Roman" w:cs="Times New Roman"/>
        </w:rPr>
        <w:t xml:space="preserve"> IEEE Transactions on Image Processing, vol. 13, no. 4, pp. 600</w:t>
      </w:r>
      <w:r>
        <w:rPr>
          <w:rFonts w:ascii="Songti SC" w:eastAsia="Songti SC" w:hAnsi="Songti SC" w:cs="Songti SC" w:hint="eastAsia"/>
        </w:rPr>
        <w:t>–</w:t>
      </w:r>
      <w:r>
        <w:rPr>
          <w:rFonts w:ascii="Times New Roman" w:eastAsia="Times New Roman" w:hAnsi="Times New Roman" w:cs="Times New Roman"/>
        </w:rPr>
        <w:t>612, 2004.</w:t>
      </w:r>
    </w:p>
    <w:sectPr w:rsidR="004809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ongti SC">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oNotDisplayPageBoundaries/>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80987"/>
    <w:rsid w:val="00480987"/>
    <w:rsid w:val="00AB4893"/>
    <w:rsid w:val="00B56267"/>
    <w:rsid w:val="00EE1EDB"/>
    <w:rsid w:val="087634BF"/>
    <w:rsid w:val="0AA920DA"/>
    <w:rsid w:val="0B1B437E"/>
    <w:rsid w:val="0D3F2D55"/>
    <w:rsid w:val="0E747DE7"/>
    <w:rsid w:val="12C46EF2"/>
    <w:rsid w:val="14C438F6"/>
    <w:rsid w:val="165671DF"/>
    <w:rsid w:val="166138EB"/>
    <w:rsid w:val="16C020AC"/>
    <w:rsid w:val="173F5246"/>
    <w:rsid w:val="19807F05"/>
    <w:rsid w:val="1AC86FD0"/>
    <w:rsid w:val="1BF70FBF"/>
    <w:rsid w:val="1DD44300"/>
    <w:rsid w:val="1E3F6C3A"/>
    <w:rsid w:val="1FD3769E"/>
    <w:rsid w:val="21386D13"/>
    <w:rsid w:val="22B67303"/>
    <w:rsid w:val="24470697"/>
    <w:rsid w:val="25A25B52"/>
    <w:rsid w:val="2626389E"/>
    <w:rsid w:val="26E107A4"/>
    <w:rsid w:val="281E224F"/>
    <w:rsid w:val="28B56FCA"/>
    <w:rsid w:val="29D54F56"/>
    <w:rsid w:val="2D685344"/>
    <w:rsid w:val="2D6C0914"/>
    <w:rsid w:val="31572824"/>
    <w:rsid w:val="3232366B"/>
    <w:rsid w:val="33814F09"/>
    <w:rsid w:val="33A86CC9"/>
    <w:rsid w:val="350F4FD2"/>
    <w:rsid w:val="3632560E"/>
    <w:rsid w:val="38637DC8"/>
    <w:rsid w:val="3ADA3749"/>
    <w:rsid w:val="3B8F1E2E"/>
    <w:rsid w:val="3C4312EF"/>
    <w:rsid w:val="435B47B1"/>
    <w:rsid w:val="44F93090"/>
    <w:rsid w:val="469C5F94"/>
    <w:rsid w:val="4BFA18AF"/>
    <w:rsid w:val="524F53C2"/>
    <w:rsid w:val="53590ECF"/>
    <w:rsid w:val="55C83D79"/>
    <w:rsid w:val="56111C07"/>
    <w:rsid w:val="56711BCB"/>
    <w:rsid w:val="573902C1"/>
    <w:rsid w:val="580A0140"/>
    <w:rsid w:val="586C428D"/>
    <w:rsid w:val="58A2152B"/>
    <w:rsid w:val="5BE4771A"/>
    <w:rsid w:val="5BFE219A"/>
    <w:rsid w:val="5D877B29"/>
    <w:rsid w:val="5E2D1468"/>
    <w:rsid w:val="62AF11B7"/>
    <w:rsid w:val="64BC24EA"/>
    <w:rsid w:val="64C24E0F"/>
    <w:rsid w:val="67403F17"/>
    <w:rsid w:val="6D0F1C2A"/>
    <w:rsid w:val="73006427"/>
    <w:rsid w:val="74210415"/>
    <w:rsid w:val="74C96B62"/>
    <w:rsid w:val="7D4E64C1"/>
    <w:rsid w:val="7E5C1774"/>
    <w:rsid w:val="7FBB4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7B2C884"/>
  <w15:docId w15:val="{1F408D83-ABBF-BE4C-BB97-DA2CFF295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rPr>
  </w:style>
  <w:style w:type="paragraph" w:styleId="Heading3">
    <w:name w:val="heading 3"/>
    <w:basedOn w:val="Normal"/>
    <w:next w:val="Normal"/>
    <w:semiHidden/>
    <w:unhideWhenUsed/>
    <w:qFormat/>
    <w:pPr>
      <w:spacing w:beforeAutospacing="1" w:afterAutospacing="1"/>
      <w:jc w:val="left"/>
      <w:outlineLvl w:val="2"/>
    </w:pPr>
    <w:rPr>
      <w:rFonts w:ascii="SimSun" w:eastAsia="SimSun" w:hAnsi="SimSun" w:cs="Times New Roman" w:hint="eastAsia"/>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cs="Times New Roman" w:hint="eastAsia"/>
      <w:kern w:val="0"/>
      <w:sz w:val="24"/>
    </w:rPr>
  </w:style>
  <w:style w:type="paragraph" w:styleId="NormalWeb">
    <w:name w:val="Normal (Web)"/>
    <w:basedOn w:val="Normal"/>
    <w:qFormat/>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9</Pages>
  <Words>1332</Words>
  <Characters>7595</Characters>
  <Application>Microsoft Office Word</Application>
  <DocSecurity>0</DocSecurity>
  <Lines>63</Lines>
  <Paragraphs>17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RC-GRPO 摘要与引言核对修订版</dc:title>
  <dc:subject>AAAI 2027 manuscript introduction draft</dc:subject>
  <dc:creator>iPad</dc:creator>
  <cp:lastModifiedBy>Maosen Zeng</cp:lastModifiedBy>
  <cp:revision>3</cp:revision>
  <dcterms:created xsi:type="dcterms:W3CDTF">2026-06-19T15:24:00Z</dcterms:created>
  <dcterms:modified xsi:type="dcterms:W3CDTF">2026-07-18T18:16:00Z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1064DDF3E0ED48A9ABAF1246D7B88FCE_13</vt:lpwstr>
  </property>
  <property fmtid="{D5CDD505-2E9C-101B-9397-08002B2CF9AE}" pid="4" name="KSOTemplateDocerSaveRecord">
    <vt:lpwstr>eyJoZGlkIjoiNDNlMjBiYTc4ZWYyMGVkZTgxMDQzYzIwMGIyYTY0ZDEiLCJ1c2VySWQiOiI1MzA4NTIzODQifQ==</vt:lpwstr>
  </property>
</Properties>
</file>