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FE3123" w14:textId="15F6D956" w:rsidR="0011747E" w:rsidRDefault="00EC6329">
      <w:pPr>
        <w:tabs>
          <w:tab w:val="left" w:pos="479"/>
          <w:tab w:val="left" w:pos="975"/>
          <w:tab w:val="center" w:pos="4419"/>
        </w:tabs>
        <w:autoSpaceDE w:val="0"/>
        <w:spacing w:line="300" w:lineRule="atLeast"/>
        <w:ind w:right="80"/>
        <w:jc w:val="right"/>
        <w:rPr>
          <w:rFonts w:ascii="Times New Roman" w:eastAsia="宋体;SimSun" w:hAnsi="Times New Roman"/>
          <w:color w:val="555555"/>
          <w:sz w:val="16"/>
          <w:szCs w:val="16"/>
          <w:shd w:val="clear" w:color="auto" w:fill="FFFFFF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57728" behindDoc="0" locked="0" layoutInCell="1" allowOverlap="1" wp14:anchorId="1ECACA1A" wp14:editId="20734576">
                <wp:simplePos x="0" y="0"/>
                <wp:positionH relativeFrom="column">
                  <wp:posOffset>-28575</wp:posOffset>
                </wp:positionH>
                <wp:positionV relativeFrom="paragraph">
                  <wp:posOffset>-534670</wp:posOffset>
                </wp:positionV>
                <wp:extent cx="6033135" cy="565150"/>
                <wp:effectExtent l="0" t="0" r="0" b="0"/>
                <wp:wrapNone/>
                <wp:docPr id="155412465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3135" cy="56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4677DD17" w14:textId="77777777" w:rsidR="0011747E" w:rsidRDefault="00830558">
                            <w:pPr>
                              <w:tabs>
                                <w:tab w:val="left" w:pos="479"/>
                                <w:tab w:val="left" w:pos="975"/>
                                <w:tab w:val="center" w:pos="4419"/>
                              </w:tabs>
                              <w:autoSpaceDE w:val="0"/>
                              <w:spacing w:line="0" w:lineRule="atLeast"/>
                              <w:jc w:val="right"/>
                            </w:pPr>
                            <w:r>
                              <w:rPr>
                                <w:rFonts w:ascii="Times New Roman" w:eastAsia="宋体;SimSun" w:hAnsi="Times New Roman" w:hint="eastAsia"/>
                                <w:color w:val="555555"/>
                                <w:sz w:val="18"/>
                                <w:szCs w:val="18"/>
                                <w:shd w:val="clear" w:color="auto" w:fill="FFFFFF"/>
                                <w:lang w:eastAsia="zh-CN"/>
                              </w:rPr>
                              <w:t>20th International Conference on Innovative Computing, Information and Control (ICICIC2026)</w:t>
                            </w:r>
                          </w:p>
                          <w:p w14:paraId="7F6988AE" w14:textId="77777777" w:rsidR="0011747E" w:rsidRDefault="00830558">
                            <w:pPr>
                              <w:tabs>
                                <w:tab w:val="left" w:pos="479"/>
                                <w:tab w:val="left" w:pos="975"/>
                                <w:tab w:val="center" w:pos="4419"/>
                              </w:tabs>
                              <w:autoSpaceDE w:val="0"/>
                              <w:spacing w:line="0" w:lineRule="atLeast"/>
                              <w:jc w:val="right"/>
                              <w:rPr>
                                <w:rFonts w:ascii="Times New Roman" w:eastAsia="宋体;SimSun" w:hAnsi="Times New Roman"/>
                                <w:color w:val="555555"/>
                                <w:sz w:val="18"/>
                                <w:szCs w:val="18"/>
                                <w:shd w:val="clear" w:color="auto" w:fill="FFFFFF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宋体;SimSun" w:hAnsi="Times New Roman" w:hint="eastAsia"/>
                                <w:color w:val="555555"/>
                                <w:sz w:val="18"/>
                                <w:szCs w:val="18"/>
                                <w:shd w:val="clear" w:color="auto" w:fill="FFFFFF"/>
                                <w:lang w:eastAsia="zh-CN"/>
                              </w:rPr>
                              <w:t>November 20-23</w:t>
                            </w:r>
                            <w:r>
                              <w:rPr>
                                <w:rFonts w:ascii="Times New Roman" w:hAnsi="Times New Roman"/>
                                <w:color w:val="555555"/>
                                <w:sz w:val="18"/>
                                <w:szCs w:val="18"/>
                                <w:shd w:val="clear" w:color="auto" w:fill="FFFFFF"/>
                              </w:rPr>
                              <w:t>, 202</w:t>
                            </w:r>
                            <w:r>
                              <w:rPr>
                                <w:rFonts w:ascii="Times New Roman" w:eastAsia="宋体;SimSun" w:hAnsi="Times New Roman" w:hint="eastAsia"/>
                                <w:color w:val="555555"/>
                                <w:sz w:val="18"/>
                                <w:szCs w:val="18"/>
                                <w:shd w:val="clear" w:color="auto" w:fill="FFFFFF"/>
                                <w:lang w:eastAsia="zh-CN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/>
                                <w:color w:val="555555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宋体;SimSun" w:hAnsi="Times New Roman" w:hint="eastAsia"/>
                                <w:color w:val="555555"/>
                                <w:sz w:val="18"/>
                                <w:szCs w:val="18"/>
                                <w:shd w:val="clear" w:color="auto" w:fill="FFFFFF"/>
                                <w:lang w:eastAsia="zh-CN"/>
                              </w:rPr>
                              <w:t>Chongqing</w:t>
                            </w:r>
                            <w:r>
                              <w:rPr>
                                <w:rFonts w:ascii="Times New Roman" w:eastAsia="宋体;SimSun" w:hAnsi="Times New Roman"/>
                                <w:color w:val="555555"/>
                                <w:sz w:val="18"/>
                                <w:szCs w:val="18"/>
                                <w:shd w:val="clear" w:color="auto" w:fill="FFFFFF"/>
                                <w:lang w:eastAsia="zh-CN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宋体;SimSun" w:hAnsi="Times New Roman" w:hint="eastAsia"/>
                                <w:color w:val="555555"/>
                                <w:sz w:val="18"/>
                                <w:szCs w:val="18"/>
                                <w:shd w:val="clear" w:color="auto" w:fill="FFFFFF"/>
                                <w:lang w:eastAsia="zh-CN"/>
                              </w:rPr>
                              <w:t>China</w:t>
                            </w:r>
                          </w:p>
                          <w:p w14:paraId="0EAD6670" w14:textId="77777777" w:rsidR="0011747E" w:rsidRDefault="00830558">
                            <w:pPr>
                              <w:tabs>
                                <w:tab w:val="left" w:pos="479"/>
                                <w:tab w:val="left" w:pos="975"/>
                                <w:tab w:val="center" w:pos="4419"/>
                              </w:tabs>
                              <w:autoSpaceDE w:val="0"/>
                              <w:spacing w:line="0" w:lineRule="atLeast"/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color w:val="555555"/>
                                <w:sz w:val="18"/>
                                <w:szCs w:val="18"/>
                                <w:shd w:val="clear" w:color="auto" w:fill="FFFFFF"/>
                              </w:rPr>
                              <w:t>Copyright©20</w:t>
                            </w:r>
                            <w:r>
                              <w:rPr>
                                <w:rFonts w:ascii="Times New Roman" w:eastAsia="宋体;SimSun" w:hAnsi="Times New Roman" w:hint="eastAsia"/>
                                <w:color w:val="555555"/>
                                <w:sz w:val="18"/>
                                <w:szCs w:val="18"/>
                                <w:shd w:val="clear" w:color="auto" w:fill="FFFFFF"/>
                                <w:lang w:eastAsia="zh-CN"/>
                              </w:rPr>
                              <w:t xml:space="preserve">26 </w:t>
                            </w:r>
                            <w:r>
                              <w:rPr>
                                <w:rFonts w:ascii="Times New Roman" w:hAnsi="Times New Roman"/>
                                <w:color w:val="555555"/>
                                <w:sz w:val="18"/>
                                <w:szCs w:val="18"/>
                                <w:shd w:val="clear" w:color="auto" w:fill="FFFFFF"/>
                              </w:rPr>
                              <w:t>ICIC International</w:t>
                            </w:r>
                          </w:p>
                          <w:p w14:paraId="2D3F8778" w14:textId="77777777" w:rsidR="0011747E" w:rsidRDefault="0011747E">
                            <w:pPr>
                              <w:rPr>
                                <w:rFonts w:ascii="Times New Roman" w:hAnsi="Times New Roman"/>
                                <w:color w:val="555555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lIns="74930" tIns="9525" rIns="74930" bIns="9525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CACA1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2.25pt;margin-top:-42.1pt;width:475.05pt;height:44.5pt;z-index:25165772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" stroked="f">
                <v:textbox inset="5.9pt,.75pt,5.9pt,.75pt">
                  <w:txbxContent>
                    <w:p w14:paraId="4677DD17" w14:textId="77777777" w:rsidR="0011747E" w:rsidRDefault="00000000">
                      <w:pPr>
                        <w:tabs>
                          <w:tab w:val="left" w:pos="479"/>
                          <w:tab w:val="left" w:pos="975"/>
                          <w:tab w:val="center" w:pos="4419"/>
                        </w:tabs>
                        <w:autoSpaceDE w:val="0"/>
                        <w:spacing w:line="0" w:lineRule="atLeast"/>
                        <w:jc w:val="right"/>
                      </w:pPr>
                      <w:r>
                        <w:rPr>
                          <w:rFonts w:ascii="Times New Roman" w:eastAsia="宋体;SimSun" w:hAnsi="Times New Roman" w:hint="eastAsia"/>
                          <w:color w:val="555555"/>
                          <w:sz w:val="18"/>
                          <w:szCs w:val="18"/>
                          <w:shd w:val="clear" w:color="auto" w:fill="FFFFFF"/>
                          <w:lang w:eastAsia="zh-CN"/>
                        </w:rPr>
                        <w:t>20th International Conference on Innovative Computing, Information and Control (ICICIC2026)</w:t>
                      </w:r>
                    </w:p>
                    <w:p w14:paraId="7F6988AE" w14:textId="77777777" w:rsidR="0011747E" w:rsidRDefault="00000000">
                      <w:pPr>
                        <w:tabs>
                          <w:tab w:val="left" w:pos="479"/>
                          <w:tab w:val="left" w:pos="975"/>
                          <w:tab w:val="center" w:pos="4419"/>
                        </w:tabs>
                        <w:autoSpaceDE w:val="0"/>
                        <w:spacing w:line="0" w:lineRule="atLeast"/>
                        <w:jc w:val="right"/>
                        <w:rPr>
                          <w:rFonts w:ascii="Times New Roman" w:eastAsia="宋体;SimSun" w:hAnsi="Times New Roman"/>
                          <w:color w:val="555555"/>
                          <w:sz w:val="18"/>
                          <w:szCs w:val="18"/>
                          <w:shd w:val="clear" w:color="auto" w:fill="FFFFFF"/>
                          <w:lang w:eastAsia="zh-CN"/>
                        </w:rPr>
                      </w:pPr>
                      <w:r>
                        <w:rPr>
                          <w:rFonts w:ascii="Times New Roman" w:eastAsia="宋体;SimSun" w:hAnsi="Times New Roman" w:hint="eastAsia"/>
                          <w:color w:val="555555"/>
                          <w:sz w:val="18"/>
                          <w:szCs w:val="18"/>
                          <w:shd w:val="clear" w:color="auto" w:fill="FFFFFF"/>
                          <w:lang w:eastAsia="zh-CN"/>
                        </w:rPr>
                        <w:t>November 20-23</w:t>
                      </w:r>
                      <w:r>
                        <w:rPr>
                          <w:rFonts w:ascii="Times New Roman" w:hAnsi="Times New Roman"/>
                          <w:color w:val="555555"/>
                          <w:sz w:val="18"/>
                          <w:szCs w:val="18"/>
                          <w:shd w:val="clear" w:color="auto" w:fill="FFFFFF"/>
                        </w:rPr>
                        <w:t>, 202</w:t>
                      </w:r>
                      <w:r>
                        <w:rPr>
                          <w:rFonts w:ascii="Times New Roman" w:eastAsia="宋体;SimSun" w:hAnsi="Times New Roman" w:hint="eastAsia"/>
                          <w:color w:val="555555"/>
                          <w:sz w:val="18"/>
                          <w:szCs w:val="18"/>
                          <w:shd w:val="clear" w:color="auto" w:fill="FFFFFF"/>
                          <w:lang w:eastAsia="zh-CN"/>
                        </w:rPr>
                        <w:t>6</w:t>
                      </w:r>
                      <w:r>
                        <w:rPr>
                          <w:rFonts w:ascii="Times New Roman" w:hAnsi="Times New Roman"/>
                          <w:color w:val="555555"/>
                          <w:sz w:val="18"/>
                          <w:szCs w:val="18"/>
                          <w:shd w:val="clear" w:color="auto" w:fill="FFFFFF"/>
                        </w:rPr>
                        <w:t xml:space="preserve">, </w:t>
                      </w:r>
                      <w:r>
                        <w:rPr>
                          <w:rFonts w:ascii="Times New Roman" w:eastAsia="宋体;SimSun" w:hAnsi="Times New Roman" w:hint="eastAsia"/>
                          <w:color w:val="555555"/>
                          <w:sz w:val="18"/>
                          <w:szCs w:val="18"/>
                          <w:shd w:val="clear" w:color="auto" w:fill="FFFFFF"/>
                          <w:lang w:eastAsia="zh-CN"/>
                        </w:rPr>
                        <w:t>Chongqing</w:t>
                      </w:r>
                      <w:r>
                        <w:rPr>
                          <w:rFonts w:ascii="Times New Roman" w:eastAsia="宋体;SimSun" w:hAnsi="Times New Roman"/>
                          <w:color w:val="555555"/>
                          <w:sz w:val="18"/>
                          <w:szCs w:val="18"/>
                          <w:shd w:val="clear" w:color="auto" w:fill="FFFFFF"/>
                          <w:lang w:eastAsia="zh-CN"/>
                        </w:rPr>
                        <w:t xml:space="preserve">, </w:t>
                      </w:r>
                      <w:r>
                        <w:rPr>
                          <w:rFonts w:ascii="Times New Roman" w:eastAsia="宋体;SimSun" w:hAnsi="Times New Roman" w:hint="eastAsia"/>
                          <w:color w:val="555555"/>
                          <w:sz w:val="18"/>
                          <w:szCs w:val="18"/>
                          <w:shd w:val="clear" w:color="auto" w:fill="FFFFFF"/>
                          <w:lang w:eastAsia="zh-CN"/>
                        </w:rPr>
                        <w:t>China</w:t>
                      </w:r>
                    </w:p>
                    <w:p w14:paraId="0EAD6670" w14:textId="77777777" w:rsidR="0011747E" w:rsidRDefault="00000000">
                      <w:pPr>
                        <w:tabs>
                          <w:tab w:val="left" w:pos="479"/>
                          <w:tab w:val="left" w:pos="975"/>
                          <w:tab w:val="center" w:pos="4419"/>
                        </w:tabs>
                        <w:autoSpaceDE w:val="0"/>
                        <w:spacing w:line="0" w:lineRule="atLeast"/>
                        <w:jc w:val="right"/>
                      </w:pPr>
                      <w:r>
                        <w:rPr>
                          <w:rFonts w:ascii="Times New Roman" w:hAnsi="Times New Roman"/>
                          <w:color w:val="555555"/>
                          <w:sz w:val="18"/>
                          <w:szCs w:val="18"/>
                          <w:shd w:val="clear" w:color="auto" w:fill="FFFFFF"/>
                        </w:rPr>
                        <w:t>Copyright©20</w:t>
                      </w:r>
                      <w:r>
                        <w:rPr>
                          <w:rFonts w:ascii="Times New Roman" w:eastAsia="宋体;SimSun" w:hAnsi="Times New Roman" w:hint="eastAsia"/>
                          <w:color w:val="555555"/>
                          <w:sz w:val="18"/>
                          <w:szCs w:val="18"/>
                          <w:shd w:val="clear" w:color="auto" w:fill="FFFFFF"/>
                          <w:lang w:eastAsia="zh-CN"/>
                        </w:rPr>
                        <w:t xml:space="preserve">26 </w:t>
                      </w:r>
                      <w:r>
                        <w:rPr>
                          <w:rFonts w:ascii="Times New Roman" w:hAnsi="Times New Roman"/>
                          <w:color w:val="555555"/>
                          <w:sz w:val="18"/>
                          <w:szCs w:val="18"/>
                          <w:shd w:val="clear" w:color="auto" w:fill="FFFFFF"/>
                        </w:rPr>
                        <w:t>ICIC International</w:t>
                      </w:r>
                    </w:p>
                    <w:p w14:paraId="2D3F8778" w14:textId="77777777" w:rsidR="0011747E" w:rsidRDefault="0011747E">
                      <w:pPr>
                        <w:rPr>
                          <w:rFonts w:ascii="Times New Roman" w:hAnsi="Times New Roman"/>
                          <w:color w:val="555555"/>
                          <w:sz w:val="18"/>
                          <w:szCs w:val="18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AFD1D9" w14:textId="77777777" w:rsidR="0011747E" w:rsidRDefault="00830558">
      <w:pPr>
        <w:jc w:val="center"/>
      </w:pPr>
      <w:r>
        <w:rPr>
          <w:rFonts w:ascii="Times New Roman" w:hAnsi="Times New Roman"/>
          <w:b/>
          <w:bCs/>
          <w:sz w:val="24"/>
        </w:rPr>
        <w:t>Multi-Level Consistency Rewards: A Ground-Truth-Free Verifiable Signal for Action-Conditioned Diffusion World Models</w:t>
      </w:r>
    </w:p>
    <w:p w14:paraId="3F124C45" w14:textId="77777777" w:rsidR="0011747E" w:rsidRDefault="00830558">
      <w:pPr>
        <w:jc w:val="center"/>
      </w:pPr>
      <w:r>
        <w:rPr>
          <w:rFonts w:ascii="Times New Roman" w:hAnsi="Times New Roman"/>
          <w:sz w:val="24"/>
        </w:rPr>
        <w:t>Maosen Zeng and Yunan Liu</w:t>
      </w:r>
    </w:p>
    <w:p w14:paraId="3C04D61F" w14:textId="77777777" w:rsidR="0011747E" w:rsidRDefault="0011747E">
      <w:pPr>
        <w:jc w:val="center"/>
      </w:pPr>
    </w:p>
    <w:p w14:paraId="2097420C" w14:textId="77777777" w:rsidR="0011747E" w:rsidRDefault="00830558">
      <w:pPr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Computational Intelligence Center (CIC)</w:t>
      </w:r>
    </w:p>
    <w:p w14:paraId="66DDE1CF" w14:textId="06C06065" w:rsidR="00E32FBB" w:rsidRDefault="004C2A38" w:rsidP="00E32FBB">
      <w:pPr>
        <w:jc w:val="center"/>
        <w:rPr>
          <w:rFonts w:ascii="Times New Roman" w:hAnsi="Times New Roman"/>
          <w:sz w:val="20"/>
          <w:szCs w:val="20"/>
          <w:lang w:eastAsia="zh-CN"/>
        </w:rPr>
      </w:pPr>
      <w:r w:rsidRPr="004C2A38">
        <w:rPr>
          <w:rFonts w:ascii="Times New Roman" w:hAnsi="Times New Roman"/>
          <w:sz w:val="20"/>
          <w:szCs w:val="20"/>
        </w:rPr>
        <w:t>Institute of Applied AI Engineering and Technology</w:t>
      </w:r>
    </w:p>
    <w:p w14:paraId="65CD9794" w14:textId="77777777" w:rsidR="0011747E" w:rsidRDefault="00830558">
      <w:pPr>
        <w:jc w:val="center"/>
      </w:pPr>
      <w:r>
        <w:rPr>
          <w:rFonts w:ascii="Times New Roman" w:hAnsi="Times New Roman"/>
          <w:sz w:val="20"/>
          <w:szCs w:val="20"/>
        </w:rPr>
        <w:t>School of Computer and Artificial Intelligence, Shandong Jianzhu University</w:t>
      </w:r>
    </w:p>
    <w:p w14:paraId="1B3D0513" w14:textId="58184652" w:rsidR="0011747E" w:rsidRDefault="00830558">
      <w:pPr>
        <w:jc w:val="center"/>
      </w:pPr>
      <w:r>
        <w:rPr>
          <w:rFonts w:ascii="Times New Roman" w:hAnsi="Times New Roman"/>
          <w:sz w:val="20"/>
          <w:szCs w:val="20"/>
        </w:rPr>
        <w:t>Jinan</w:t>
      </w:r>
      <w:r w:rsidR="00644CE3">
        <w:rPr>
          <w:rFonts w:ascii="Times New Roman" w:hAnsi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/>
          <w:sz w:val="20"/>
          <w:szCs w:val="20"/>
        </w:rPr>
        <w:t>250101, P. R. China</w:t>
      </w:r>
    </w:p>
    <w:p w14:paraId="0EF86A7E" w14:textId="77777777" w:rsidR="0011747E" w:rsidRDefault="00830558">
      <w:pPr>
        <w:jc w:val="center"/>
      </w:pPr>
      <w:r>
        <w:rPr>
          <w:rFonts w:ascii="Times New Roman" w:hAnsi="Times New Roman"/>
          <w:sz w:val="20"/>
          <w:szCs w:val="20"/>
        </w:rPr>
        <w:t>2025110104@stu.sdjzu.edu.cn; liuyunan@sdjzu.edu.cn</w:t>
      </w:r>
    </w:p>
    <w:p w14:paraId="6E18A9FA" w14:textId="77777777" w:rsidR="0011747E" w:rsidRDefault="0011747E">
      <w:pPr>
        <w:autoSpaceDE w:val="0"/>
        <w:spacing w:line="300" w:lineRule="atLeast"/>
        <w:rPr>
          <w:rFonts w:ascii="Times New Roman" w:eastAsia="等线;DengXian" w:hAnsi="Times New Roman" w:hint="eastAsia"/>
          <w:kern w:val="0"/>
          <w:sz w:val="20"/>
          <w:szCs w:val="20"/>
          <w:lang w:eastAsia="zh-CN"/>
        </w:rPr>
      </w:pPr>
    </w:p>
    <w:p w14:paraId="433DCB77" w14:textId="7601E56A" w:rsidR="0011747E" w:rsidRDefault="00830558">
      <w:pPr>
        <w:autoSpaceDE w:val="0"/>
      </w:pPr>
      <w:r>
        <w:rPr>
          <w:rFonts w:ascii="Times New Roman" w:hAnsi="Times New Roman"/>
          <w:kern w:val="0"/>
          <w:sz w:val="24"/>
        </w:rPr>
        <w:t xml:space="preserve">1. </w:t>
      </w:r>
      <w:r>
        <w:rPr>
          <w:rFonts w:ascii="Times New Roman" w:hAnsi="Times New Roman"/>
          <w:b/>
          <w:bCs/>
          <w:kern w:val="0"/>
          <w:sz w:val="24"/>
        </w:rPr>
        <w:t xml:space="preserve">Introduction. </w:t>
      </w:r>
      <w:r>
        <w:rPr>
          <w:rFonts w:ascii="Times New Roman" w:hAnsi="Times New Roman"/>
          <w:kern w:val="0"/>
          <w:sz w:val="24"/>
        </w:rPr>
        <w:t xml:space="preserve">An action-conditioned visual world model predicts the next observation from a short history of frames and actions, </w:t>
      </w:r>
      <w:r>
        <w:rPr>
          <w:rFonts w:ascii="Times New Roman" w:hAnsi="Times New Roman"/>
          <w:kern w:val="0"/>
          <w:sz w:val="24"/>
        </w:rPr>
        <w:fldChar w:fldCharType="begin"/>
      </w:r>
      <w:r>
        <w:rPr>
          <w:rFonts w:ascii="Times New Roman" w:hAnsi="Times New Roman"/>
          <w:kern w:val="0"/>
          <w:sz w:val="24"/>
        </w:rPr>
        <w:instrText xml:space="preserve"> QUOTE </w:instrText>
      </w:r>
      <w:r>
        <w:rPr>
          <w:noProof/>
          <w:position w:val="-4"/>
        </w:rPr>
        <w:pict w14:anchorId="194236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99.9pt;height:12.05pt;mso-width-percent:0;mso-height-percent:0;mso-width-percent:0;mso-height-percent:0" equationxml="&lt;?xml version=&quot;1.0&quot; encoding=&quot;UTF-8&quot; standalone=&quot;yes&quot;?&gt;&#13;&#13;&#13;&#10;&lt;?mso-application progid=&quot;Word.Document&quot;?&gt;&#13;&#13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240&quot;/&gt;&lt;w:doNotEmbedSystemFonts/&gt;&lt;w:defaultTabStop w:val=&quot;840&quot;/&gt;&lt;w:autoHyphenation/&gt;&lt;w:hyphenationZone w:val=&quot;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doNotExpandShiftReturn/&gt;&lt;w:adjustLineHeightInTable/&gt;&lt;w:snapToGridInCell/&gt;&lt;w:wrapTextWithPunct/&gt;&lt;w:useAsianBreakRules/&gt;&lt;w:dontGrowAutofit/&gt;&lt;w:useFELayout/&gt;&lt;/w:compat&gt;&lt;wsp:rsids&gt;&lt;wsp:rsidRoot wsp:val=&quot;0011747E&quot;/&gt;&lt;wsp:rsid wsp:val=&quot;0011747E&quot;/&gt;&lt;wsp:rsid wsp:val=&quot;00362D92&quot;/&gt;&lt;wsp:rsid wsp:val=&quot;00402F43&quot;/&gt;&lt;wsp:rsid wsp:val=&quot;006C6A2C&quot;/&gt;&lt;wsp:rsid wsp:val=&quot;007D2B47&quot;/&gt;&lt;wsp:rsid wsp:val=&quot;00971E33&quot;/&gt;&lt;wsp:rsid wsp:val=&quot;00B61F67&quot;/&gt;&lt;wsp:rsid wsp:val=&quot;00F65255&quot;/&gt;&lt;/wsp:rsids&gt;&lt;/w:docPr&gt;&lt;w:body&gt;&lt;wx:sect&gt;&lt;w:p wsp:rsidR=&quot;007D2B47&quot; wsp:rsidRDefault=&quot;007D2B47&quot; wsp:rsidP=&quot;007D2B47&quot;&gt;&lt;m:oMathPara&gt;&lt;m:oMath&gt;&lt;m:r&gt;&lt;w:rPr&gt;&lt;w:rFonts w:ascii=&quot;Cambria Math&quot; w:h-ansi=&quot;Cambria Math&quot;/&gt;&lt;wx:font wx:val=&quot;Cambria Math&quot;/&gt;&lt;w:i/&gt;&lt;/w:rPr&gt;&lt;m:t&gt;(&lt;/m:t&gt;&lt;/m:r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o&lt;/m:t&gt;&lt;/m:r&gt;&lt;/m:e&gt;&lt;m:sub&gt;&lt;m:r&gt;&lt;w:rPr&gt;&lt;w:rFonts w:ascii=&quot;Cambria Math&quot; w:h-ansi=&quot;Cambria Math&quot;/&gt;&lt;wx:font wx:val=&quot;Cambria Math&quot;/&gt;&lt;w:i/&gt;&lt;/w:rPr&gt;&lt;m:t&gt;t-3:t&lt;/m:t&gt;&lt;/m:r&gt;&lt;/m:sub&gt;&lt;/m:sSub&gt;&lt;m:r&gt;&lt;w:rPr&gt;&lt;w:rFonts w:ascii=&quot;Cambria Math&quot; w:h-ansi=&quot;Cambria Math&quot;/&gt;&lt;wx:font wx:val=&quot;Cambria Math&quot;/&gt;&lt;w:i/&gt;&lt;/w:rPr&gt;&lt;m:t&gt;, &lt;/m:t&gt;&lt;/m:r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a&lt;/m:t&gt;&lt;/m:r&gt;&lt;/m:e&gt;&lt;m:sub&gt;&lt;m:r&gt;&lt;w:rPr&gt;&lt;w:rFonts w:ascii=&quot;Cambria Math&quot; w:h-ansi=&quot;Cambria Math&quot;/&gt;&lt;wx:font wx:val=&quot;Cambria Math&quot;/&gt;&lt;w:i/&gt;&lt;/w:rPr&gt;&lt;m:t&gt;t-3:t&lt;/m:t&gt;&lt;/m:r&gt;&lt;/m:sub&gt;&lt;/m:sSub&gt;&lt;m:r&gt;&lt;w:rPr&gt;&lt;w:rFonts w:ascii=&quot;Cambria Math&quot; w:h-ansi=&quot;Cambria Math&quot;/&gt;&lt;wx:font wx:val=&quot;Cambria Math&quot;/&gt;&lt;w:i/&gt;&lt;/w:rPr&gt;&lt;m:t&gt;) ‚Üí &lt;/m:t&gt;&lt;/m:r&gt;&lt;m:sSub&gt;&lt;m:sSubPr&gt;&lt;m:ctrlPr&gt;&lt;w:rPr&gt;&lt;w:rFonts w:ascii=&quot;Cambria Math&quot; w:h-ansi=&quot;Cambria Math&quot;/&gt;&lt;wx:font wx:val=&quot;Cambria Math&quot;/&gt;&lt;/w:rPr&gt;&lt;/m:ctrlPr&gt;&lt;/m:sSubPr&gt;&lt;m:e&gt;&lt;m:acc&gt;&lt;m:accPr&gt;&lt;m:ctrlPr&gt;&lt;w:rPr&gt;&lt;w:rFonts w:ascii=&quot;Cambria Math&quot; w:h-ansi=&quot;Cambria Math&quot;/&gt;&lt;wx:font wx:val=&quot;Cambria Math&quot;/&gt;&lt;/w:rPr&gt;&lt;/m:ctrlPr&gt;&lt;/m:accPr&gt;&lt;m:e&gt;&lt;m:r&gt;&lt;w:rPr&gt;&lt;w:rFonts w:ascii=&quot;Cambria Math&quot; w:h-ansi=&quot;Cambria Math&quot;/&gt;&lt;wx:font wx:val=&quot;Cambria Math&quot;/&gt;&lt;w:i/&gt;&lt;/w:rPr&gt;&lt;m:t&gt;o&lt;/m:t&gt;&lt;/m:r&gt;&lt;/m:e&gt;&lt;/m:acc&gt;&lt;/m:e&gt;&lt;m:sub&gt;&lt;m:r&gt;&lt;w:rPr&gt;&lt;w:rFonts w:ascii=&quot;Cambria Math&quot; w:h-ansi=&quot;Cambria Math&quot;/&gt;&lt;wx:font wx:val=&quot;Cambria Math&quot;/&gt;&lt;w:i/&gt;&lt;/w:rPr&gt;&lt;m:t&gt;t+1&lt;/m:t&gt;&lt;/m:r&gt;&lt;/m:sub&gt;&lt;/m:sSub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" o:title="" chromakey="white"/>
          </v:shape>
        </w:pict>
      </w:r>
      <w:r>
        <w:rPr>
          <w:rFonts w:ascii="Times New Roman" w:hAnsi="Times New Roman"/>
          <w:kern w:val="0"/>
          <w:sz w:val="24"/>
        </w:rPr>
        <w:instrText xml:space="preserve"> </w:instrText>
      </w:r>
      <w:r>
        <w:rPr>
          <w:rFonts w:ascii="Times New Roman" w:hAnsi="Times New Roman"/>
          <w:kern w:val="0"/>
          <w:sz w:val="24"/>
        </w:rPr>
        <w:fldChar w:fldCharType="separate"/>
      </w:r>
      <w:r>
        <w:rPr>
          <w:noProof/>
          <w:position w:val="-4"/>
        </w:rPr>
        <w:pict w14:anchorId="03A606E0">
          <v:shape id="_x0000_i1025" type="#_x0000_t75" alt="" style="width:99.9pt;height:12.05pt;mso-width-percent:0;mso-height-percent:0;mso-width-percent:0;mso-height-percent:0" equationxml="&lt;?xml version=&quot;1.0&quot; encoding=&quot;UTF-8&quot; standalone=&quot;yes&quot;?&gt;&#13;&#13;&#13;&#10;&lt;?mso-application progid=&quot;Word.Document&quot;?&gt;&#13;&#13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240&quot;/&gt;&lt;w:doNotEmbedSystemFonts/&gt;&lt;w:defaultTabStop w:val=&quot;840&quot;/&gt;&lt;w:autoHyphenation/&gt;&lt;w:hyphenationZone w:val=&quot;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doNotExpandShiftReturn/&gt;&lt;w:adjustLineHeightInTable/&gt;&lt;w:snapToGridInCell/&gt;&lt;w:wrapTextWithPunct/&gt;&lt;w:useAsianBreakRules/&gt;&lt;w:dontGrowAutofit/&gt;&lt;w:useFELayout/&gt;&lt;/w:compat&gt;&lt;wsp:rsids&gt;&lt;wsp:rsidRoot wsp:val=&quot;0011747E&quot;/&gt;&lt;wsp:rsid wsp:val=&quot;0011747E&quot;/&gt;&lt;wsp:rsid wsp:val=&quot;00362D92&quot;/&gt;&lt;wsp:rsid wsp:val=&quot;00402F43&quot;/&gt;&lt;wsp:rsid wsp:val=&quot;006C6A2C&quot;/&gt;&lt;wsp:rsid wsp:val=&quot;007D2B47&quot;/&gt;&lt;wsp:rsid wsp:val=&quot;00971E33&quot;/&gt;&lt;wsp:rsid wsp:val=&quot;00B61F67&quot;/&gt;&lt;wsp:rsid wsp:val=&quot;00F65255&quot;/&gt;&lt;/wsp:rsids&gt;&lt;/w:docPr&gt;&lt;w:body&gt;&lt;wx:sect&gt;&lt;w:p wsp:rsidR=&quot;007D2B47&quot; wsp:rsidRDefault=&quot;007D2B47&quot; wsp:rsidP=&quot;007D2B47&quot;&gt;&lt;m:oMathPara&gt;&lt;m:oMath&gt;&lt;m:r&gt;&lt;w:rPr&gt;&lt;w:rFonts w:ascii=&quot;Cambria Math&quot; w:h-ansi=&quot;Cambria Math&quot;/&gt;&lt;wx:font wx:val=&quot;Cambria Math&quot;/&gt;&lt;w:i/&gt;&lt;/w:rPr&gt;&lt;m:t&gt;(&lt;/m:t&gt;&lt;/m:r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o&lt;/m:t&gt;&lt;/m:r&gt;&lt;/m:e&gt;&lt;m:sub&gt;&lt;m:r&gt;&lt;w:rPr&gt;&lt;w:rFonts w:ascii=&quot;Cambria Math&quot; w:h-ansi=&quot;Cambria Math&quot;/&gt;&lt;wx:font wx:val=&quot;Cambria Math&quot;/&gt;&lt;w:i/&gt;&lt;/w:rPr&gt;&lt;m:t&gt;t-3:t&lt;/m:t&gt;&lt;/m:r&gt;&lt;/m:sub&gt;&lt;/m:sSub&gt;&lt;m:r&gt;&lt;w:rPr&gt;&lt;w:rFonts w:ascii=&quot;Cambria Math&quot; w:h-ansi=&quot;Cambria Math&quot;/&gt;&lt;wx:font wx:val=&quot;Cambria Math&quot;/&gt;&lt;w:i/&gt;&lt;/w:rPr&gt;&lt;m:t&gt;, &lt;/m:t&gt;&lt;/m:r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a&lt;/m:t&gt;&lt;/m:r&gt;&lt;/m:e&gt;&lt;m:sub&gt;&lt;m:r&gt;&lt;w:rPr&gt;&lt;w:rFonts w:ascii=&quot;Cambria Math&quot; w:h-ansi=&quot;Cambria Math&quot;/&gt;&lt;wx:font wx:val=&quot;Cambria Math&quot;/&gt;&lt;w:i/&gt;&lt;/w:rPr&gt;&lt;m:t&gt;t-3:t&lt;/m:t&gt;&lt;/m:r&gt;&lt;/m:sub&gt;&lt;/m:sSub&gt;&lt;m:r&gt;&lt;w:rPr&gt;&lt;w:rFonts w:ascii=&quot;Cambria Math&quot; w:h-ansi=&quot;Cambria Math&quot;/&gt;&lt;wx:font wx:val=&quot;Cambria Math&quot;/&gt;&lt;w:i/&gt;&lt;/w:rPr&gt;&lt;m:t&gt;) ‚Üí &lt;/m:t&gt;&lt;/m:r&gt;&lt;m:sSub&gt;&lt;m:sSubPr&gt;&lt;m:ctrlPr&gt;&lt;w:rPr&gt;&lt;w:rFonts w:ascii=&quot;Cambria Math&quot; w:h-ansi=&quot;Cambria Math&quot;/&gt;&lt;wx:font wx:val=&quot;Cambria Math&quot;/&gt;&lt;/w:rPr&gt;&lt;/m:ctrlPr&gt;&lt;/m:sSubPr&gt;&lt;m:e&gt;&lt;m:acc&gt;&lt;m:accPr&gt;&lt;m:ctrlPr&gt;&lt;w:rPr&gt;&lt;w:rFonts w:ascii=&quot;Cambria Math&quot; w:h-ansi=&quot;Cambria Math&quot;/&gt;&lt;wx:font wx:val=&quot;Cambria Math&quot;/&gt;&lt;/w:rPr&gt;&lt;/m:ctrlPr&gt;&lt;/m:accPr&gt;&lt;m:e&gt;&lt;m:r&gt;&lt;w:rPr&gt;&lt;w:rFonts w:ascii=&quot;Cambria Math&quot; w:h-ansi=&quot;Cambria Math&quot;/&gt;&lt;wx:font wx:val=&quot;Cambria Math&quot;/&gt;&lt;w:i/&gt;&lt;/w:rPr&gt;&lt;m:t&gt;o&lt;/m:t&gt;&lt;/m:r&gt;&lt;/m:e&gt;&lt;/m:acc&gt;&lt;/m:e&gt;&lt;m:sub&gt;&lt;m:r&gt;&lt;w:rPr&gt;&lt;w:rFonts w:ascii=&quot;Cambria Math&quot; w:h-ansi=&quot;Cambria Math&quot;/&gt;&lt;wx:font wx:val=&quot;Cambria Math&quot;/&gt;&lt;w:i/&gt;&lt;/w:rPr&gt;&lt;m:t&gt;t+1&lt;/m:t&gt;&lt;/m:r&gt;&lt;/m:sub&gt;&lt;/m:sSub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" o:title="" chromakey="white"/>
          </v:shape>
        </w:pict>
      </w:r>
      <w:r>
        <w:rPr>
          <w:rFonts w:ascii="Times New Roman" w:hAnsi="Times New Roman"/>
          <w:kern w:val="0"/>
          <w:sz w:val="24"/>
        </w:rPr>
        <w:fldChar w:fldCharType="end"/>
      </w:r>
      <w:r>
        <w:rPr>
          <w:rFonts w:ascii="Times New Roman" w:hAnsi="Times New Roman"/>
          <w:kern w:val="0"/>
          <w:sz w:val="24"/>
        </w:rPr>
        <w:t>. In long-horizon video prediction the model is rolled out autoregressively, with each predicted frame becoming the next condition. Diffusion world models such as DIAMOND [1] generate high-fidelity action-conditioned frames and recover texture and local detail that discrete-latent models lose. Per-frame fidelity, however, does not guarantee a stable rollout: small visual, temporal, or action-response errors compound into repeated frames, drift, target loss, or wrong motion. Standard training targets such as</w:t>
      </w:r>
      <w:r>
        <w:rPr>
          <w:rFonts w:ascii="Times New Roman" w:hAnsi="Times New Roman"/>
          <w:kern w:val="0"/>
          <w:sz w:val="24"/>
        </w:rPr>
        <w:t xml:space="preserve"> denoising reconstruction, maximum likelihood, and single-frame error improve local quality but do not directly optimize long-horizon stability or action-conditioned consistency. RLVR-style fine-tuning [2] scores each candidate against the ground-truth (GT) future frame, which is unavailable for free open-world rollouts. We therefore ask whether a multi-level consistency reward, computed without GT future frames from temporal coherence, repeat-frame suppression, and action consistency, can serve as a verifi</w:t>
      </w:r>
      <w:r>
        <w:rPr>
          <w:rFonts w:ascii="Times New Roman" w:hAnsi="Times New Roman"/>
          <w:kern w:val="0"/>
          <w:sz w:val="24"/>
        </w:rPr>
        <w:t>able signal for diffusion world-model rollouts, and we validate it on the pretrained DIAMOND CS:GO world model.</w:t>
      </w:r>
    </w:p>
    <w:p w14:paraId="34B3606F" w14:textId="77777777" w:rsidR="0011747E" w:rsidRDefault="0011747E">
      <w:pPr>
        <w:autoSpaceDE w:val="0"/>
        <w:spacing w:line="300" w:lineRule="atLeast"/>
        <w:jc w:val="left"/>
        <w:rPr>
          <w:rFonts w:ascii="Times New Roman" w:eastAsia="宋体;SimSun" w:hAnsi="Times New Roman"/>
          <w:kern w:val="0"/>
          <w:sz w:val="24"/>
          <w:lang w:eastAsia="zh-CN"/>
        </w:rPr>
      </w:pPr>
    </w:p>
    <w:p w14:paraId="608751BF" w14:textId="77777777" w:rsidR="0011747E" w:rsidRDefault="00830558">
      <w:pPr>
        <w:autoSpaceDE w:val="0"/>
      </w:pPr>
      <w:r>
        <w:rPr>
          <w:rFonts w:ascii="Times New Roman" w:hAnsi="Times New Roman"/>
          <w:kern w:val="0"/>
          <w:sz w:val="24"/>
        </w:rPr>
        <w:t xml:space="preserve">2. </w:t>
      </w:r>
      <w:r>
        <w:rPr>
          <w:rFonts w:ascii="Times New Roman" w:hAnsi="Times New Roman"/>
          <w:b/>
          <w:bCs/>
          <w:kern w:val="0"/>
          <w:sz w:val="24"/>
        </w:rPr>
        <w:t xml:space="preserve">Research Questions. </w:t>
      </w:r>
      <w:r>
        <w:rPr>
          <w:rFonts w:ascii="Times New Roman" w:hAnsi="Times New Roman"/>
          <w:kern w:val="0"/>
          <w:sz w:val="24"/>
        </w:rPr>
        <w:t>RQ1: can a GT-free multi-level consistency reward separate well-formed rollouts from degraded ones, namely frozen, temporally scrambled, or action-mismatched variants? RQ2: which consistency terms carry the signal, and where does a lightweight, model-free action proxy fall short? RQ3: among same-condition candidates, can the reward expose within-group quality differences usable for group-relative selection?</w:t>
      </w:r>
    </w:p>
    <w:p w14:paraId="4257FAE8" w14:textId="77777777" w:rsidR="0011747E" w:rsidRDefault="0011747E">
      <w:pPr>
        <w:autoSpaceDE w:val="0"/>
        <w:spacing w:line="300" w:lineRule="atLeast"/>
        <w:jc w:val="left"/>
        <w:rPr>
          <w:rFonts w:ascii="Times New Roman" w:eastAsia="宋体;SimSun" w:hAnsi="Times New Roman"/>
          <w:kern w:val="0"/>
          <w:sz w:val="24"/>
          <w:lang w:eastAsia="zh-CN"/>
        </w:rPr>
      </w:pPr>
    </w:p>
    <w:p w14:paraId="44416D0C" w14:textId="77777777" w:rsidR="0011747E" w:rsidRDefault="00830558">
      <w:pPr>
        <w:autoSpaceDE w:val="0"/>
      </w:pPr>
      <w:r>
        <w:rPr>
          <w:rFonts w:ascii="Times New Roman" w:hAnsi="Times New Roman"/>
          <w:kern w:val="0"/>
          <w:sz w:val="24"/>
        </w:rPr>
        <w:t xml:space="preserve">3. </w:t>
      </w:r>
      <w:r>
        <w:rPr>
          <w:rFonts w:ascii="Times New Roman" w:hAnsi="Times New Roman"/>
          <w:b/>
          <w:bCs/>
          <w:kern w:val="0"/>
          <w:sz w:val="24"/>
        </w:rPr>
        <w:t xml:space="preserve">Methodologies. </w:t>
      </w:r>
      <w:r>
        <w:rPr>
          <w:rFonts w:ascii="Times New Roman" w:hAnsi="Times New Roman"/>
          <w:kern w:val="0"/>
          <w:sz w:val="24"/>
        </w:rPr>
        <w:t>Given a condition formed by a short history of frames and a future action sequence, the pretrained DIAMOND diffusion world model is rolled out to sample K candidate future-frame sequences, varying only the diffusion seed; Fig. 1 illustrates the pipeline. For each candidate we compute four intrinsic consistency terms without any GT future frame. A repeat-frame penalty, together with an action-conditioned variant, flags adjacent frames whose motion falls below a threshold. A temporal-consistency term measures</w:t>
      </w:r>
      <w:r>
        <w:rPr>
          <w:rFonts w:ascii="Times New Roman" w:hAnsi="Times New Roman"/>
          <w:kern w:val="0"/>
          <w:sz w:val="24"/>
        </w:rPr>
        <w:t xml:space="preserve"> motion smoothness as the negative jerk of the per-frame motion magnitude. An action-consistency term measures the agreement between per-frame motion and per-frame action strength, and serves as a model-free proxy for a learned inverse-dynamics discriminator. A cross-candidate consensus term measures the neighbourhood support of a candidate's transition feature among its same-condition peers. The four terms are group-standardized and combined with horizon weighting into a sequence-level consistency reward, </w:t>
      </w:r>
      <w:r>
        <w:rPr>
          <w:rFonts w:ascii="Times New Roman" w:hAnsi="Times New Roman"/>
          <w:kern w:val="0"/>
          <w:sz w:val="24"/>
        </w:rPr>
        <w:t xml:space="preserve">after which a trust filter removes low-reward, low-consensus candidates. This reward is the intended signal for group-relative, reward-weighted diffusion fine-tuning that optimizes the group-relative advantage on the trusted set. The DIAMOND world model and the </w:t>
      </w:r>
      <w:r>
        <w:rPr>
          <w:rFonts w:ascii="Times New Roman" w:hAnsi="Times New Roman"/>
          <w:kern w:val="0"/>
          <w:sz w:val="24"/>
        </w:rPr>
        <w:t>feature extractor stay frozen throughout.</w:t>
      </w:r>
    </w:p>
    <w:p w14:paraId="1D014C3D" w14:textId="135AA630" w:rsidR="0011747E" w:rsidRDefault="0011747E" w:rsidP="00F65255">
      <w:pPr>
        <w:pStyle w:val="a2"/>
        <w:spacing w:line="0" w:lineRule="atLeast"/>
        <w:jc w:val="center"/>
        <w:rPr>
          <w:rFonts w:ascii="Times New Roman" w:hAnsi="Times New Roman" w:cs="Times New Roman"/>
          <w:sz w:val="20"/>
        </w:rPr>
      </w:pPr>
    </w:p>
    <w:p w14:paraId="60C20CBC" w14:textId="53A65F16" w:rsidR="00F65255" w:rsidRDefault="00EC6329">
      <w:pPr>
        <w:jc w:val="center"/>
        <w:rPr>
          <w:rFonts w:ascii="Times New Roman" w:hAnsi="Times New Roman"/>
          <w:b/>
          <w:sz w:val="18"/>
          <w:szCs w:val="18"/>
          <w:lang w:eastAsia="zh-CN"/>
        </w:rPr>
      </w:pPr>
      <w:r>
        <w:rPr>
          <w:rFonts w:ascii="Times New Roman" w:hAnsi="Times New Roman"/>
          <w:noProof/>
          <w:sz w:val="20"/>
        </w:rPr>
        <w:drawing>
          <wp:inline distT="0" distB="0" distL="0" distR="0" wp14:anchorId="10AA3B84" wp14:editId="189ACF29">
            <wp:extent cx="5981700" cy="2400300"/>
            <wp:effectExtent l="0" t="0" r="0" b="0"/>
            <wp:docPr id="3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682B2" w14:textId="17A6456C" w:rsidR="0011747E" w:rsidRDefault="00830558">
      <w:pPr>
        <w:jc w:val="center"/>
        <w:rPr>
          <w:rFonts w:ascii="Times New Roman" w:hAnsi="Times New Roman"/>
          <w:sz w:val="18"/>
          <w:szCs w:val="18"/>
          <w:lang w:eastAsia="zh-CN"/>
        </w:rPr>
      </w:pPr>
      <w:r>
        <w:rPr>
          <w:rFonts w:ascii="Times New Roman" w:hAnsi="Times New Roman"/>
          <w:b/>
          <w:sz w:val="18"/>
          <w:szCs w:val="18"/>
        </w:rPr>
        <w:t xml:space="preserve">Figure 1. </w:t>
      </w:r>
      <w:r>
        <w:rPr>
          <w:rFonts w:ascii="Times New Roman" w:hAnsi="Times New Roman"/>
          <w:sz w:val="18"/>
          <w:szCs w:val="18"/>
        </w:rPr>
        <w:t>Multi-level consistency pipeline. The pretrained DIAMOND diffusion world model samples K candidate rollouts under one condition; a ground-truth-free multi-level consistency reward combining temporal, repeat-frame, action, and cross-candidate consensus terms scores and trust-filters them; the group-relative advantage feeds reward-weighted fine-tuning. The world model and feature extractor stay frozen.</w:t>
      </w:r>
    </w:p>
    <w:p w14:paraId="75EF4F9D" w14:textId="77777777" w:rsidR="00B61F67" w:rsidRDefault="00B61F67" w:rsidP="00B61F67">
      <w:pPr>
        <w:autoSpaceDE w:val="0"/>
        <w:spacing w:line="300" w:lineRule="atLeast"/>
        <w:jc w:val="left"/>
        <w:rPr>
          <w:rFonts w:ascii="Times New Roman" w:eastAsia="宋体;SimSun" w:hAnsi="Times New Roman"/>
          <w:kern w:val="0"/>
          <w:sz w:val="24"/>
          <w:lang w:eastAsia="zh-CN"/>
        </w:rPr>
      </w:pPr>
    </w:p>
    <w:p w14:paraId="2160CBE5" w14:textId="5A704219" w:rsidR="006C6A2C" w:rsidRDefault="00830558">
      <w:pPr>
        <w:autoSpaceDE w:val="0"/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/>
          <w:kern w:val="0"/>
          <w:sz w:val="24"/>
        </w:rPr>
        <w:t xml:space="preserve">4. </w:t>
      </w:r>
      <w:r>
        <w:rPr>
          <w:rFonts w:ascii="Times New Roman" w:hAnsi="Times New Roman"/>
          <w:b/>
          <w:bCs/>
          <w:kern w:val="0"/>
          <w:sz w:val="24"/>
        </w:rPr>
        <w:t xml:space="preserve">Results. </w:t>
      </w:r>
      <w:r>
        <w:rPr>
          <w:rFonts w:ascii="Times New Roman" w:hAnsi="Times New Roman"/>
          <w:kern w:val="0"/>
          <w:sz w:val="24"/>
        </w:rPr>
        <w:t>Setting: the pretrained DIAMOND CS:GO world model runs on one 32 GB RTX 5090 at full resolution 150×280, with K = 6 candidates per condition over 7 history conditions, 24-frame rollouts, and 3 denoising steps for the degradation study; no GT future frames are used, giving 21 candidate-windows. RQ1, degradation sensitivity: the clean rollout is preferred over the frozen variant in 81% of windows and over the temporal-shuffle variant in 79%, but over the action-mismatch variant in only 47%, as summarized in T</w:t>
      </w:r>
      <w:r>
        <w:rPr>
          <w:rFonts w:ascii="Times New Roman" w:hAnsi="Times New Roman"/>
          <w:kern w:val="0"/>
          <w:sz w:val="24"/>
        </w:rPr>
        <w:t>able 1. RQ2, which terms carry the signal: the repeat-frame rate moves from 0.00 on clean rollouts to 1.00 on frozen ones, and the motion jerk rises from 3.38 to 8.26 under temporal shuffling, so the repeat-frame and temporal terms cleanly flag static collapse and scrambling; the model-free action term separates clean from action-mismatch only in aggregate, with means of 0.135 versus 0.016, and not reliably per window, consistent with the near-chance 47%. When the action term is instead realized as a learne</w:t>
      </w:r>
      <w:r>
        <w:rPr>
          <w:rFonts w:ascii="Times New Roman" w:hAnsi="Times New Roman"/>
          <w:kern w:val="0"/>
          <w:sz w:val="24"/>
        </w:rPr>
        <w:t>d inverse-dynamics discriminator, a small CNN trained self-supervised on disjoint seeds to recover the 51-D action from a frame pair, action-mismatch is correctly flagged in 89.7% of windows versus 47.6% for the model-free proxy, as shown in Fig. 2; the action signal is therefore recoverable, but it needs a learned discriminator rather than a raw motion-action correlation. RQ3, selection by sampler fidelity: using denoising steps as an external, ground-truth-free fidelity knob, the smoothness-dominated comp</w:t>
      </w:r>
      <w:r>
        <w:rPr>
          <w:rFonts w:ascii="Times New Roman" w:hAnsi="Times New Roman"/>
          <w:kern w:val="0"/>
          <w:sz w:val="24"/>
        </w:rPr>
        <w:t>osite does not track fidelity and even mildly anti-correlates with it at a Spearman of -0.19, with the higher-fidelity candidate preferred in only 21% of cross-setting pairs, because higher-fidelity rollouts carry richer motion that the temporal-smoothness term penalizes; only the action-consistency component trends in the expected direction, rising from 0.063 to 0.075 as the denoising steps increase. Hand-crafted intrinsic terms thus reliably detect gross temporal degradation but not subtle fidelity or act</w:t>
      </w:r>
      <w:r>
        <w:rPr>
          <w:rFonts w:ascii="Times New Roman" w:hAnsi="Times New Roman"/>
          <w:kern w:val="0"/>
          <w:sz w:val="24"/>
        </w:rPr>
        <w:t>ion differences.</w:t>
      </w:r>
    </w:p>
    <w:p w14:paraId="55DB559D" w14:textId="5B375365" w:rsidR="0011747E" w:rsidRPr="006C6A2C" w:rsidRDefault="006C6A2C" w:rsidP="006C6A2C">
      <w:pPr>
        <w:widowControl/>
        <w:jc w:val="left"/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/>
          <w:kern w:val="0"/>
          <w:sz w:val="24"/>
        </w:rPr>
        <w:br w:type="page"/>
      </w:r>
    </w:p>
    <w:p w14:paraId="197AD2E1" w14:textId="77777777" w:rsidR="0011747E" w:rsidRDefault="0011747E">
      <w:pPr>
        <w:autoSpaceDE w:val="0"/>
        <w:spacing w:line="300" w:lineRule="atLeast"/>
        <w:jc w:val="left"/>
        <w:rPr>
          <w:rFonts w:ascii="Times New Roman" w:eastAsia="宋体;SimSun" w:hAnsi="Times New Roman"/>
          <w:kern w:val="0"/>
          <w:sz w:val="24"/>
          <w:lang w:eastAsia="zh-CN"/>
        </w:rPr>
      </w:pPr>
    </w:p>
    <w:p w14:paraId="17F8CE8B" w14:textId="77777777" w:rsidR="0011747E" w:rsidRDefault="00830558">
      <w:pPr>
        <w:jc w:val="center"/>
      </w:pPr>
      <w:r>
        <w:rPr>
          <w:rFonts w:ascii="Times New Roman" w:hAnsi="Times New Roman"/>
          <w:b/>
          <w:sz w:val="18"/>
          <w:szCs w:val="18"/>
        </w:rPr>
        <w:t xml:space="preserve">Table 1. </w:t>
      </w:r>
      <w:r>
        <w:rPr>
          <w:rFonts w:ascii="Times New Roman" w:hAnsi="Times New Roman"/>
          <w:sz w:val="18"/>
          <w:szCs w:val="18"/>
        </w:rPr>
        <w:t>Per-term response of the GT-free consistency reward to controlled degradations and the resulting clean-preferred rate, over 21 candidate-windows; bold marks the term that flags each failure.</w:t>
      </w:r>
    </w:p>
    <w:p w14:paraId="3F1864F1" w14:textId="77777777" w:rsidR="0011747E" w:rsidRDefault="0011747E">
      <w:pPr>
        <w:autoSpaceDE w:val="0"/>
        <w:jc w:val="center"/>
        <w:rPr>
          <w:rFonts w:ascii="Times New Roman" w:eastAsia="宋体;SimSun" w:hAnsi="Times New Roman"/>
          <w:kern w:val="0"/>
          <w:sz w:val="22"/>
          <w:szCs w:val="22"/>
          <w:lang w:eastAsia="zh-CN"/>
        </w:rPr>
      </w:pPr>
    </w:p>
    <w:tbl>
      <w:tblPr>
        <w:tblW w:w="76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4"/>
        <w:gridCol w:w="1600"/>
        <w:gridCol w:w="1700"/>
        <w:gridCol w:w="1700"/>
      </w:tblGrid>
      <w:tr w:rsidR="005274CB" w14:paraId="16755401" w14:textId="77777777" w:rsidTr="005274CB">
        <w:trPr>
          <w:jc w:val="center"/>
        </w:trPr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53F1A" w14:textId="77777777" w:rsidR="005274CB" w:rsidRDefault="005274CB"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Rollout variant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2A235" w14:textId="77777777" w:rsidR="005274CB" w:rsidRDefault="005274CB"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repeat-frame 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BC51" w14:textId="77777777" w:rsidR="005274CB" w:rsidRDefault="005274CB"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motion jerk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6734C" w14:textId="77777777" w:rsidR="005274CB" w:rsidRDefault="005274CB"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action consist. ↑</w:t>
            </w:r>
          </w:p>
        </w:tc>
      </w:tr>
      <w:tr w:rsidR="005274CB" w14:paraId="6A2F6CDF" w14:textId="77777777" w:rsidTr="005274CB">
        <w:trPr>
          <w:jc w:val="center"/>
        </w:trPr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46B8D" w14:textId="77777777" w:rsidR="005274CB" w:rsidRDefault="005274CB">
            <w:pPr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Clean (intact)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EDB1C" w14:textId="77777777" w:rsidR="005274CB" w:rsidRDefault="005274CB">
            <w:pPr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0.00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8A7AC" w14:textId="77777777" w:rsidR="005274CB" w:rsidRDefault="005274CB">
            <w:pPr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3.38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55DE7" w14:textId="77777777" w:rsidR="005274CB" w:rsidRDefault="005274CB">
            <w:pPr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0.13</w:t>
            </w:r>
          </w:p>
        </w:tc>
      </w:tr>
      <w:tr w:rsidR="005274CB" w14:paraId="72417977" w14:textId="77777777" w:rsidTr="005274CB">
        <w:trPr>
          <w:jc w:val="center"/>
        </w:trPr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08858" w14:textId="77777777" w:rsidR="005274CB" w:rsidRDefault="005274CB">
            <w:pPr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Frozen (collapse)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B6FEF" w14:textId="77777777" w:rsidR="005274CB" w:rsidRDefault="005274CB"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1.00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2071B" w14:textId="77777777" w:rsidR="005274CB" w:rsidRDefault="005274CB">
            <w:pPr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0.00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76423" w14:textId="77777777" w:rsidR="005274CB" w:rsidRDefault="005274CB">
            <w:pPr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0.00</w:t>
            </w:r>
          </w:p>
        </w:tc>
      </w:tr>
      <w:tr w:rsidR="005274CB" w14:paraId="3A019BF4" w14:textId="77777777" w:rsidTr="005274CB">
        <w:trPr>
          <w:jc w:val="center"/>
        </w:trPr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DCCFB" w14:textId="77777777" w:rsidR="005274CB" w:rsidRDefault="005274CB">
            <w:pPr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Temporal-shuffle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D91AC" w14:textId="77777777" w:rsidR="005274CB" w:rsidRDefault="005274CB">
            <w:pPr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0.00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A612F" w14:textId="77777777" w:rsidR="005274CB" w:rsidRDefault="005274CB"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8.26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EF88E" w14:textId="77777777" w:rsidR="005274CB" w:rsidRDefault="005274CB">
            <w:pPr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0.03</w:t>
            </w:r>
          </w:p>
        </w:tc>
      </w:tr>
      <w:tr w:rsidR="005274CB" w14:paraId="1D1D4B19" w14:textId="77777777" w:rsidTr="005274CB">
        <w:trPr>
          <w:jc w:val="center"/>
        </w:trPr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8C551" w14:textId="77777777" w:rsidR="005274CB" w:rsidRDefault="005274CB">
            <w:pPr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Action-mismatch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6A0EC" w14:textId="77777777" w:rsidR="005274CB" w:rsidRDefault="005274CB">
            <w:pPr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0.00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8582C" w14:textId="77777777" w:rsidR="005274CB" w:rsidRDefault="005274CB">
            <w:pPr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3.38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B730A" w14:textId="77777777" w:rsidR="005274CB" w:rsidRDefault="005274CB"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0.02</w:t>
            </w:r>
          </w:p>
        </w:tc>
      </w:tr>
    </w:tbl>
    <w:p w14:paraId="07D6ADAA" w14:textId="4E85002C" w:rsidR="0011747E" w:rsidRDefault="004E2D51">
      <w:pPr>
        <w:jc w:val="center"/>
      </w:pPr>
      <w:r>
        <w:rPr>
          <w:noProof/>
        </w:rPr>
        <w:drawing>
          <wp:inline distT="0" distB="0" distL="0" distR="0" wp14:anchorId="5F6486A7" wp14:editId="47C84E1E">
            <wp:extent cx="3398608" cy="2184819"/>
            <wp:effectExtent l="0" t="0" r="5080" b="0"/>
            <wp:docPr id="1913067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67607" name="Picture 19130676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182" cy="219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1358" w14:textId="77777777" w:rsidR="0011747E" w:rsidRDefault="00830558">
      <w:pPr>
        <w:jc w:val="center"/>
      </w:pPr>
      <w:r>
        <w:rPr>
          <w:rFonts w:ascii="Times New Roman" w:hAnsi="Times New Roman"/>
          <w:b/>
          <w:sz w:val="18"/>
          <w:szCs w:val="18"/>
        </w:rPr>
        <w:t xml:space="preserve">Figure 2. </w:t>
      </w:r>
      <w:r>
        <w:rPr>
          <w:rFonts w:ascii="Times New Roman" w:hAnsi="Times New Roman"/>
          <w:sz w:val="18"/>
          <w:szCs w:val="18"/>
        </w:rPr>
        <w:t>Action-mismatch detection by a learned inverse-dynamics discriminator, at 89.7%, versus the model-free motion-action proxy at 47.6% near chance, on held-out rollouts with disjoint train and eval seeds.</w:t>
      </w:r>
    </w:p>
    <w:p w14:paraId="5CE006D6" w14:textId="77777777" w:rsidR="0011747E" w:rsidRDefault="0011747E">
      <w:pPr>
        <w:autoSpaceDE w:val="0"/>
        <w:spacing w:line="300" w:lineRule="atLeast"/>
        <w:jc w:val="left"/>
        <w:rPr>
          <w:rFonts w:ascii="Times New Roman" w:eastAsia="宋体;SimSun" w:hAnsi="Times New Roman"/>
          <w:kern w:val="0"/>
          <w:sz w:val="24"/>
          <w:lang w:eastAsia="zh-CN"/>
        </w:rPr>
      </w:pPr>
    </w:p>
    <w:p w14:paraId="197320DA" w14:textId="77777777" w:rsidR="0011747E" w:rsidRDefault="00830558">
      <w:pPr>
        <w:autoSpaceDE w:val="0"/>
      </w:pPr>
      <w:r>
        <w:rPr>
          <w:rFonts w:ascii="Times New Roman" w:hAnsi="Times New Roman"/>
          <w:kern w:val="0"/>
          <w:sz w:val="24"/>
        </w:rPr>
        <w:t xml:space="preserve">5. </w:t>
      </w:r>
      <w:r>
        <w:rPr>
          <w:rFonts w:ascii="Times New Roman" w:hAnsi="Times New Roman"/>
          <w:b/>
          <w:bCs/>
          <w:kern w:val="0"/>
          <w:sz w:val="24"/>
        </w:rPr>
        <w:t xml:space="preserve">Conclusion. </w:t>
      </w:r>
      <w:r>
        <w:rPr>
          <w:rFonts w:ascii="Times New Roman" w:hAnsi="Times New Roman"/>
          <w:kern w:val="0"/>
          <w:sz w:val="24"/>
        </w:rPr>
        <w:t>A ground-truth-free multi-level consistency reward built from hand-crafted intrinsic terms reliably detects static collapse and temporal incoherence on the pretrained DIAMOND CS:GO model, with the clean rollout preferred over frozen and scrambled rollouts in about 80% of windows. It does not, however, reliably capture action consistency or sampler fidelity: the model-free action proxy performs near chance at 47.6%, and the smoothness-dominated composite mildly anti-correlates with denoising-step fidelity. R</w:t>
      </w:r>
      <w:r>
        <w:rPr>
          <w:rFonts w:ascii="Times New Roman" w:hAnsi="Times New Roman"/>
          <w:kern w:val="0"/>
          <w:sz w:val="24"/>
        </w:rPr>
        <w:t>eplacing the action proxy with a learned inverse-dynamics discriminator restores action sensitivity and raises action-mismatch detection to 89.7%, as shown in Fig. 2, indicating that a learned discriminator outperforms hand-crafted proxies. Together with the group-relative, reward-weighted diffusion fine-tuning that the reward is designed to drive, this points toward a learnable, ground-truth-free consistency reward for diffusion world models. Limitations: results are preliminary, on one RTX 5090 and a sing</w:t>
      </w:r>
      <w:r>
        <w:rPr>
          <w:rFonts w:ascii="Times New Roman" w:hAnsi="Times New Roman"/>
          <w:kern w:val="0"/>
          <w:sz w:val="24"/>
        </w:rPr>
        <w:t>le DIAMOND CS:GO world model, with the reward validated only as a GT-free selector and at short horizons where the pretrained model rarely collapses.</w:t>
      </w:r>
    </w:p>
    <w:p w14:paraId="70C00E41" w14:textId="77777777" w:rsidR="0011747E" w:rsidRDefault="0011747E">
      <w:pPr>
        <w:autoSpaceDE w:val="0"/>
        <w:spacing w:line="300" w:lineRule="atLeast"/>
        <w:jc w:val="left"/>
        <w:rPr>
          <w:rFonts w:ascii="Times New Roman" w:eastAsia="宋体;SimSun" w:hAnsi="Times New Roman"/>
          <w:b/>
          <w:bCs/>
          <w:kern w:val="0"/>
          <w:sz w:val="24"/>
          <w:lang w:eastAsia="zh-CN"/>
        </w:rPr>
      </w:pPr>
    </w:p>
    <w:p w14:paraId="12EFC342" w14:textId="77777777" w:rsidR="0011747E" w:rsidRDefault="00830558">
      <w:pPr>
        <w:autoSpaceDE w:val="0"/>
        <w:spacing w:line="300" w:lineRule="atLeast"/>
        <w:jc w:val="center"/>
        <w:rPr>
          <w:rFonts w:ascii="Times New Roman" w:hAnsi="Times New Roman"/>
          <w:b/>
          <w:bCs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  <w:sz w:val="20"/>
          <w:szCs w:val="20"/>
        </w:rPr>
        <w:t>REFERENCES</w:t>
      </w:r>
    </w:p>
    <w:p w14:paraId="2874EA1E" w14:textId="77777777" w:rsidR="00B61F67" w:rsidRPr="00B61F67" w:rsidRDefault="00B61F67" w:rsidP="00B61F67">
      <w:pPr>
        <w:pStyle w:val="ListParagraph"/>
        <w:widowControl/>
        <w:numPr>
          <w:ilvl w:val="0"/>
          <w:numId w:val="3"/>
        </w:numPr>
        <w:suppressAutoHyphens w:val="0"/>
        <w:jc w:val="left"/>
        <w:rPr>
          <w:rFonts w:ascii="Times New Roman" w:hAnsi="Times New Roman"/>
          <w:kern w:val="0"/>
          <w:sz w:val="20"/>
          <w:szCs w:val="20"/>
        </w:rPr>
      </w:pPr>
      <w:r w:rsidRPr="00B61F67">
        <w:rPr>
          <w:rFonts w:ascii="Times New Roman" w:hAnsi="Times New Roman"/>
          <w:kern w:val="0"/>
          <w:sz w:val="20"/>
          <w:szCs w:val="20"/>
        </w:rPr>
        <w:t>J. Wu, S. Yin, N. Feng and M. Long, RLVR-World: Training world models with reinforcement learning, Advances in Neural Information Processing Systems, vol. 38, 2025.</w:t>
      </w:r>
    </w:p>
    <w:p w14:paraId="45B65424" w14:textId="77777777" w:rsidR="00B61F67" w:rsidRPr="00B61F67" w:rsidRDefault="00B61F67" w:rsidP="00B61F67">
      <w:pPr>
        <w:pStyle w:val="ListParagraph"/>
        <w:widowControl/>
        <w:numPr>
          <w:ilvl w:val="0"/>
          <w:numId w:val="3"/>
        </w:numPr>
        <w:suppressAutoHyphens w:val="0"/>
        <w:jc w:val="left"/>
        <w:rPr>
          <w:rFonts w:ascii="Times New Roman" w:hAnsi="Times New Roman"/>
          <w:kern w:val="0"/>
          <w:sz w:val="20"/>
          <w:szCs w:val="20"/>
        </w:rPr>
      </w:pPr>
      <w:r w:rsidRPr="00B61F67">
        <w:rPr>
          <w:rFonts w:ascii="Times New Roman" w:hAnsi="Times New Roman"/>
          <w:kern w:val="0"/>
          <w:sz w:val="20"/>
          <w:szCs w:val="20"/>
        </w:rPr>
        <w:t>E. Alonso, A. Jelley, V. Micheli, A. Kanervisto, A. Storkey, T. Pearce and F. Fleuret, Diffusion for world modeling: visual details matter in Atari, Advances in Neural Information Processing Systems, vol. 37, 2024.</w:t>
      </w:r>
    </w:p>
    <w:p w14:paraId="485EEE07" w14:textId="77777777" w:rsidR="00B61F67" w:rsidRPr="00B61F67" w:rsidRDefault="00B61F67" w:rsidP="00B61F67">
      <w:pPr>
        <w:pStyle w:val="ListParagraph"/>
        <w:widowControl/>
        <w:numPr>
          <w:ilvl w:val="0"/>
          <w:numId w:val="3"/>
        </w:numPr>
        <w:suppressAutoHyphens w:val="0"/>
        <w:jc w:val="left"/>
        <w:rPr>
          <w:rFonts w:ascii="Times New Roman" w:hAnsi="Times New Roman"/>
          <w:kern w:val="0"/>
          <w:sz w:val="20"/>
          <w:szCs w:val="20"/>
        </w:rPr>
      </w:pPr>
      <w:r w:rsidRPr="00B61F67">
        <w:rPr>
          <w:rFonts w:ascii="Times New Roman" w:hAnsi="Times New Roman"/>
          <w:kern w:val="0"/>
          <w:sz w:val="20"/>
          <w:szCs w:val="20"/>
        </w:rPr>
        <w:t xml:space="preserve">Y. Zuo, K. Zhang, L. Sheng, S. Qu, G. Cui, X. Zhu et al., TTRL: Test-time reinforcement learning, </w:t>
      </w:r>
      <w:r w:rsidRPr="00B61F67">
        <w:rPr>
          <w:rFonts w:ascii="Times New Roman" w:hAnsi="Times New Roman"/>
          <w:i/>
          <w:iCs/>
          <w:kern w:val="0"/>
          <w:sz w:val="20"/>
          <w:szCs w:val="20"/>
        </w:rPr>
        <w:t>Advances in Neural Information Processing Systems</w:t>
      </w:r>
      <w:r w:rsidRPr="00B61F67">
        <w:rPr>
          <w:rFonts w:ascii="Times New Roman" w:hAnsi="Times New Roman"/>
          <w:kern w:val="0"/>
          <w:sz w:val="20"/>
          <w:szCs w:val="20"/>
        </w:rPr>
        <w:t>, vol. 38, pp. 131459-131483, 2026.</w:t>
      </w:r>
    </w:p>
    <w:p w14:paraId="54C47A30" w14:textId="1D772E0F" w:rsidR="00B61F67" w:rsidRPr="00B61F67" w:rsidRDefault="00B61F67" w:rsidP="00B61F67">
      <w:pPr>
        <w:pStyle w:val="ListParagraph"/>
        <w:widowControl/>
        <w:numPr>
          <w:ilvl w:val="0"/>
          <w:numId w:val="3"/>
        </w:numPr>
        <w:suppressAutoHyphens w:val="0"/>
        <w:jc w:val="left"/>
        <w:rPr>
          <w:rFonts w:ascii="Times New Roman" w:hAnsi="Times New Roman"/>
          <w:kern w:val="0"/>
          <w:sz w:val="20"/>
          <w:szCs w:val="20"/>
        </w:rPr>
      </w:pPr>
      <w:r w:rsidRPr="00B61F67">
        <w:rPr>
          <w:rFonts w:ascii="Times New Roman" w:hAnsi="Times New Roman"/>
          <w:kern w:val="0"/>
          <w:sz w:val="20"/>
          <w:szCs w:val="20"/>
        </w:rPr>
        <w:t>Z. Shao, P. Wang, Q. Zhu et al., DeepSeekMath: Pushing the limits of mathematical reasoning in open language models, Proc. of the 62nd Annual Meeting of the Association for Computational Linguistics, pp. 23366-23395, 2024.</w:t>
      </w:r>
    </w:p>
    <w:p w14:paraId="1C0DF18C" w14:textId="2901DEAD" w:rsidR="0011747E" w:rsidRPr="004B2337" w:rsidRDefault="00B61F67" w:rsidP="004B2337">
      <w:pPr>
        <w:numPr>
          <w:ilvl w:val="0"/>
          <w:numId w:val="3"/>
        </w:numPr>
        <w:suppressAutoHyphens w:val="0"/>
        <w:adjustRightInd w:val="0"/>
        <w:ind w:right="-23"/>
        <w:textAlignment w:val="baseline"/>
        <w:rPr>
          <w:rFonts w:ascii="Times New Roman" w:hAnsi="Times New Roman" w:hint="eastAsia"/>
          <w:kern w:val="0"/>
          <w:sz w:val="20"/>
          <w:szCs w:val="20"/>
        </w:rPr>
      </w:pPr>
      <w:r w:rsidRPr="00B61F67">
        <w:rPr>
          <w:rFonts w:ascii="Times New Roman" w:hAnsi="Times New Roman"/>
          <w:kern w:val="0"/>
          <w:sz w:val="20"/>
          <w:szCs w:val="20"/>
        </w:rPr>
        <w:t>R. Zhang, P. Isola, A. A. Efros, E. Shechtman and O. Wang, The unreasonable effectiveness of deep features as a perceptual metric, Proc. IEEE Conf. on Computer Vision and Pattern Recognition, pp. 586-595, 2018.</w:t>
      </w:r>
    </w:p>
    <w:sectPr w:rsidR="0011747E" w:rsidRPr="004B2337">
      <w:headerReference w:type="default" r:id="rId10"/>
      <w:headerReference w:type="first" r:id="rId11"/>
      <w:pgSz w:w="12240" w:h="15840"/>
      <w:pgMar w:top="1418" w:right="1418" w:bottom="1418" w:left="1418" w:header="72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0C0D36" w14:textId="77777777" w:rsidR="00830558" w:rsidRDefault="00830558">
      <w:r>
        <w:separator/>
      </w:r>
    </w:p>
  </w:endnote>
  <w:endnote w:type="continuationSeparator" w:id="0">
    <w:p w14:paraId="19700022" w14:textId="77777777" w:rsidR="00830558" w:rsidRDefault="00830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SC">
    <w:panose1 w:val="02020200000000000000"/>
    <w:charset w:val="80"/>
    <w:family w:val="roman"/>
    <w:pitch w:val="variable"/>
    <w:sig w:usb0="20000083" w:usb1="2ADF3C10" w:usb2="00000016" w:usb3="00000000" w:csb0="00060107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;ＭＳ 明朝">
    <w:altName w:val="SimSun"/>
    <w:panose1 w:val="020B0604020202020204"/>
    <w:charset w:val="86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;ＭＳ ゴシック">
    <w:panose1 w:val="020B0604020202020204"/>
    <w:charset w:val="86"/>
    <w:family w:val="roman"/>
    <w:notTrueType/>
    <w:pitch w:val="default"/>
  </w:font>
  <w:font w:name="宋体;SimSun">
    <w:panose1 w:val="020B0604020202020204"/>
    <w:charset w:val="86"/>
    <w:family w:val="roman"/>
    <w:notTrueType/>
    <w:pitch w:val="default"/>
  </w:font>
  <w:font w:name="等线;DengXian">
    <w:altName w:val="SimSun"/>
    <w:panose1 w:val="020B0604020202020204"/>
    <w:charset w:val="86"/>
    <w:family w:val="roman"/>
    <w:notTrueType/>
    <w:pitch w:val="default"/>
  </w:font>
  <w:font w:name="DejaVu Sans"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4CCFD3" w14:textId="77777777" w:rsidR="00830558" w:rsidRDefault="00830558">
      <w:r>
        <w:separator/>
      </w:r>
    </w:p>
  </w:footnote>
  <w:footnote w:type="continuationSeparator" w:id="0">
    <w:p w14:paraId="2671F8D7" w14:textId="77777777" w:rsidR="00830558" w:rsidRDefault="00830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1AE82A" w14:textId="38FEFEC7" w:rsidR="0011747E" w:rsidRDefault="00EC6329">
    <w:pPr>
      <w:pStyle w:val="Header"/>
      <w:ind w:right="360" w:firstLine="360"/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0" allowOverlap="1" wp14:anchorId="64B81B70" wp14:editId="493F4A4F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742940" cy="461010"/>
              <wp:effectExtent l="0" t="0" r="0" b="0"/>
              <wp:wrapSquare wrapText="bothSides"/>
              <wp:docPr id="202049312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2940" cy="46101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3E3E7732" w14:textId="77777777" w:rsidR="0011747E" w:rsidRDefault="0011747E"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</w:p>
                        <w:p w14:paraId="7D6F9792" w14:textId="77777777" w:rsidR="0011747E" w:rsidRDefault="0011747E"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</w:p>
                        <w:p w14:paraId="3D16B726" w14:textId="77777777" w:rsidR="0011747E" w:rsidRDefault="0011747E"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B81B7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left:0;text-align:left;margin-left:401pt;margin-top:.05pt;width:452.2pt;height:36.3pt;z-index:251657728;visibility:visible;mso-wrap-style:square;mso-width-percent:0;mso-height-percent:0;mso-wrap-distance-left:0;mso-wrap-distance-top:0;mso-wrap-distance-right:0;mso-wrap-distance-bottom:0;mso-position-horizontal:outsid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" o:allowincell="f" stroked="f">
              <v:fill opacity="0"/>
              <v:textbox inset="0,0,0,0">
                <w:txbxContent>
                  <w:p w14:paraId="3E3E7732" w14:textId="77777777" w:rsidR="0011747E" w:rsidRDefault="0011747E">
                    <w:pPr>
                      <w:pStyle w:val="Header"/>
                      <w:rPr>
                        <w:rStyle w:val="PageNumber"/>
                      </w:rPr>
                    </w:pPr>
                  </w:p>
                  <w:p w14:paraId="7D6F9792" w14:textId="77777777" w:rsidR="0011747E" w:rsidRDefault="0011747E">
                    <w:pPr>
                      <w:pStyle w:val="Header"/>
                      <w:rPr>
                        <w:rStyle w:val="PageNumber"/>
                      </w:rPr>
                    </w:pPr>
                  </w:p>
                  <w:p w14:paraId="3D16B726" w14:textId="77777777" w:rsidR="0011747E" w:rsidRDefault="0011747E">
                    <w:pPr>
                      <w:pStyle w:val="Header"/>
                      <w:rPr>
                        <w:rStyle w:val="PageNumber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6746B9" w14:textId="77777777" w:rsidR="0011747E" w:rsidRDefault="001174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87484A"/>
    <w:multiLevelType w:val="singleLevel"/>
    <w:tmpl w:val="F01E5FC2"/>
    <w:lvl w:ilvl="0">
      <w:start w:val="1"/>
      <w:numFmt w:val="decimal"/>
      <w:lvlText w:val="[%1] "/>
      <w:legacy w:legacy="1" w:legacySpace="0" w:legacyIndent="465"/>
      <w:lvlJc w:val="left"/>
      <w:pPr>
        <w:ind w:left="465" w:hanging="465"/>
      </w:pPr>
      <w:rPr>
        <w:rFonts w:ascii="Times New Roman" w:hAnsi="Times New Roman" w:hint="default"/>
        <w:b w:val="0"/>
        <w:i w:val="0"/>
        <w:sz w:val="21"/>
        <w:u w:val="none"/>
      </w:rPr>
    </w:lvl>
  </w:abstractNum>
  <w:abstractNum w:abstractNumId="1" w15:restartNumberingAfterBreak="0">
    <w:nsid w:val="4C884475"/>
    <w:multiLevelType w:val="multilevel"/>
    <w:tmpl w:val="ED50B3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5C757F2"/>
    <w:multiLevelType w:val="multilevel"/>
    <w:tmpl w:val="42D6800C"/>
    <w:lvl w:ilvl="0">
      <w:start w:val="1"/>
      <w:numFmt w:val="decimal"/>
      <w:lvlText w:val="[%1] "/>
      <w:lvlJc w:val="left"/>
      <w:pPr>
        <w:tabs>
          <w:tab w:val="num" w:pos="465"/>
        </w:tabs>
        <w:ind w:left="465" w:hanging="465"/>
      </w:pPr>
      <w:rPr>
        <w:rFonts w:ascii="Times New Roman" w:hAnsi="Times New Roman" w:cs="Times New Roman"/>
        <w:b w:val="0"/>
        <w:i w:val="0"/>
        <w:sz w:val="21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47685602">
    <w:abstractNumId w:val="2"/>
  </w:num>
  <w:num w:numId="2" w16cid:durableId="145250555">
    <w:abstractNumId w:val="1"/>
  </w:num>
  <w:num w:numId="3" w16cid:durableId="6340697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defaultTabStop w:val="84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47E"/>
    <w:rsid w:val="0011747E"/>
    <w:rsid w:val="00362D92"/>
    <w:rsid w:val="0036479E"/>
    <w:rsid w:val="0036580D"/>
    <w:rsid w:val="00402F43"/>
    <w:rsid w:val="004B2337"/>
    <w:rsid w:val="004C2A38"/>
    <w:rsid w:val="004E2D51"/>
    <w:rsid w:val="005274CB"/>
    <w:rsid w:val="00644CE3"/>
    <w:rsid w:val="006C6A2C"/>
    <w:rsid w:val="00785E2E"/>
    <w:rsid w:val="00830558"/>
    <w:rsid w:val="009034BD"/>
    <w:rsid w:val="00971E33"/>
    <w:rsid w:val="00A90C21"/>
    <w:rsid w:val="00B61F67"/>
    <w:rsid w:val="00E32FBB"/>
    <w:rsid w:val="00EC6329"/>
    <w:rsid w:val="00F65255"/>
    <w:rsid w:val="00FE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40A80"/>
  <w15:docId w15:val="{4D19E2E9-37DD-3D4C-A69D-6D09AE7A9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SC" w:hAnsi="Liberation Serif" w:cs="Arial Unicode MS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jc w:val="both"/>
    </w:pPr>
    <w:rPr>
      <w:rFonts w:ascii="Century" w:eastAsia="MS Mincho;ＭＳ 明朝" w:hAnsi="Century" w:cs="Times New Roman"/>
      <w:kern w:val="2"/>
      <w:sz w:val="21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hAnsi="Times New Roman" w:cs="Times New Roman"/>
      <w:b w:val="0"/>
      <w:i w:val="0"/>
      <w:sz w:val="21"/>
      <w:u w:val="none"/>
    </w:rPr>
  </w:style>
  <w:style w:type="character" w:customStyle="1" w:styleId="a">
    <w:name w:val="默认段落字体"/>
    <w:qFormat/>
  </w:style>
  <w:style w:type="character" w:styleId="PageNumber">
    <w:name w:val="page number"/>
    <w:basedOn w:val="a"/>
  </w:style>
  <w:style w:type="character" w:styleId="Hyperlink">
    <w:name w:val="Hyperlink"/>
    <w:rPr>
      <w:color w:val="0000FF"/>
      <w:u w:val="single"/>
    </w:rPr>
  </w:style>
  <w:style w:type="character" w:customStyle="1" w:styleId="apple-converted-space">
    <w:name w:val="apple-converted-space"/>
    <w:qFormat/>
  </w:style>
  <w:style w:type="character" w:customStyle="1" w:styleId="Char">
    <w:name w:val="纯文本 Char"/>
    <w:qFormat/>
    <w:rPr>
      <w:rFonts w:ascii="MS Mincho;ＭＳ 明朝" w:hAnsi="MS Mincho;ＭＳ 明朝" w:cs="Courier New"/>
      <w:kern w:val="2"/>
      <w:sz w:val="21"/>
      <w:szCs w:val="21"/>
      <w:lang w:eastAsia="ja-JP"/>
    </w:rPr>
  </w:style>
  <w:style w:type="character" w:customStyle="1" w:styleId="a0">
    <w:name w:val="未处理的提及"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paragraph" w:customStyle="1" w:styleId="a1">
    <w:name w:val="批注框文本"/>
    <w:basedOn w:val="Normal"/>
    <w:qFormat/>
    <w:rPr>
      <w:rFonts w:ascii="Arial" w:eastAsia="MS Gothic;ＭＳ ゴシック" w:hAnsi="Arial" w:cs="Arial"/>
      <w:sz w:val="18"/>
      <w:szCs w:val="18"/>
    </w:rPr>
  </w:style>
  <w:style w:type="paragraph" w:customStyle="1" w:styleId="a2">
    <w:name w:val="纯文本"/>
    <w:basedOn w:val="Normal"/>
    <w:qFormat/>
    <w:rPr>
      <w:rFonts w:ascii="MS Mincho;ＭＳ 明朝" w:hAnsi="MS Mincho;ＭＳ 明朝" w:cs="Courier New"/>
      <w:szCs w:val="21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paragraph" w:styleId="ListParagraph">
    <w:name w:val="List Paragraph"/>
    <w:basedOn w:val="Normal"/>
    <w:uiPriority w:val="34"/>
    <w:qFormat/>
    <w:rsid w:val="00B61F67"/>
    <w:pPr>
      <w:ind w:left="720"/>
    </w:pPr>
  </w:style>
  <w:style w:type="character" w:styleId="Emphasis">
    <w:name w:val="Emphasis"/>
    <w:uiPriority w:val="20"/>
    <w:qFormat/>
    <w:rsid w:val="00B61F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1307</Words>
  <Characters>7452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Maosen Zeng</cp:lastModifiedBy>
  <cp:revision>10</cp:revision>
  <cp:lastPrinted>2025-11-28T14:31:00Z</cp:lastPrinted>
  <dcterms:created xsi:type="dcterms:W3CDTF">2020-01-19T16:15:00Z</dcterms:created>
  <dcterms:modified xsi:type="dcterms:W3CDTF">2026-06-17T07:22:00Z</dcterms:modified>
  <dc:language>en-US</dc:language>
</cp:coreProperties>
</file>