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  <w:r>
        <w:rPr>
          <w:rFonts w:ascii="微软雅黑" w:eastAsia="微软雅黑" w:hAnsi="微软雅黑" w:cs="微软雅黑"/>
          <w:b/>
          <w:color w:val="000000"/>
          <w:sz w:val="30"/>
        </w:rPr>
        <w:t>标签体系</w:t>
      </w:r>
    </w:p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主题标签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历史文化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南宋御街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德寿宫遗址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凤山水城门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名人故居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郁达夫故居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章太炎故居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民俗文化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小河直街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塘栖古镇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现代建筑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溜娃路线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少年宫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浙江自然博物院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自然景观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夜景与夜市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宗教文化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实用信息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艺术与博物馆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场景标签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Citywalk 路线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打卡地点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文化体验场所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户外自然场景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夜间场景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宗教场所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创意园区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运动健身场所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科普教育基地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受众标签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亲子家庭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老年群体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商务人士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宠物爱好者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情侣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学生党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游客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艺术爱好者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特殊兴趣标签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美食探索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拍照打卡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文化体验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休闲娱乐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购物消费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徒步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音乐爱好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历史、政治、军事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时间标签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四季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日间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夜间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全天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节日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周末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寒暑假</w:t>
      </w:r>
    </w:p>
    <w:p w:rsidR="00A77B3E">
      <w:pPr>
        <w:numPr>
          <w:ilvl w:val="0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