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7BA5" w14:textId="77777777" w:rsidR="00340AA1" w:rsidRPr="00340AA1" w:rsidRDefault="00D63BBC" w:rsidP="00340AA1">
      <w:pPr>
        <w:pStyle w:val="ListParagraph"/>
        <w:numPr>
          <w:ilvl w:val="0"/>
          <w:numId w:val="3"/>
        </w:numPr>
        <w:spacing w:line="360" w:lineRule="auto"/>
        <w:rPr>
          <w:rFonts w:ascii="Times New Roman" w:hAnsi="Times New Roman" w:cs="Times New Roman"/>
          <w:b/>
          <w:bCs/>
          <w:sz w:val="32"/>
          <w:szCs w:val="32"/>
        </w:rPr>
      </w:pPr>
      <w:r w:rsidRPr="00340AA1">
        <w:rPr>
          <w:rFonts w:ascii="Times New Roman" w:hAnsi="Times New Roman" w:cs="Times New Roman"/>
          <w:b/>
          <w:bCs/>
          <w:sz w:val="32"/>
          <w:szCs w:val="32"/>
        </w:rPr>
        <w:t>Introduction</w:t>
      </w:r>
    </w:p>
    <w:p w14:paraId="08C41687" w14:textId="68785151" w:rsidR="00340AA1" w:rsidRPr="00340AA1" w:rsidRDefault="00340AA1" w:rsidP="00340AA1">
      <w:pPr>
        <w:pStyle w:val="ListParagraph"/>
        <w:spacing w:line="360" w:lineRule="auto"/>
        <w:ind w:left="360"/>
        <w:rPr>
          <w:rFonts w:ascii="Times New Roman" w:hAnsi="Times New Roman" w:cs="Times New Roman"/>
          <w:b/>
          <w:bCs/>
          <w:sz w:val="32"/>
          <w:szCs w:val="32"/>
        </w:rPr>
      </w:pPr>
      <w:r w:rsidRPr="00340AA1">
        <w:rPr>
          <w:rFonts w:ascii="Times New Roman" w:hAnsi="Times New Roman" w:cs="Times New Roman"/>
          <w:b/>
          <w:bCs/>
        </w:rPr>
        <w:t xml:space="preserve">1.1 Background </w:t>
      </w:r>
    </w:p>
    <w:p w14:paraId="65A0E89F" w14:textId="50CC5161"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The integration of emerging markets into the global financial architecture has significantly reshaped the risk landscape, particularly in its cross-border nature. In this context, local asset prices cannot be seen as an isolated function of local corporate health but have become increasingly vulnerable to global liquidity cycles, external shocks, and risk management strategies in advanced economies. As a small and relatively more open economy, the FTSE/JSE Top 40 index becomes a critical point where these factors intersect. However, as </w:t>
      </w:r>
      <w:sdt>
        <w:sdtPr>
          <w:rPr>
            <w:rFonts w:ascii="Times New Roman" w:hAnsi="Times New Roman" w:cs="Times New Roman"/>
          </w:rPr>
          <w:id w:val="-417784955"/>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For02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Pr="00340AA1">
            <w:rPr>
              <w:rFonts w:ascii="Times New Roman" w:hAnsi="Times New Roman" w:cs="Times New Roman"/>
            </w:rPr>
            <w:fldChar w:fldCharType="end"/>
          </w:r>
        </w:sdtContent>
      </w:sdt>
      <w:r w:rsidRPr="00340AA1">
        <w:rPr>
          <w:rFonts w:ascii="Times New Roman" w:hAnsi="Times New Roman" w:cs="Times New Roman"/>
        </w:rPr>
        <w:t xml:space="preserve"> point out, the difficulty facing researchers is in disentangling interdependence, i.e. long-run structural linkages between markets, and contagion, i.e. a significant rise in co-movements in times of high stress.</w:t>
      </w:r>
    </w:p>
    <w:p w14:paraId="690902B6" w14:textId="77777777" w:rsidR="00340AA1" w:rsidRPr="00340AA1" w:rsidRDefault="00340AA1" w:rsidP="00340AA1">
      <w:pPr>
        <w:spacing w:line="360" w:lineRule="auto"/>
        <w:rPr>
          <w:rFonts w:ascii="Times New Roman" w:hAnsi="Times New Roman" w:cs="Times New Roman"/>
        </w:rPr>
      </w:pPr>
    </w:p>
    <w:p w14:paraId="19B9EFFD" w14:textId="462AD863"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The period 2015-2025 is a special case in the analysis of these dynamics. This is because it is the period in which there was a transition from the post-2008 recovery to an unprecedented event in the history of global financial systems, the COVID-19 pandemic, followed by a dislocated post-crisis world characterised by inflationary and geopolitical tensions. According to conventional theories of finance, grounded in the Efficient Market Hypothesis (EMH), markets should rationally process all available information. However, recent studies by ,</w:t>
      </w:r>
      <w:r w:rsidRPr="0027582F">
        <w:rPr>
          <w:rFonts w:ascii="Times New Roman" w:hAnsi="Times New Roman" w:cs="Times New Roman"/>
        </w:rPr>
        <w:t xml:space="preserve"> </w:t>
      </w:r>
      <w:sdt>
        <w:sdtPr>
          <w:rPr>
            <w:rFonts w:ascii="Times New Roman" w:hAnsi="Times New Roman" w:cs="Times New Roman"/>
          </w:rPr>
          <w:id w:val="2100831056"/>
          <w:citation/>
        </w:sdtPr>
        <w:sdtContent>
          <w:r w:rsidRPr="00340AA1">
            <w:rPr>
              <w:rFonts w:ascii="Times New Roman" w:hAnsi="Times New Roman" w:cs="Times New Roman"/>
            </w:rPr>
            <w:fldChar w:fldCharType="begin"/>
          </w:r>
          <w:r w:rsidRPr="00340AA1">
            <w:rPr>
              <w:rFonts w:ascii="Times New Roman" w:hAnsi="Times New Roman" w:cs="Times New Roman"/>
              <w:b/>
              <w:bCs/>
            </w:rPr>
            <w:instrText xml:space="preserve"> CITATION Yar22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(Yarovaya, Brzeszczyński , Goodell , Lucey, &amp; Marco Lau, 2022)</w:t>
          </w:r>
          <w:r w:rsidRPr="00340AA1">
            <w:rPr>
              <w:rFonts w:ascii="Times New Roman" w:hAnsi="Times New Roman" w:cs="Times New Roman"/>
            </w:rPr>
            <w:fldChar w:fldCharType="end"/>
          </w:r>
        </w:sdtContent>
      </w:sdt>
      <w:r w:rsidRPr="00340AA1">
        <w:rPr>
          <w:rFonts w:ascii="Times New Roman" w:hAnsi="Times New Roman" w:cs="Times New Roman"/>
        </w:rPr>
        <w:t xml:space="preserve"> and </w:t>
      </w:r>
      <w:sdt>
        <w:sdtPr>
          <w:rPr>
            <w:rFonts w:ascii="Times New Roman" w:hAnsi="Times New Roman" w:cs="Times New Roman"/>
          </w:rPr>
          <w:id w:val="1335184812"/>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Har201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(Haroon &amp; Rizvi, COVID-19: Media coverage and financial markets behavior—A sectoral inquiry, 2020)</w:t>
          </w:r>
          <w:r w:rsidRPr="00340AA1">
            <w:rPr>
              <w:rFonts w:ascii="Times New Roman" w:hAnsi="Times New Roman" w:cs="Times New Roman"/>
            </w:rPr>
            <w:fldChar w:fldCharType="end"/>
          </w:r>
        </w:sdtContent>
      </w:sdt>
      <w:r w:rsidRPr="00340AA1">
        <w:rPr>
          <w:rFonts w:ascii="Times New Roman" w:hAnsi="Times New Roman" w:cs="Times New Roman"/>
        </w:rPr>
        <w:t xml:space="preserve"> suggest that, in the context of global crises, information transmission is disrupted by behavioral factors. In this case, there is a multiplier effect in reactions to market information via media and public opinion, where negative information dominates positive information in its impact on markets.</w:t>
      </w:r>
    </w:p>
    <w:p w14:paraId="0D3877A8" w14:textId="77777777" w:rsidR="00340AA1" w:rsidRPr="00340AA1" w:rsidRDefault="00340AA1" w:rsidP="00340AA1">
      <w:pPr>
        <w:spacing w:line="360" w:lineRule="auto"/>
        <w:rPr>
          <w:rFonts w:ascii="Times New Roman" w:hAnsi="Times New Roman" w:cs="Times New Roman"/>
        </w:rPr>
      </w:pPr>
    </w:p>
    <w:p w14:paraId="4A532B17" w14:textId="5D22D8D4"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At the heart of this transmission process is the USD/ZAR exchange rate. In the context of South Africa, the Rand represents more than just a price; it represents a high beta measure for emerging market risk. As </w:t>
      </w:r>
      <w:sdt>
        <w:sdtPr>
          <w:rPr>
            <w:rFonts w:ascii="Times New Roman" w:hAnsi="Times New Roman" w:cs="Times New Roman"/>
          </w:rPr>
          <w:id w:val="-12493551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CITATION Placeholder1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(Van der Westhuizen, Van Eyden, &amp; Aye, 2022)</w:t>
          </w:r>
          <w:r w:rsidRPr="00340AA1">
            <w:rPr>
              <w:rFonts w:ascii="Times New Roman" w:hAnsi="Times New Roman" w:cs="Times New Roman"/>
            </w:rPr>
            <w:fldChar w:fldCharType="end"/>
          </w:r>
        </w:sdtContent>
      </w:sdt>
      <w:r w:rsidRPr="00340AA1">
        <w:rPr>
          <w:rFonts w:ascii="Times New Roman" w:hAnsi="Times New Roman" w:cs="Times New Roman"/>
        </w:rPr>
        <w:t xml:space="preserve"> have argued, the ZAR represents something more than simply a price. It represents an endogenous transmission mechanism for external shocks. In times of high global volatility, for instance, the ZAR represents a shock </w:t>
      </w:r>
      <w:r w:rsidRPr="00340AA1">
        <w:rPr>
          <w:rFonts w:ascii="Times New Roman" w:hAnsi="Times New Roman" w:cs="Times New Roman"/>
        </w:rPr>
        <w:lastRenderedPageBreak/>
        <w:t>transmitter for the real economy through depreciation, but at the same time, it represents a transmitter of volatility for financial assets. In this regard, there are complex inter-relationships between the S&amp;P 500 and the JSE, where the Rand actively influences the path of equity returns rather than simply reflecting them.</w:t>
      </w:r>
    </w:p>
    <w:p w14:paraId="73A900FF" w14:textId="77777777" w:rsidR="00340AA1" w:rsidRPr="00340AA1" w:rsidRDefault="00340AA1" w:rsidP="00340AA1">
      <w:pPr>
        <w:spacing w:line="360" w:lineRule="auto"/>
        <w:rPr>
          <w:rFonts w:ascii="Times New Roman" w:hAnsi="Times New Roman" w:cs="Times New Roman"/>
        </w:rPr>
      </w:pPr>
    </w:p>
    <w:p w14:paraId="35982934"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1.2 Contribution to the Literature</w:t>
      </w:r>
    </w:p>
    <w:p w14:paraId="29717F64" w14:textId="0B97F122"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This research makes several specific contributions to the ever-growing literature on financial contagion. First and foremost, it addresses a research gap in the literature by moving beyond the static linear correlation approach, which often fails to capture the finer nuances of the market. By employing a regime-dependent approach, this research seeks to bridge the research gap by making an empirical distinction between the normal interdependence in the pre-COVID era (2015-2019) and the contagion in the COVID-19 era. This research adds to the core debate initiated by </w:t>
      </w:r>
      <w:sdt>
        <w:sdtPr>
          <w:rPr>
            <w:rFonts w:ascii="Times New Roman" w:hAnsi="Times New Roman" w:cs="Times New Roman"/>
          </w:rPr>
          <w:id w:val="242233346"/>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Kin901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(King &amp; Wadhwani, Transmission of Volatility between Stock Markets, 1990)</w:t>
          </w:r>
          <w:r w:rsidRPr="00340AA1">
            <w:rPr>
              <w:rFonts w:ascii="Times New Roman" w:hAnsi="Times New Roman" w:cs="Times New Roman"/>
            </w:rPr>
            <w:fldChar w:fldCharType="end"/>
          </w:r>
        </w:sdtContent>
      </w:sdt>
      <w:r w:rsidRPr="00340AA1">
        <w:rPr>
          <w:rFonts w:ascii="Times New Roman" w:hAnsi="Times New Roman" w:cs="Times New Roman"/>
        </w:rPr>
        <w:t xml:space="preserve"> on the roles of psychological and fundamental factors in market crashes.</w:t>
      </w:r>
    </w:p>
    <w:p w14:paraId="0230EE75" w14:textId="77777777" w:rsidR="00340AA1" w:rsidRPr="00340AA1" w:rsidRDefault="00340AA1" w:rsidP="00340AA1">
      <w:pPr>
        <w:spacing w:line="360" w:lineRule="auto"/>
        <w:rPr>
          <w:rFonts w:ascii="Times New Roman" w:hAnsi="Times New Roman" w:cs="Times New Roman"/>
        </w:rPr>
      </w:pPr>
    </w:p>
    <w:p w14:paraId="2A38AACA" w14:textId="3E5D59B9"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Secondly, the paper contributes to the transmission channel discourse through its endogenous specification of the USD/ZAR exchange rate. Most existing emerging markets literature treats the exchange rate as an exogenous peripheral variable, whereas our study incorporates the bilateral dependencies highlighted by </w:t>
      </w:r>
      <w:sdt>
        <w:sdtPr>
          <w:rPr>
            <w:rFonts w:ascii="Times New Roman" w:hAnsi="Times New Roman" w:cs="Times New Roman"/>
          </w:rPr>
          <w:id w:val="994538199"/>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Upp26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(Caballero &amp; Upper, 2026)</w:t>
          </w:r>
          <w:r w:rsidRPr="00340AA1">
            <w:rPr>
              <w:rFonts w:ascii="Times New Roman" w:hAnsi="Times New Roman" w:cs="Times New Roman"/>
            </w:rPr>
            <w:fldChar w:fldCharType="end"/>
          </w:r>
        </w:sdtContent>
      </w:sdt>
      <w:r w:rsidRPr="00340AA1">
        <w:rPr>
          <w:rFonts w:ascii="Times New Roman" w:hAnsi="Times New Roman" w:cs="Times New Roman"/>
        </w:rPr>
        <w:t>. By analysing how the ZAR channel transmits shocks across different regimes, we aim to refine our understanding of the South African market's vulnerability to global risk-off events.</w:t>
      </w:r>
    </w:p>
    <w:p w14:paraId="5AFCC846" w14:textId="77777777" w:rsidR="00340AA1" w:rsidRPr="00340AA1" w:rsidRDefault="00340AA1" w:rsidP="00340AA1">
      <w:pPr>
        <w:spacing w:line="360" w:lineRule="auto"/>
        <w:rPr>
          <w:rFonts w:ascii="Times New Roman" w:hAnsi="Times New Roman" w:cs="Times New Roman"/>
        </w:rPr>
      </w:pPr>
    </w:p>
    <w:p w14:paraId="2E9BFB73" w14:textId="77777777"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Finally, this research closes the gap between traditional econometric analysis and modern computational finance. By comparing nonlinear time-series techniques, such as Markov-Switching DCC-GARCH, with machine learning methods, such as Random Forests and Bayesian Ridge, this research adds to the existing literature on predictive robustness in unstable financial environments. This two-model approach will enable us to test for congruence between </w:t>
      </w:r>
      <w:r w:rsidRPr="00340AA1">
        <w:rPr>
          <w:rFonts w:ascii="Times New Roman" w:hAnsi="Times New Roman" w:cs="Times New Roman"/>
        </w:rPr>
        <w:lastRenderedPageBreak/>
        <w:t>traditional structural breaks and algorithmic feature importance in a comprehensive analysis of market stability.</w:t>
      </w:r>
    </w:p>
    <w:p w14:paraId="310A3256" w14:textId="77777777" w:rsidR="00340AA1" w:rsidRPr="00EC6478" w:rsidRDefault="00340AA1" w:rsidP="00340AA1">
      <w:pPr>
        <w:spacing w:line="360" w:lineRule="auto"/>
        <w:rPr>
          <w:rFonts w:ascii="Times New Roman" w:hAnsi="Times New Roman" w:cs="Times New Roman"/>
        </w:rPr>
      </w:pPr>
    </w:p>
    <w:p w14:paraId="6F39D2A0"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1.3 Research Questions</w:t>
      </w:r>
    </w:p>
    <w:p w14:paraId="1852259C" w14:textId="669C459C"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Given the growing trends in global financial integration, and the periodic occurrences of market volatility, the present study attempts to explore the nature and evolution of financial contagion between the United States and South Africa </w:t>
      </w:r>
      <w:sdt>
        <w:sdtPr>
          <w:rPr>
            <w:rFonts w:ascii="Times New Roman" w:hAnsi="Times New Roman" w:cs="Times New Roman"/>
          </w:rPr>
          <w:id w:val="-1439517748"/>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Abo15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(Abouwafia &amp; Chambers, 2015)</w:t>
          </w:r>
          <w:r w:rsidRPr="00340AA1">
            <w:rPr>
              <w:rFonts w:ascii="Times New Roman" w:hAnsi="Times New Roman" w:cs="Times New Roman"/>
            </w:rPr>
            <w:fldChar w:fldCharType="end"/>
          </w:r>
        </w:sdtContent>
      </w:sdt>
      <w:r w:rsidRPr="00340AA1">
        <w:rPr>
          <w:rFonts w:ascii="Times New Roman" w:hAnsi="Times New Roman" w:cs="Times New Roman"/>
        </w:rPr>
        <w:t xml:space="preserve">. Specifically, the paper explores the nature and evolution of contagion in the context of different market regimes, namely the normal regime (2015-2019), the turbulent regime marked by the COVID-19 crisis, and the post-crisis regime (2022-2025), as in earlier studies on contagion in African </w:t>
      </w:r>
      <w:sdt>
        <w:sdtPr>
          <w:rPr>
            <w:rFonts w:ascii="Times New Roman" w:hAnsi="Times New Roman" w:cs="Times New Roman"/>
          </w:rPr>
          <w:id w:val="1887218973"/>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Eme21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(Emenike, 2021)</w:t>
          </w:r>
          <w:r w:rsidRPr="00340AA1">
            <w:rPr>
              <w:rFonts w:ascii="Times New Roman" w:hAnsi="Times New Roman" w:cs="Times New Roman"/>
            </w:rPr>
            <w:fldChar w:fldCharType="end"/>
          </w:r>
        </w:sdtContent>
      </w:sdt>
      <w:r w:rsidRPr="00340AA1">
        <w:rPr>
          <w:rFonts w:ascii="Times New Roman" w:hAnsi="Times New Roman" w:cs="Times New Roman"/>
        </w:rPr>
        <w:t xml:space="preserve">, the study investigates contagion between the S&amp;P 500 and FTSE/JSE Top 40 indices. </w:t>
      </w:r>
      <w:sdt>
        <w:sdtPr>
          <w:rPr>
            <w:rFonts w:ascii="Times New Roman" w:hAnsi="Times New Roman" w:cs="Times New Roman"/>
          </w:rPr>
          <w:id w:val="-258217563"/>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Mud23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(Mudiangombe &amp; Mwamba, 2023)</w:t>
          </w:r>
          <w:r w:rsidRPr="00340AA1">
            <w:rPr>
              <w:rFonts w:ascii="Times New Roman" w:hAnsi="Times New Roman" w:cs="Times New Roman"/>
            </w:rPr>
            <w:fldChar w:fldCharType="end"/>
          </w:r>
        </w:sdtContent>
      </w:sdt>
      <w:r w:rsidRPr="00340AA1">
        <w:rPr>
          <w:rFonts w:ascii="Times New Roman" w:hAnsi="Times New Roman" w:cs="Times New Roman"/>
        </w:rPr>
        <w:t xml:space="preserve">, with a special reference to the influence of the USD/ZAR exchange rate as a channel for contagion in the context of the findings in </w:t>
      </w:r>
      <w:sdt>
        <w:sdtPr>
          <w:rPr>
            <w:rFonts w:ascii="Times New Roman" w:hAnsi="Times New Roman" w:cs="Times New Roman"/>
          </w:rPr>
          <w:id w:val="-209454621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CITATION Upp26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(Caballero &amp; Upper, 2026)</w:t>
          </w:r>
          <w:r w:rsidRPr="00340AA1">
            <w:rPr>
              <w:rFonts w:ascii="Times New Roman" w:hAnsi="Times New Roman" w:cs="Times New Roman"/>
            </w:rPr>
            <w:fldChar w:fldCharType="end"/>
          </w:r>
        </w:sdtContent>
      </w:sdt>
      <w:r w:rsidRPr="00340AA1">
        <w:rPr>
          <w:rFonts w:ascii="Times New Roman" w:hAnsi="Times New Roman" w:cs="Times New Roman"/>
        </w:rPr>
        <w:t xml:space="preserve"> and </w:t>
      </w:r>
      <w:sdt>
        <w:sdtPr>
          <w:rPr>
            <w:rFonts w:ascii="Times New Roman" w:hAnsi="Times New Roman" w:cs="Times New Roman"/>
          </w:rPr>
          <w:id w:val="117753550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Bra18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(Brandao-Marques, Gelos, &amp; Melgar , 2018)</w:t>
          </w:r>
          <w:r w:rsidRPr="00340AA1">
            <w:rPr>
              <w:rFonts w:ascii="Times New Roman" w:hAnsi="Times New Roman" w:cs="Times New Roman"/>
            </w:rPr>
            <w:fldChar w:fldCharType="end"/>
          </w:r>
        </w:sdtContent>
      </w:sdt>
      <w:r w:rsidRPr="00340AA1">
        <w:rPr>
          <w:rFonts w:ascii="Times New Roman" w:hAnsi="Times New Roman" w:cs="Times New Roman"/>
        </w:rPr>
        <w:t xml:space="preserve"> on the role of exchange rate in the transmission of equity market shocks across countries. Specifically, this study aims to test whether cross-market interlinkages are a result of crisis-related contagion or a result of structural interdependencies, a debate that has been central to financial contagion literature since </w:t>
      </w:r>
      <w:sdt>
        <w:sdtPr>
          <w:rPr>
            <w:rFonts w:ascii="Times New Roman" w:hAnsi="Times New Roman" w:cs="Times New Roman"/>
          </w:rPr>
          <w:id w:val="8674358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For02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Pr="00340AA1">
            <w:rPr>
              <w:rFonts w:ascii="Times New Roman" w:hAnsi="Times New Roman" w:cs="Times New Roman"/>
            </w:rPr>
            <w:fldChar w:fldCharType="end"/>
          </w:r>
        </w:sdtContent>
      </w:sdt>
      <w:r w:rsidRPr="00340AA1">
        <w:rPr>
          <w:rFonts w:ascii="Times New Roman" w:hAnsi="Times New Roman" w:cs="Times New Roman"/>
        </w:rPr>
        <w:t xml:space="preserve"> and further developed by </w:t>
      </w:r>
      <w:sdt>
        <w:sdtPr>
          <w:rPr>
            <w:rFonts w:ascii="Times New Roman" w:hAnsi="Times New Roman" w:cs="Times New Roman"/>
          </w:rPr>
          <w:id w:val="2121718308"/>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Cor05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(Corsetti , Pericoli, &amp; Sbracia, ‘Some contagion, some interdependence’: More pitfalls in tests of financial contagion, 2005)</w:t>
          </w:r>
          <w:r w:rsidRPr="00340AA1">
            <w:rPr>
              <w:rFonts w:ascii="Times New Roman" w:hAnsi="Times New Roman" w:cs="Times New Roman"/>
            </w:rPr>
            <w:fldChar w:fldCharType="end"/>
          </w:r>
        </w:sdtContent>
      </w:sdt>
      <w:r w:rsidRPr="00340AA1">
        <w:rPr>
          <w:rFonts w:ascii="Times New Roman" w:hAnsi="Times New Roman" w:cs="Times New Roman"/>
        </w:rPr>
        <w:t xml:space="preserve">; and to examine how the pattern of volatility and spillovers varies in different regimes, a debate that has been revived in recent literature by </w:t>
      </w:r>
      <w:sdt>
        <w:sdtPr>
          <w:rPr>
            <w:rFonts w:ascii="Times New Roman" w:hAnsi="Times New Roman" w:cs="Times New Roman"/>
          </w:rPr>
          <w:id w:val="-1910838154"/>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Zha20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(Zhang, Hu, &amp; Ji, 2020)</w:t>
          </w:r>
          <w:r w:rsidRPr="00340AA1">
            <w:rPr>
              <w:rFonts w:ascii="Times New Roman" w:hAnsi="Times New Roman" w:cs="Times New Roman"/>
            </w:rPr>
            <w:fldChar w:fldCharType="end"/>
          </w:r>
        </w:sdtContent>
      </w:sdt>
      <w:r w:rsidRPr="00340AA1">
        <w:rPr>
          <w:rFonts w:ascii="Times New Roman" w:hAnsi="Times New Roman" w:cs="Times New Roman"/>
        </w:rPr>
        <w:t xml:space="preserve"> and </w:t>
      </w:r>
      <w:sdt>
        <w:sdtPr>
          <w:rPr>
            <w:rFonts w:ascii="Times New Roman" w:hAnsi="Times New Roman" w:cs="Times New Roman"/>
          </w:rPr>
          <w:id w:val="1518423526"/>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Ben18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(Bensaïda, Litimi, &amp; Abdallah, 2018)</w:t>
          </w:r>
          <w:r w:rsidRPr="00340AA1">
            <w:rPr>
              <w:rFonts w:ascii="Times New Roman" w:hAnsi="Times New Roman" w:cs="Times New Roman"/>
            </w:rPr>
            <w:fldChar w:fldCharType="end"/>
          </w:r>
        </w:sdtContent>
      </w:sdt>
      <w:r w:rsidRPr="00340AA1">
        <w:rPr>
          <w:rFonts w:ascii="Times New Roman" w:hAnsi="Times New Roman" w:cs="Times New Roman"/>
        </w:rPr>
        <w:t>. Overall, this study provides a comprehensive framework for understanding how financial shocks emanating from the US market are transmitted to the South African market.</w:t>
      </w:r>
    </w:p>
    <w:p w14:paraId="2279914A" w14:textId="77777777" w:rsidR="00340AA1" w:rsidRPr="00EC6478" w:rsidRDefault="00340AA1" w:rsidP="00340AA1">
      <w:pPr>
        <w:spacing w:line="360" w:lineRule="auto"/>
        <w:rPr>
          <w:rFonts w:ascii="Times New Roman" w:hAnsi="Times New Roman" w:cs="Times New Roman"/>
        </w:rPr>
      </w:pPr>
    </w:p>
    <w:p w14:paraId="2CC77F87"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1.4 Research Hypothesis</w:t>
      </w:r>
    </w:p>
    <w:p w14:paraId="7C7427FE" w14:textId="77777777"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In line with the theoretical framework of regime-dependent spillovers and the investor behaviours that affect financial contagion, this study tests the following hypotheses:</w:t>
      </w:r>
    </w:p>
    <w:p w14:paraId="0F2F4632" w14:textId="77777777" w:rsidR="00340AA1" w:rsidRPr="00340AA1" w:rsidRDefault="00340AA1" w:rsidP="00340AA1">
      <w:pPr>
        <w:pStyle w:val="ListParagraph"/>
        <w:numPr>
          <w:ilvl w:val="0"/>
          <w:numId w:val="8"/>
        </w:numPr>
        <w:spacing w:line="360" w:lineRule="auto"/>
        <w:rPr>
          <w:rFonts w:ascii="Times New Roman" w:eastAsiaTheme="minorEastAsia" w:hAnsi="Times New Roman" w:cs="Times New Roman"/>
        </w:rPr>
      </w:pPr>
      <w:r w:rsidRPr="00340AA1">
        <w:rPr>
          <w:rFonts w:ascii="Times New Roman" w:hAnsi="Times New Roman" w:cs="Times New Roman"/>
        </w:rPr>
        <w:t>The Regime-Dependent Contagion Effect</w:t>
      </w:r>
    </w:p>
    <w:p w14:paraId="23A496A7" w14:textId="79B07BA1" w:rsidR="00340AA1" w:rsidRPr="00340AA1" w:rsidRDefault="00340AA1" w:rsidP="00340AA1">
      <w:pPr>
        <w:spacing w:line="360" w:lineRule="auto"/>
        <w:ind w:left="360"/>
        <w:rPr>
          <w:rFonts w:ascii="Times New Roman" w:hAnsi="Times New Roman" w:cs="Times New Roman"/>
        </w:rPr>
      </w:pPr>
      <w:r w:rsidRPr="00340AA1">
        <w:rPr>
          <w:rFonts w:ascii="Times New Roman" w:hAnsi="Times New Roman" w:cs="Times New Roman"/>
        </w:rPr>
        <w:lastRenderedPageBreak/>
        <w:t>As per the literature, the relationship between countries changes over time. This hypothesis will be to determine whether it applies to the USA-RSA context</w:t>
      </w:r>
      <w:sdt>
        <w:sdtPr>
          <w:rPr>
            <w:rFonts w:ascii="Times New Roman" w:hAnsi="Times New Roman" w:cs="Times New Roman"/>
          </w:rPr>
          <w:id w:val="-1134331532"/>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Ade21 \l 1033 </w:instrText>
          </w:r>
          <w:r w:rsidRPr="00340AA1">
            <w:rPr>
              <w:rFonts w:ascii="Times New Roman" w:hAnsi="Times New Roman" w:cs="Times New Roman"/>
            </w:rPr>
            <w:fldChar w:fldCharType="separate"/>
          </w:r>
          <w:r w:rsidR="009E5B67">
            <w:rPr>
              <w:rFonts w:ascii="Times New Roman" w:hAnsi="Times New Roman" w:cs="Times New Roman"/>
              <w:noProof/>
            </w:rPr>
            <w:t xml:space="preserve"> </w:t>
          </w:r>
          <w:r w:rsidR="009E5B67" w:rsidRPr="009E5B67">
            <w:rPr>
              <w:rFonts w:ascii="Times New Roman" w:hAnsi="Times New Roman" w:cs="Times New Roman"/>
              <w:noProof/>
            </w:rPr>
            <w:t>(Aderajo &amp; Olaniran, 2021)</w:t>
          </w:r>
          <w:r w:rsidRPr="00340AA1">
            <w:rPr>
              <w:rFonts w:ascii="Times New Roman" w:hAnsi="Times New Roman" w:cs="Times New Roman"/>
            </w:rPr>
            <w:fldChar w:fldCharType="end"/>
          </w:r>
        </w:sdtContent>
      </w:sdt>
      <w:r w:rsidRPr="00340AA1">
        <w:rPr>
          <w:rFonts w:ascii="Times New Roman" w:hAnsi="Times New Roman" w:cs="Times New Roman"/>
        </w:rPr>
        <w:t>.</w:t>
      </w:r>
    </w:p>
    <w:p w14:paraId="7C3437C4" w14:textId="77777777" w:rsidR="00340AA1" w:rsidRPr="00340AA1" w:rsidRDefault="00340AA1" w:rsidP="00340AA1">
      <w:pPr>
        <w:spacing w:line="360" w:lineRule="auto"/>
        <w:ind w:left="720"/>
        <w:rPr>
          <w:rFonts w:ascii="Times New Roman" w:eastAsiaTheme="minorEastAsia" w:hAnsi="Times New Roman" w:cs="Times New Roman"/>
          <w:sz w:val="20"/>
          <w:szCs w:val="20"/>
        </w:rPr>
      </w:pPr>
      <w:r w:rsidRPr="00340AA1">
        <w:rPr>
          <w:rFonts w:ascii="Times New Roman" w:hAnsi="Times New Roman" w:cs="Times New Roman"/>
          <w:sz w:val="20"/>
          <w:szCs w:val="20"/>
        </w:rPr>
        <w:t>Null Hypothesis (</w:t>
      </w: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r>
          <w:rPr>
            <w:rFonts w:ascii="Cambria Math" w:hAnsi="Cambria Math" w:cs="Times New Roman"/>
            <w:sz w:val="20"/>
            <w:szCs w:val="20"/>
          </w:rPr>
          <m:t xml:space="preserve">): </m:t>
        </m:r>
      </m:oMath>
      <w:r w:rsidRPr="00340AA1">
        <w:rPr>
          <w:rFonts w:ascii="Times New Roman" w:eastAsiaTheme="minorEastAsia" w:hAnsi="Times New Roman" w:cs="Times New Roman"/>
          <w:sz w:val="20"/>
          <w:szCs w:val="20"/>
        </w:rPr>
        <w:t>No regime-dependent contagion effect</w:t>
      </w:r>
    </w:p>
    <w:p w14:paraId="7A4C55C2" w14:textId="77777777" w:rsidR="00340AA1" w:rsidRPr="00340AA1" w:rsidRDefault="00340AA1" w:rsidP="00340AA1">
      <w:pPr>
        <w:spacing w:line="360" w:lineRule="auto"/>
        <w:ind w:left="720"/>
        <w:rPr>
          <w:rFonts w:ascii="Times New Roman" w:eastAsiaTheme="minorEastAsia" w:hAnsi="Times New Roman" w:cs="Times New Roman"/>
          <w:sz w:val="20"/>
          <w:szCs w:val="20"/>
        </w:rPr>
      </w:pPr>
      <w:r w:rsidRPr="00340AA1">
        <w:rPr>
          <w:rFonts w:ascii="Times New Roman" w:eastAsiaTheme="minorEastAsia" w:hAnsi="Times New Roman" w:cs="Times New Roman"/>
          <w:sz w:val="20"/>
          <w:szCs w:val="20"/>
        </w:rPr>
        <w:t>Alternative Hypothesis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oMath>
      <w:r w:rsidRPr="00340AA1">
        <w:rPr>
          <w:rFonts w:ascii="Times New Roman" w:eastAsiaTheme="minorEastAsia" w:hAnsi="Times New Roman" w:cs="Times New Roman"/>
          <w:sz w:val="20"/>
          <w:szCs w:val="20"/>
        </w:rPr>
        <w:t xml:space="preserve"> Regime- dependent contagion exists</w:t>
      </w:r>
    </w:p>
    <w:p w14:paraId="5D82E18B" w14:textId="77777777" w:rsidR="00340AA1" w:rsidRPr="00340AA1" w:rsidRDefault="00340AA1" w:rsidP="00340AA1">
      <w:pPr>
        <w:spacing w:line="360" w:lineRule="auto"/>
        <w:ind w:left="720"/>
        <w:rPr>
          <w:rFonts w:ascii="Times New Roman" w:hAnsi="Times New Roman" w:cs="Times New Roman"/>
        </w:rPr>
      </w:pPr>
    </w:p>
    <w:p w14:paraId="01138B42" w14:textId="77777777" w:rsidR="00340AA1" w:rsidRPr="00340AA1" w:rsidRDefault="00340AA1" w:rsidP="00340AA1">
      <w:pPr>
        <w:pStyle w:val="ListParagraph"/>
        <w:numPr>
          <w:ilvl w:val="0"/>
          <w:numId w:val="8"/>
        </w:numPr>
        <w:spacing w:line="360" w:lineRule="auto"/>
        <w:rPr>
          <w:rFonts w:ascii="Times New Roman" w:hAnsi="Times New Roman" w:cs="Times New Roman"/>
        </w:rPr>
      </w:pPr>
      <w:r w:rsidRPr="00340AA1">
        <w:rPr>
          <w:rFonts w:ascii="Times New Roman" w:hAnsi="Times New Roman" w:cs="Times New Roman"/>
        </w:rPr>
        <w:t>The Endogenous Currency Transmission Channel</w:t>
      </w:r>
    </w:p>
    <w:p w14:paraId="65D21CD2" w14:textId="6B228CF9" w:rsidR="00340AA1" w:rsidRPr="00340AA1" w:rsidRDefault="00340AA1" w:rsidP="00340AA1">
      <w:pPr>
        <w:spacing w:line="360" w:lineRule="auto"/>
        <w:ind w:left="360"/>
        <w:rPr>
          <w:rFonts w:ascii="Times New Roman" w:hAnsi="Times New Roman" w:cs="Times New Roman"/>
        </w:rPr>
      </w:pPr>
      <w:r w:rsidRPr="00340AA1">
        <w:rPr>
          <w:rFonts w:ascii="Times New Roman" w:hAnsi="Times New Roman" w:cs="Times New Roman"/>
        </w:rPr>
        <w:t>Normally, in times of crisis, investors react by investing more in liquid assets and taking money out of more volatile stocks. These simultaneous movements cause the exchange rate to act as a shock amplifier. This study aims to test whether the USD/ZAR exchange rate also reacts similarly</w:t>
      </w:r>
      <w:sdt>
        <w:sdtPr>
          <w:rPr>
            <w:rFonts w:ascii="Times New Roman" w:hAnsi="Times New Roman" w:cs="Times New Roman"/>
          </w:rPr>
          <w:id w:val="-1536578408"/>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Upp26 \l 1033 </w:instrText>
          </w:r>
          <w:r w:rsidRPr="00340AA1">
            <w:rPr>
              <w:rFonts w:ascii="Times New Roman" w:hAnsi="Times New Roman" w:cs="Times New Roman"/>
            </w:rPr>
            <w:fldChar w:fldCharType="separate"/>
          </w:r>
          <w:r w:rsidR="009E5B67">
            <w:rPr>
              <w:rFonts w:ascii="Times New Roman" w:hAnsi="Times New Roman" w:cs="Times New Roman"/>
              <w:noProof/>
            </w:rPr>
            <w:t xml:space="preserve"> </w:t>
          </w:r>
          <w:r w:rsidR="009E5B67" w:rsidRPr="009E5B67">
            <w:rPr>
              <w:rFonts w:ascii="Times New Roman" w:hAnsi="Times New Roman" w:cs="Times New Roman"/>
              <w:noProof/>
            </w:rPr>
            <w:t>(Caballero &amp; Upper, 2026)</w:t>
          </w:r>
          <w:r w:rsidRPr="00340AA1">
            <w:rPr>
              <w:rFonts w:ascii="Times New Roman" w:hAnsi="Times New Roman" w:cs="Times New Roman"/>
            </w:rPr>
            <w:fldChar w:fldCharType="end"/>
          </w:r>
        </w:sdtContent>
      </w:sdt>
      <w:r w:rsidRPr="00340AA1">
        <w:rPr>
          <w:rFonts w:ascii="Times New Roman" w:hAnsi="Times New Roman" w:cs="Times New Roman"/>
        </w:rPr>
        <w:t>.</w:t>
      </w:r>
    </w:p>
    <w:p w14:paraId="48A886D2" w14:textId="77777777" w:rsidR="00340AA1" w:rsidRPr="00340AA1" w:rsidRDefault="00340AA1" w:rsidP="00340AA1">
      <w:pPr>
        <w:spacing w:line="360" w:lineRule="auto"/>
        <w:ind w:left="720"/>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r>
          <w:rPr>
            <w:rFonts w:ascii="Cambria Math" w:hAnsi="Cambria Math" w:cs="Times New Roman"/>
            <w:sz w:val="20"/>
            <w:szCs w:val="20"/>
          </w:rPr>
          <m:t xml:space="preserve">: </m:t>
        </m:r>
      </m:oMath>
      <w:r w:rsidRPr="00340AA1">
        <w:rPr>
          <w:rFonts w:ascii="Times New Roman" w:eastAsiaTheme="minorEastAsia" w:hAnsi="Times New Roman" w:cs="Times New Roman"/>
          <w:sz w:val="20"/>
          <w:szCs w:val="20"/>
        </w:rPr>
        <w:t>The USD/ZAR exchange rate does not act as a shock amplifier and transmitter</w:t>
      </w:r>
    </w:p>
    <w:p w14:paraId="04490620" w14:textId="77777777" w:rsidR="00340AA1" w:rsidRPr="00340AA1" w:rsidRDefault="00340AA1" w:rsidP="00340AA1">
      <w:pPr>
        <w:spacing w:line="360" w:lineRule="auto"/>
        <w:ind w:left="720"/>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 xml:space="preserve">: </m:t>
        </m:r>
      </m:oMath>
      <w:r w:rsidRPr="00340AA1">
        <w:rPr>
          <w:rFonts w:ascii="Times New Roman" w:eastAsiaTheme="minorEastAsia" w:hAnsi="Times New Roman" w:cs="Times New Roman"/>
          <w:sz w:val="20"/>
          <w:szCs w:val="20"/>
        </w:rPr>
        <w:t>The USD/ZAR exchange rate acts as a shock amplifier and transmitter</w:t>
      </w:r>
    </w:p>
    <w:p w14:paraId="007CB951" w14:textId="77777777" w:rsidR="00340AA1" w:rsidRPr="00340AA1" w:rsidRDefault="00340AA1" w:rsidP="00340AA1">
      <w:pPr>
        <w:spacing w:line="360" w:lineRule="auto"/>
        <w:ind w:left="720"/>
        <w:rPr>
          <w:rFonts w:ascii="Times New Roman" w:hAnsi="Times New Roman" w:cs="Times New Roman"/>
        </w:rPr>
      </w:pPr>
      <w:r w:rsidRPr="00340AA1">
        <w:rPr>
          <w:rFonts w:ascii="Times New Roman" w:eastAsiaTheme="minorEastAsia" w:hAnsi="Times New Roman" w:cs="Times New Roman"/>
        </w:rPr>
        <w:t xml:space="preserve"> </w:t>
      </w:r>
    </w:p>
    <w:p w14:paraId="4BDE1B09" w14:textId="77777777" w:rsidR="00340AA1" w:rsidRPr="00340AA1" w:rsidRDefault="00340AA1" w:rsidP="00340AA1">
      <w:pPr>
        <w:pStyle w:val="ListParagraph"/>
        <w:numPr>
          <w:ilvl w:val="0"/>
          <w:numId w:val="8"/>
        </w:numPr>
        <w:spacing w:line="360" w:lineRule="auto"/>
        <w:rPr>
          <w:rFonts w:ascii="Times New Roman" w:hAnsi="Times New Roman" w:cs="Times New Roman"/>
        </w:rPr>
      </w:pPr>
      <w:r w:rsidRPr="00340AA1">
        <w:rPr>
          <w:rFonts w:ascii="Times New Roman" w:hAnsi="Times New Roman" w:cs="Times New Roman"/>
          <w:b/>
          <w:bCs/>
        </w:rPr>
        <w:t>Asymmetric Volatility Spillover and Persistence</w:t>
      </w:r>
      <w:r w:rsidRPr="00340AA1">
        <w:rPr>
          <w:rFonts w:ascii="Times New Roman" w:hAnsi="Times New Roman" w:cs="Times New Roman"/>
        </w:rPr>
        <w:t xml:space="preserve"> </w:t>
      </w:r>
    </w:p>
    <w:p w14:paraId="22C01478" w14:textId="6557B5DD" w:rsidR="00340AA1" w:rsidRPr="00340AA1" w:rsidRDefault="00340AA1" w:rsidP="00340AA1">
      <w:pPr>
        <w:spacing w:line="360" w:lineRule="auto"/>
        <w:ind w:left="360"/>
        <w:rPr>
          <w:rFonts w:ascii="Times New Roman" w:hAnsi="Times New Roman" w:cs="Times New Roman"/>
        </w:rPr>
      </w:pPr>
      <w:r w:rsidRPr="00340AA1">
        <w:rPr>
          <w:rFonts w:ascii="Times New Roman" w:hAnsi="Times New Roman" w:cs="Times New Roman"/>
        </w:rPr>
        <w:t xml:space="preserve">It has been observed that information transmission between S&amp;P 500 and the JSE top 40 has asymmetric behaviours. Studies have shown that negative shocks from the US markets cause more investor reaction in RSA markets than positive shocks </w:t>
      </w:r>
      <w:sdt>
        <w:sdtPr>
          <w:rPr>
            <w:rFonts w:ascii="Times New Roman" w:hAnsi="Times New Roman" w:cs="Times New Roman"/>
          </w:rPr>
          <w:id w:val="-1580055226"/>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Mud23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(Mudiangombe &amp; Mwamba, 2023)</w:t>
          </w:r>
          <w:r w:rsidRPr="00340AA1">
            <w:rPr>
              <w:rFonts w:ascii="Times New Roman" w:hAnsi="Times New Roman" w:cs="Times New Roman"/>
            </w:rPr>
            <w:fldChar w:fldCharType="end"/>
          </w:r>
        </w:sdtContent>
      </w:sdt>
      <w:r w:rsidRPr="00340AA1">
        <w:rPr>
          <w:rFonts w:ascii="Times New Roman" w:hAnsi="Times New Roman" w:cs="Times New Roman"/>
        </w:rPr>
        <w:t>.</w:t>
      </w:r>
    </w:p>
    <w:p w14:paraId="3DDE09A0" w14:textId="77777777" w:rsidR="00340AA1" w:rsidRPr="00340AA1" w:rsidRDefault="00340AA1" w:rsidP="00340AA1">
      <w:pPr>
        <w:spacing w:line="360" w:lineRule="auto"/>
        <w:ind w:left="720"/>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0</m:t>
            </m:r>
          </m:sub>
        </m:sSub>
        <m:r>
          <w:rPr>
            <w:rFonts w:ascii="Cambria Math" w:hAnsi="Cambria Math" w:cs="Times New Roman"/>
            <w:sz w:val="20"/>
            <w:szCs w:val="20"/>
          </w:rPr>
          <m:t>:</m:t>
        </m:r>
      </m:oMath>
      <w:r w:rsidRPr="00340AA1">
        <w:rPr>
          <w:rFonts w:ascii="Times New Roman" w:eastAsiaTheme="minorEastAsia" w:hAnsi="Times New Roman" w:cs="Times New Roman"/>
          <w:sz w:val="20"/>
          <w:szCs w:val="20"/>
        </w:rPr>
        <w:t xml:space="preserve"> No asymmetric spillovers between US and RSA markets</w:t>
      </w:r>
    </w:p>
    <w:p w14:paraId="0A24044A" w14:textId="77777777" w:rsidR="00340AA1" w:rsidRPr="00340AA1" w:rsidRDefault="00340AA1" w:rsidP="00340AA1">
      <w:pPr>
        <w:spacing w:line="360" w:lineRule="auto"/>
        <w:ind w:left="720"/>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1</m:t>
            </m:r>
          </m:sub>
        </m:sSub>
        <m:r>
          <w:rPr>
            <w:rFonts w:ascii="Cambria Math" w:hAnsi="Cambria Math" w:cs="Times New Roman"/>
            <w:sz w:val="20"/>
            <w:szCs w:val="20"/>
          </w:rPr>
          <m:t>:</m:t>
        </m:r>
      </m:oMath>
      <w:r w:rsidRPr="00340AA1">
        <w:rPr>
          <w:rFonts w:ascii="Times New Roman" w:eastAsiaTheme="minorEastAsia" w:hAnsi="Times New Roman" w:cs="Times New Roman"/>
          <w:sz w:val="20"/>
          <w:szCs w:val="20"/>
        </w:rPr>
        <w:t xml:space="preserve"> Asymmetric spillovers between US and RSA markets exist</w:t>
      </w:r>
    </w:p>
    <w:p w14:paraId="22C53119" w14:textId="77777777" w:rsidR="00340AA1" w:rsidRPr="00EC6478" w:rsidRDefault="00340AA1" w:rsidP="00340AA1">
      <w:pPr>
        <w:spacing w:line="360" w:lineRule="auto"/>
        <w:ind w:left="720"/>
        <w:rPr>
          <w:rFonts w:ascii="Times New Roman" w:hAnsi="Times New Roman" w:cs="Times New Roman"/>
          <w:sz w:val="20"/>
          <w:szCs w:val="20"/>
        </w:rPr>
      </w:pPr>
    </w:p>
    <w:p w14:paraId="01F957FD"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1.5 Research Design</w:t>
      </w:r>
    </w:p>
    <w:p w14:paraId="55B13876" w14:textId="6AC78AAC"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Given the high frequency of the data used, a quantitative, theory-based framework is employed for this study spanning 2015-2026. This methodology has been tailored to accommodate the complex and dynamic nature of financial markets especially in contagion. The methodology adopted in the research is based on the application of the Markov Switching (MS) model, in </w:t>
      </w:r>
      <w:r w:rsidRPr="00340AA1">
        <w:rPr>
          <w:rFonts w:ascii="Times New Roman" w:hAnsi="Times New Roman" w:cs="Times New Roman"/>
        </w:rPr>
        <w:lastRenderedPageBreak/>
        <w:t xml:space="preserve">combination with the application of the Dynamic Conditional Correlation Generalized Autoregressive Conditional Heteroscedasticity (DCC-GARCH) model. The application of the Markov Switching model has enabled the parameters to be regime-dependent, thus switching from one state to another. This has, in effect, addressed the issue of structural change and different regimes of volatility, especially in addressing the normal, crisis, and post-crisis periods </w:t>
      </w:r>
      <w:sdt>
        <w:sdtPr>
          <w:rPr>
            <w:rFonts w:ascii="Times New Roman" w:hAnsi="Times New Roman" w:cs="Times New Roman"/>
          </w:rPr>
          <w:id w:val="-951385817"/>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Ham891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(Hamilton, A New Approach to the Economic Analysis of Nonstationary Time Series and the Business Cycle, 1989)</w:t>
          </w:r>
          <w:r w:rsidRPr="00340AA1">
            <w:rPr>
              <w:rFonts w:ascii="Times New Roman" w:hAnsi="Times New Roman" w:cs="Times New Roman"/>
            </w:rPr>
            <w:fldChar w:fldCharType="end"/>
          </w:r>
        </w:sdtContent>
      </w:sdt>
      <w:r w:rsidRPr="00340AA1">
        <w:rPr>
          <w:rFonts w:ascii="Times New Roman" w:hAnsi="Times New Roman" w:cs="Times New Roman"/>
        </w:rPr>
        <w:t xml:space="preserve">. The application of the DCC-GARCH model, as proposed by </w:t>
      </w:r>
      <w:sdt>
        <w:sdtPr>
          <w:rPr>
            <w:rFonts w:ascii="Times New Roman" w:hAnsi="Times New Roman" w:cs="Times New Roman"/>
          </w:rPr>
          <w:id w:val="-1357111071"/>
          <w:citation/>
        </w:sdtPr>
        <w:sdtContent>
          <w:r w:rsidRPr="00340AA1">
            <w:rPr>
              <w:rFonts w:ascii="Times New Roman" w:hAnsi="Times New Roman" w:cs="Times New Roman"/>
            </w:rPr>
            <w:fldChar w:fldCharType="begin"/>
          </w:r>
          <w:r w:rsidRPr="00340AA1">
            <w:rPr>
              <w:rFonts w:ascii="Times New Roman" w:hAnsi="Times New Roman" w:cs="Times New Roman"/>
              <w:b/>
              <w:bCs/>
            </w:rPr>
            <w:instrText xml:space="preserve"> CITATION Eng02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(Engle, 2002)</w:t>
          </w:r>
          <w:r w:rsidRPr="00340AA1">
            <w:rPr>
              <w:rFonts w:ascii="Times New Roman" w:hAnsi="Times New Roman" w:cs="Times New Roman"/>
            </w:rPr>
            <w:fldChar w:fldCharType="end"/>
          </w:r>
        </w:sdtContent>
      </w:sdt>
      <w:r w:rsidRPr="00340AA1">
        <w:rPr>
          <w:rFonts w:ascii="Times New Roman" w:hAnsi="Times New Roman" w:cs="Times New Roman"/>
        </w:rPr>
        <w:t xml:space="preserve"> has enabled the correlation between asset returns to be estimated. This has addressed the dynamic and continuous nature of correlations. The application of the two models has, in effect, provided an in-depth analysis in addressing financial contagions, especially in differentiating between excess co-movements in crisis periods (contagion) and structural linkages (interdependence), as proposed in previous research in addressing financial contagions </w:t>
      </w:r>
      <w:sdt>
        <w:sdtPr>
          <w:rPr>
            <w:rFonts w:ascii="Times New Roman" w:hAnsi="Times New Roman" w:cs="Times New Roman"/>
          </w:rPr>
          <w:id w:val="1567845163"/>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For02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Pr="00340AA1">
            <w:rPr>
              <w:rFonts w:ascii="Times New Roman" w:hAnsi="Times New Roman" w:cs="Times New Roman"/>
            </w:rPr>
            <w:fldChar w:fldCharType="end"/>
          </w:r>
        </w:sdtContent>
      </w:sdt>
      <w:r w:rsidRPr="00340AA1">
        <w:rPr>
          <w:rFonts w:ascii="Times New Roman" w:hAnsi="Times New Roman" w:cs="Times New Roman"/>
        </w:rPr>
        <w:t xml:space="preserve"> </w:t>
      </w:r>
      <w:sdt>
        <w:sdtPr>
          <w:rPr>
            <w:rFonts w:ascii="Times New Roman" w:hAnsi="Times New Roman" w:cs="Times New Roman"/>
          </w:rPr>
          <w:id w:val="118347551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Cor051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(Corsetti , Pericoli , &amp; Sbracia, ‘Some contagion, some interdependence’: More pitfalls in tests of financial contagion, 2005)</w:t>
          </w:r>
          <w:r w:rsidRPr="00340AA1">
            <w:rPr>
              <w:rFonts w:ascii="Times New Roman" w:hAnsi="Times New Roman" w:cs="Times New Roman"/>
            </w:rPr>
            <w:fldChar w:fldCharType="end"/>
          </w:r>
        </w:sdtContent>
      </w:sdt>
      <w:r w:rsidRPr="00340AA1">
        <w:rPr>
          <w:rFonts w:ascii="Times New Roman" w:hAnsi="Times New Roman" w:cs="Times New Roman"/>
        </w:rPr>
        <w:t>.</w:t>
      </w:r>
    </w:p>
    <w:p w14:paraId="0ACFDF83" w14:textId="77777777" w:rsidR="00340AA1" w:rsidRPr="00340AA1" w:rsidRDefault="00340AA1" w:rsidP="00340AA1">
      <w:pPr>
        <w:spacing w:line="360" w:lineRule="auto"/>
        <w:rPr>
          <w:rFonts w:ascii="Times New Roman" w:hAnsi="Times New Roman" w:cs="Times New Roman"/>
        </w:rPr>
      </w:pPr>
    </w:p>
    <w:p w14:paraId="63BE6A7F" w14:textId="56730F18" w:rsidR="00340AA1" w:rsidRPr="00340AA1" w:rsidRDefault="00340AA1" w:rsidP="00340AA1">
      <w:pPr>
        <w:spacing w:line="360" w:lineRule="auto"/>
        <w:rPr>
          <w:rFonts w:ascii="Times New Roman" w:hAnsi="Times New Roman" w:cs="Times New Roman"/>
        </w:rPr>
      </w:pPr>
      <w:r w:rsidRPr="00340AA1">
        <w:rPr>
          <w:rFonts w:ascii="Times New Roman" w:hAnsi="Times New Roman" w:cs="Times New Roman"/>
        </w:rPr>
        <w:t xml:space="preserve">To further enhance the robustness of the results, the research employs a comparative forecasting method. In evaluating the performance of the models, the Diebold-Mariano (DM) test is used, which examines the statistical significance of the difference in predictive accuracy between competing models </w:t>
      </w:r>
      <w:sdt>
        <w:sdtPr>
          <w:rPr>
            <w:rFonts w:ascii="Times New Roman" w:hAnsi="Times New Roman" w:cs="Times New Roman"/>
          </w:rPr>
          <w:id w:val="602539263"/>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Die12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(Diebold &amp; Mariano, 2012)</w:t>
          </w:r>
          <w:r w:rsidRPr="00340AA1">
            <w:rPr>
              <w:rFonts w:ascii="Times New Roman" w:hAnsi="Times New Roman" w:cs="Times New Roman"/>
            </w:rPr>
            <w:fldChar w:fldCharType="end"/>
          </w:r>
        </w:sdtContent>
      </w:sdt>
      <w:r w:rsidRPr="00340AA1">
        <w:rPr>
          <w:rFonts w:ascii="Times New Roman" w:hAnsi="Times New Roman" w:cs="Times New Roman"/>
        </w:rPr>
        <w:t xml:space="preserve">, while the Model Confidence Set (MCS) method is utilized to identify the models with superior predictive accuracy </w:t>
      </w:r>
      <w:sdt>
        <w:sdtPr>
          <w:rPr>
            <w:rFonts w:ascii="Times New Roman" w:hAnsi="Times New Roman" w:cs="Times New Roman"/>
          </w:rPr>
          <w:id w:val="-1190992449"/>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CITATION Han11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(Hansen, Lunde, &amp; Nason, 2011)</w:t>
          </w:r>
          <w:r w:rsidRPr="00340AA1">
            <w:rPr>
              <w:rFonts w:ascii="Times New Roman" w:hAnsi="Times New Roman" w:cs="Times New Roman"/>
            </w:rPr>
            <w:fldChar w:fldCharType="end"/>
          </w:r>
        </w:sdtContent>
      </w:sdt>
      <w:r w:rsidRPr="00340AA1">
        <w:rPr>
          <w:rFonts w:ascii="Times New Roman" w:hAnsi="Times New Roman" w:cs="Times New Roman"/>
        </w:rPr>
        <w:t>. These techniques will be used to compare the forecasting accuracy of econometric models with that of machine learning models, thereby ensuring that the results are not dependent on the models used.</w:t>
      </w:r>
    </w:p>
    <w:p w14:paraId="1B087609" w14:textId="77777777" w:rsidR="00340AA1" w:rsidRPr="00EC6478" w:rsidRDefault="00340AA1" w:rsidP="00340AA1">
      <w:pPr>
        <w:spacing w:line="360" w:lineRule="auto"/>
        <w:rPr>
          <w:rFonts w:ascii="Times New Roman" w:hAnsi="Times New Roman" w:cs="Times New Roman"/>
        </w:rPr>
      </w:pPr>
    </w:p>
    <w:p w14:paraId="2EA50053"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1.6 Ethical Considerations</w:t>
      </w:r>
    </w:p>
    <w:p w14:paraId="0B0A4DD1" w14:textId="77777777" w:rsidR="00340AA1" w:rsidRPr="00340AA1" w:rsidRDefault="00340AA1" w:rsidP="00340AA1">
      <w:pPr>
        <w:spacing w:after="0" w:line="360" w:lineRule="auto"/>
        <w:jc w:val="both"/>
        <w:rPr>
          <w:rFonts w:ascii="Times New Roman" w:eastAsiaTheme="minorEastAsia" w:hAnsi="Times New Roman" w:cs="Times New Roman"/>
        </w:rPr>
      </w:pPr>
      <w:r w:rsidRPr="00340AA1">
        <w:rPr>
          <w:rFonts w:ascii="Times New Roman" w:eastAsiaTheme="minorEastAsia" w:hAnsi="Times New Roman" w:cs="Times New Roman"/>
        </w:rPr>
        <w:t>This study relies solely on secondary data from publicly available international databases. Therefore, it poses no risk to human subjects and does not require ethical clearance. However, all data sources will be properly cited and acknowledged in accordance with academic integrity standards.</w:t>
      </w:r>
    </w:p>
    <w:p w14:paraId="2558005A" w14:textId="77777777" w:rsidR="00340AA1" w:rsidRPr="00340AA1" w:rsidRDefault="00340AA1" w:rsidP="00340AA1">
      <w:pPr>
        <w:spacing w:after="0" w:line="360" w:lineRule="auto"/>
        <w:jc w:val="both"/>
        <w:rPr>
          <w:rFonts w:ascii="Times New Roman" w:eastAsiaTheme="minorEastAsia" w:hAnsi="Times New Roman" w:cs="Times New Roman"/>
        </w:rPr>
      </w:pPr>
    </w:p>
    <w:p w14:paraId="3C1243BA" w14:textId="77777777" w:rsidR="00340AA1" w:rsidRPr="00EC6478" w:rsidRDefault="00340AA1" w:rsidP="00340AA1">
      <w:pPr>
        <w:spacing w:line="360" w:lineRule="auto"/>
        <w:rPr>
          <w:rFonts w:ascii="Times New Roman" w:hAnsi="Times New Roman" w:cs="Times New Roman"/>
          <w:b/>
          <w:bCs/>
        </w:rPr>
      </w:pPr>
      <w:r w:rsidRPr="00EC6478">
        <w:rPr>
          <w:rFonts w:ascii="Times New Roman" w:hAnsi="Times New Roman" w:cs="Times New Roman"/>
          <w:b/>
          <w:bCs/>
        </w:rPr>
        <w:t>1.7 Research Outline</w:t>
      </w:r>
    </w:p>
    <w:p w14:paraId="23BD17E7" w14:textId="77777777" w:rsidR="00340AA1" w:rsidRPr="00340AA1" w:rsidRDefault="00340AA1" w:rsidP="00340AA1">
      <w:pPr>
        <w:spacing w:line="360" w:lineRule="auto"/>
        <w:jc w:val="both"/>
        <w:rPr>
          <w:rFonts w:ascii="Times New Roman" w:eastAsiaTheme="minorEastAsia" w:hAnsi="Times New Roman" w:cs="Times New Roman"/>
        </w:rPr>
      </w:pPr>
      <w:r w:rsidRPr="00340AA1">
        <w:rPr>
          <w:rFonts w:ascii="Times New Roman" w:eastAsiaTheme="minorEastAsia" w:hAnsi="Times New Roman" w:cs="Times New Roman"/>
        </w:rPr>
        <w:t xml:space="preserve">The outline of the study is as follows: </w:t>
      </w:r>
    </w:p>
    <w:p w14:paraId="284AD0E3" w14:textId="77777777" w:rsidR="00340AA1" w:rsidRPr="00340AA1" w:rsidRDefault="00340AA1" w:rsidP="00340AA1">
      <w:pPr>
        <w:spacing w:line="360" w:lineRule="auto"/>
        <w:jc w:val="both"/>
        <w:rPr>
          <w:rFonts w:ascii="Times New Roman" w:eastAsiaTheme="minorEastAsia" w:hAnsi="Times New Roman" w:cs="Times New Roman"/>
        </w:rPr>
      </w:pPr>
      <w:r w:rsidRPr="00340AA1">
        <w:rPr>
          <w:rFonts w:ascii="Times New Roman" w:eastAsiaTheme="minorEastAsia" w:hAnsi="Times New Roman" w:cs="Times New Roman"/>
        </w:rPr>
        <w:t>In Section 2, the literature review covers the major theoretical perspectives and prior empirical evidence on contagion. Section 3 details the research methodology with respect to data sources, the analytical framework, and methods used as part of the study. In Section 4 we discuss the results which let us know if there is any contagion, how strong and how it is transmitted. Section 5 concludes the paper with important take-away points and recommendations for policy makers based on the paper.</w:t>
      </w:r>
    </w:p>
    <w:p w14:paraId="593C5161" w14:textId="77777777" w:rsidR="00340AA1" w:rsidRPr="00340AA1" w:rsidRDefault="00340AA1" w:rsidP="00340AA1">
      <w:pPr>
        <w:spacing w:line="360" w:lineRule="auto"/>
        <w:rPr>
          <w:rFonts w:ascii="Times New Roman" w:hAnsi="Times New Roman" w:cs="Times New Roman"/>
        </w:rPr>
      </w:pPr>
    </w:p>
    <w:p w14:paraId="54D09D20" w14:textId="77777777" w:rsidR="00340AA1" w:rsidRPr="00340AA1" w:rsidRDefault="00340AA1" w:rsidP="00340AA1">
      <w:pPr>
        <w:pStyle w:val="ListParagraph"/>
        <w:spacing w:line="360" w:lineRule="auto"/>
        <w:ind w:left="360"/>
        <w:rPr>
          <w:rFonts w:ascii="Times New Roman" w:hAnsi="Times New Roman" w:cs="Times New Roman"/>
          <w:b/>
          <w:bCs/>
          <w:sz w:val="32"/>
          <w:szCs w:val="32"/>
        </w:rPr>
      </w:pPr>
    </w:p>
    <w:p w14:paraId="12D0727E" w14:textId="4638DE2A" w:rsidR="00D63BBC" w:rsidRPr="00340AA1" w:rsidRDefault="00D63BBC" w:rsidP="00340AA1">
      <w:pPr>
        <w:pStyle w:val="ListParagraph"/>
        <w:numPr>
          <w:ilvl w:val="0"/>
          <w:numId w:val="3"/>
        </w:numPr>
        <w:spacing w:line="360" w:lineRule="auto"/>
        <w:rPr>
          <w:rFonts w:ascii="Times New Roman" w:hAnsi="Times New Roman" w:cs="Times New Roman"/>
          <w:b/>
          <w:bCs/>
        </w:rPr>
      </w:pPr>
      <w:r w:rsidRPr="00340AA1">
        <w:rPr>
          <w:rFonts w:ascii="Times New Roman" w:hAnsi="Times New Roman" w:cs="Times New Roman"/>
          <w:b/>
          <w:bCs/>
          <w:sz w:val="32"/>
          <w:szCs w:val="32"/>
        </w:rPr>
        <w:t>Literature Review</w:t>
      </w:r>
    </w:p>
    <w:p w14:paraId="44081ACC" w14:textId="77777777" w:rsidR="00C1008F" w:rsidRPr="00340AA1" w:rsidRDefault="00C1008F" w:rsidP="00340AA1">
      <w:pPr>
        <w:pStyle w:val="ListParagraph"/>
        <w:spacing w:line="360" w:lineRule="auto"/>
        <w:ind w:left="360"/>
        <w:rPr>
          <w:rFonts w:ascii="Times New Roman" w:hAnsi="Times New Roman" w:cs="Times New Roman"/>
          <w:b/>
          <w:bCs/>
        </w:rPr>
      </w:pPr>
    </w:p>
    <w:p w14:paraId="7E8B8DE5" w14:textId="2FEC8CB5" w:rsidR="001321FD" w:rsidRPr="00340AA1" w:rsidRDefault="007656E2" w:rsidP="00340AA1">
      <w:pPr>
        <w:pStyle w:val="ListParagraph"/>
        <w:spacing w:line="360" w:lineRule="auto"/>
        <w:ind w:left="360"/>
        <w:rPr>
          <w:rFonts w:ascii="Times New Roman" w:hAnsi="Times New Roman" w:cs="Times New Roman"/>
        </w:rPr>
      </w:pPr>
      <w:r w:rsidRPr="00340AA1">
        <w:rPr>
          <w:rFonts w:ascii="Times New Roman" w:hAnsi="Times New Roman" w:cs="Times New Roman"/>
        </w:rPr>
        <w:t xml:space="preserve">This review aims to </w:t>
      </w:r>
      <w:r w:rsidR="00D51FEC" w:rsidRPr="00340AA1">
        <w:rPr>
          <w:rFonts w:ascii="Times New Roman" w:hAnsi="Times New Roman" w:cs="Times New Roman"/>
        </w:rPr>
        <w:t xml:space="preserve">provide theoretical insight </w:t>
      </w:r>
      <w:r w:rsidR="005E6E1E" w:rsidRPr="00340AA1">
        <w:rPr>
          <w:rFonts w:ascii="Times New Roman" w:hAnsi="Times New Roman" w:cs="Times New Roman"/>
        </w:rPr>
        <w:t>into contagion, specifically regime-dependent contagion, between developed and emerging markets, with a particular focus</w:t>
      </w:r>
      <w:r w:rsidR="001321FD" w:rsidRPr="00340AA1">
        <w:rPr>
          <w:rFonts w:ascii="Times New Roman" w:hAnsi="Times New Roman" w:cs="Times New Roman"/>
        </w:rPr>
        <w:t xml:space="preserve"> on the US-South Africa </w:t>
      </w:r>
      <w:r w:rsidR="008E7469" w:rsidRPr="00340AA1">
        <w:rPr>
          <w:rFonts w:ascii="Times New Roman" w:hAnsi="Times New Roman" w:cs="Times New Roman"/>
        </w:rPr>
        <w:t>relationship</w:t>
      </w:r>
      <w:r w:rsidR="001321FD" w:rsidRPr="00340AA1">
        <w:rPr>
          <w:rFonts w:ascii="Times New Roman" w:hAnsi="Times New Roman" w:cs="Times New Roman"/>
        </w:rPr>
        <w:t>.</w:t>
      </w:r>
      <w:r w:rsidR="00C75516" w:rsidRPr="00340AA1">
        <w:rPr>
          <w:rFonts w:ascii="Times New Roman" w:hAnsi="Times New Roman" w:cs="Times New Roman"/>
        </w:rPr>
        <w:t xml:space="preserve"> </w:t>
      </w:r>
      <w:r w:rsidR="0037208C" w:rsidRPr="00340AA1">
        <w:rPr>
          <w:rFonts w:ascii="Times New Roman" w:hAnsi="Times New Roman" w:cs="Times New Roman"/>
        </w:rPr>
        <w:t xml:space="preserve">As global financial markets become more cointegrated, </w:t>
      </w:r>
      <w:r w:rsidR="00691A20" w:rsidRPr="00340AA1">
        <w:rPr>
          <w:rFonts w:ascii="Times New Roman" w:hAnsi="Times New Roman" w:cs="Times New Roman"/>
        </w:rPr>
        <w:t xml:space="preserve">it has now been </w:t>
      </w:r>
      <w:r w:rsidR="00DA7CD4" w:rsidRPr="00340AA1">
        <w:rPr>
          <w:rFonts w:ascii="Times New Roman" w:hAnsi="Times New Roman" w:cs="Times New Roman"/>
        </w:rPr>
        <w:t xml:space="preserve">realised that the transmission of shocks </w:t>
      </w:r>
      <w:r w:rsidR="00FB4ACF" w:rsidRPr="00340AA1">
        <w:rPr>
          <w:rFonts w:ascii="Times New Roman" w:hAnsi="Times New Roman" w:cs="Times New Roman"/>
        </w:rPr>
        <w:t xml:space="preserve">is no longer a simple linear function of trade flows and/or </w:t>
      </w:r>
      <w:r w:rsidR="00814F60" w:rsidRPr="00340AA1">
        <w:rPr>
          <w:rFonts w:ascii="Times New Roman" w:hAnsi="Times New Roman" w:cs="Times New Roman"/>
        </w:rPr>
        <w:t>macroeconomic fundamentals</w:t>
      </w:r>
      <w:r w:rsidR="001321FD" w:rsidRPr="00340AA1">
        <w:rPr>
          <w:rFonts w:ascii="Times New Roman" w:hAnsi="Times New Roman" w:cs="Times New Roman"/>
        </w:rPr>
        <w:t xml:space="preserve">. </w:t>
      </w:r>
      <w:r w:rsidR="00814F60" w:rsidRPr="00340AA1">
        <w:rPr>
          <w:rFonts w:ascii="Times New Roman" w:hAnsi="Times New Roman" w:cs="Times New Roman"/>
        </w:rPr>
        <w:t>Rather</w:t>
      </w:r>
      <w:r w:rsidR="001321FD" w:rsidRPr="00340AA1">
        <w:rPr>
          <w:rFonts w:ascii="Times New Roman" w:hAnsi="Times New Roman" w:cs="Times New Roman"/>
        </w:rPr>
        <w:t xml:space="preserve">, modern contagion is a </w:t>
      </w:r>
      <w:r w:rsidR="0052537A" w:rsidRPr="00340AA1">
        <w:rPr>
          <w:rFonts w:ascii="Times New Roman" w:hAnsi="Times New Roman" w:cs="Times New Roman"/>
        </w:rPr>
        <w:t>complex</w:t>
      </w:r>
      <w:r w:rsidR="001321FD" w:rsidRPr="00340AA1">
        <w:rPr>
          <w:rFonts w:ascii="Times New Roman" w:hAnsi="Times New Roman" w:cs="Times New Roman"/>
        </w:rPr>
        <w:t xml:space="preserve"> phenomenon </w:t>
      </w:r>
      <w:r w:rsidR="00082F9D" w:rsidRPr="00340AA1">
        <w:rPr>
          <w:rFonts w:ascii="Times New Roman" w:hAnsi="Times New Roman" w:cs="Times New Roman"/>
        </w:rPr>
        <w:t>shaped by</w:t>
      </w:r>
      <w:r w:rsidR="001321FD" w:rsidRPr="00340AA1">
        <w:rPr>
          <w:rFonts w:ascii="Times New Roman" w:hAnsi="Times New Roman" w:cs="Times New Roman"/>
        </w:rPr>
        <w:t xml:space="preserve"> high-frequency information flows, investor psychology, and dynamic currency channels. This review begins by defining the </w:t>
      </w:r>
      <w:r w:rsidR="00082F9D" w:rsidRPr="00340AA1">
        <w:rPr>
          <w:rFonts w:ascii="Times New Roman" w:hAnsi="Times New Roman" w:cs="Times New Roman"/>
        </w:rPr>
        <w:t>fundamental difference</w:t>
      </w:r>
      <w:r w:rsidR="001321FD" w:rsidRPr="00340AA1">
        <w:rPr>
          <w:rFonts w:ascii="Times New Roman" w:hAnsi="Times New Roman" w:cs="Times New Roman"/>
        </w:rPr>
        <w:t xml:space="preserve"> between interdependence and contagion</w:t>
      </w:r>
      <w:r w:rsidR="001321FD" w:rsidRPr="00340AA1">
        <w:rPr>
          <w:rFonts w:ascii="Times New Roman" w:hAnsi="Times New Roman" w:cs="Times New Roman"/>
        </w:rPr>
        <w:t>, then explores</w:t>
      </w:r>
      <w:r w:rsidR="001321FD" w:rsidRPr="00340AA1">
        <w:rPr>
          <w:rFonts w:ascii="Times New Roman" w:hAnsi="Times New Roman" w:cs="Times New Roman"/>
        </w:rPr>
        <w:t xml:space="preserve"> the infodemic nature of behavio</w:t>
      </w:r>
      <w:r w:rsidR="008F0A75" w:rsidRPr="00340AA1">
        <w:rPr>
          <w:rFonts w:ascii="Times New Roman" w:hAnsi="Times New Roman" w:cs="Times New Roman"/>
        </w:rPr>
        <w:t>u</w:t>
      </w:r>
      <w:r w:rsidR="001321FD" w:rsidRPr="00340AA1">
        <w:rPr>
          <w:rFonts w:ascii="Times New Roman" w:hAnsi="Times New Roman" w:cs="Times New Roman"/>
        </w:rPr>
        <w:t>ral channels</w:t>
      </w:r>
      <w:r w:rsidR="008F0A75" w:rsidRPr="00340AA1">
        <w:rPr>
          <w:rFonts w:ascii="Times New Roman" w:hAnsi="Times New Roman" w:cs="Times New Roman"/>
        </w:rPr>
        <w:t xml:space="preserve">, as well as the special </w:t>
      </w:r>
      <w:r w:rsidR="001321FD" w:rsidRPr="00340AA1">
        <w:rPr>
          <w:rFonts w:ascii="Times New Roman" w:hAnsi="Times New Roman" w:cs="Times New Roman"/>
        </w:rPr>
        <w:t>role of the</w:t>
      </w:r>
      <w:r w:rsidR="003E0CF3" w:rsidRPr="00340AA1">
        <w:rPr>
          <w:rFonts w:ascii="Times New Roman" w:hAnsi="Times New Roman" w:cs="Times New Roman"/>
        </w:rPr>
        <w:t xml:space="preserve"> </w:t>
      </w:r>
      <w:r w:rsidR="001321FD" w:rsidRPr="00340AA1">
        <w:rPr>
          <w:rFonts w:ascii="Times New Roman" w:hAnsi="Times New Roman" w:cs="Times New Roman"/>
        </w:rPr>
        <w:t xml:space="preserve">exchange rate </w:t>
      </w:r>
      <w:r w:rsidR="003E0CF3" w:rsidRPr="00340AA1">
        <w:rPr>
          <w:rFonts w:ascii="Times New Roman" w:hAnsi="Times New Roman" w:cs="Times New Roman"/>
        </w:rPr>
        <w:t xml:space="preserve">between USD and ZAR </w:t>
      </w:r>
      <w:r w:rsidR="001321FD" w:rsidRPr="00340AA1">
        <w:rPr>
          <w:rFonts w:ascii="Times New Roman" w:hAnsi="Times New Roman" w:cs="Times New Roman"/>
        </w:rPr>
        <w:t>as a</w:t>
      </w:r>
      <w:r w:rsidR="003E0CF3" w:rsidRPr="00340AA1">
        <w:rPr>
          <w:rFonts w:ascii="Times New Roman" w:hAnsi="Times New Roman" w:cs="Times New Roman"/>
        </w:rPr>
        <w:t xml:space="preserve">n instrument of </w:t>
      </w:r>
      <w:r w:rsidR="001321FD" w:rsidRPr="00340AA1">
        <w:rPr>
          <w:rFonts w:ascii="Times New Roman" w:hAnsi="Times New Roman" w:cs="Times New Roman"/>
        </w:rPr>
        <w:t xml:space="preserve">regime-dependent </w:t>
      </w:r>
      <w:r w:rsidR="003E0CF3" w:rsidRPr="00340AA1">
        <w:rPr>
          <w:rFonts w:ascii="Times New Roman" w:hAnsi="Times New Roman" w:cs="Times New Roman"/>
        </w:rPr>
        <w:t>contagion</w:t>
      </w:r>
      <w:r w:rsidR="001321FD" w:rsidRPr="00340AA1">
        <w:rPr>
          <w:rFonts w:ascii="Times New Roman" w:hAnsi="Times New Roman" w:cs="Times New Roman"/>
        </w:rPr>
        <w:t xml:space="preserve">. By </w:t>
      </w:r>
      <w:r w:rsidR="003E0CF3" w:rsidRPr="00340AA1">
        <w:rPr>
          <w:rFonts w:ascii="Times New Roman" w:hAnsi="Times New Roman" w:cs="Times New Roman"/>
        </w:rPr>
        <w:t xml:space="preserve">tracing </w:t>
      </w:r>
      <w:r w:rsidR="001321FD" w:rsidRPr="00340AA1">
        <w:rPr>
          <w:rFonts w:ascii="Times New Roman" w:hAnsi="Times New Roman" w:cs="Times New Roman"/>
        </w:rPr>
        <w:t>the evolution of these empirical approaches, this section establishes the theoretical necessity for the nonlinear, multivariate modeling adopted in this study.</w:t>
      </w:r>
    </w:p>
    <w:p w14:paraId="28BF1CBA" w14:textId="77777777" w:rsidR="00AC295B" w:rsidRPr="00340AA1" w:rsidRDefault="00AC295B" w:rsidP="00340AA1">
      <w:pPr>
        <w:pStyle w:val="ListParagraph"/>
        <w:spacing w:line="360" w:lineRule="auto"/>
        <w:ind w:left="360"/>
        <w:rPr>
          <w:rFonts w:ascii="Times New Roman" w:hAnsi="Times New Roman" w:cs="Times New Roman"/>
          <w:b/>
          <w:bCs/>
        </w:rPr>
      </w:pPr>
    </w:p>
    <w:p w14:paraId="784491B5" w14:textId="295456DF" w:rsidR="00F213D7" w:rsidRPr="00340AA1" w:rsidRDefault="00F213D7" w:rsidP="00340AA1">
      <w:pPr>
        <w:pStyle w:val="ListParagraph"/>
        <w:numPr>
          <w:ilvl w:val="1"/>
          <w:numId w:val="3"/>
        </w:numPr>
        <w:spacing w:line="360" w:lineRule="auto"/>
        <w:rPr>
          <w:rFonts w:ascii="Times New Roman" w:hAnsi="Times New Roman" w:cs="Times New Roman"/>
          <w:b/>
          <w:bCs/>
        </w:rPr>
      </w:pPr>
      <w:r w:rsidRPr="00340AA1">
        <w:rPr>
          <w:rFonts w:ascii="Times New Roman" w:hAnsi="Times New Roman" w:cs="Times New Roman"/>
          <w:b/>
          <w:bCs/>
        </w:rPr>
        <w:t>Theoretical Literature Review</w:t>
      </w:r>
    </w:p>
    <w:p w14:paraId="7996BD38" w14:textId="77777777" w:rsidR="00F213D7" w:rsidRPr="00340AA1" w:rsidRDefault="00F213D7" w:rsidP="00340AA1">
      <w:pPr>
        <w:pStyle w:val="ListParagraph"/>
        <w:spacing w:line="360" w:lineRule="auto"/>
        <w:ind w:left="360"/>
        <w:rPr>
          <w:rFonts w:ascii="Times New Roman" w:hAnsi="Times New Roman" w:cs="Times New Roman"/>
          <w:b/>
          <w:bCs/>
        </w:rPr>
      </w:pPr>
    </w:p>
    <w:p w14:paraId="26E5FFE9" w14:textId="77777777" w:rsidR="00F213D7" w:rsidRPr="00340AA1" w:rsidRDefault="00F213D7"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Modern Portfolio Theory</w:t>
      </w:r>
    </w:p>
    <w:p w14:paraId="60975D24" w14:textId="3984CF35" w:rsidR="00F213D7" w:rsidRPr="00340AA1" w:rsidRDefault="00DC04C6" w:rsidP="00340AA1">
      <w:pPr>
        <w:spacing w:line="360" w:lineRule="auto"/>
        <w:rPr>
          <w:rFonts w:ascii="Times New Roman" w:hAnsi="Times New Roman" w:cs="Times New Roman"/>
        </w:rPr>
      </w:pPr>
      <w:sdt>
        <w:sdtPr>
          <w:rPr>
            <w:rFonts w:ascii="Times New Roman" w:hAnsi="Times New Roman" w:cs="Times New Roman"/>
          </w:rPr>
          <w:id w:val="433558651"/>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Mar52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(Markowitz H. , 1952)</w:t>
          </w:r>
          <w:r w:rsidRPr="00340AA1">
            <w:rPr>
              <w:rFonts w:ascii="Times New Roman" w:hAnsi="Times New Roman" w:cs="Times New Roman"/>
            </w:rPr>
            <w:fldChar w:fldCharType="end"/>
          </w:r>
        </w:sdtContent>
      </w:sdt>
      <w:r w:rsidRPr="00340AA1">
        <w:rPr>
          <w:rFonts w:ascii="Times New Roman" w:hAnsi="Times New Roman" w:cs="Times New Roman"/>
        </w:rPr>
        <w:t xml:space="preserve"> Laid</w:t>
      </w:r>
      <w:r w:rsidR="00F213D7" w:rsidRPr="00340AA1">
        <w:rPr>
          <w:rFonts w:ascii="Times New Roman" w:hAnsi="Times New Roman" w:cs="Times New Roman"/>
        </w:rPr>
        <w:t xml:space="preserve"> the groundwork of portfolio theory by </w:t>
      </w:r>
      <w:r w:rsidRPr="00340AA1">
        <w:rPr>
          <w:rFonts w:ascii="Times New Roman" w:hAnsi="Times New Roman" w:cs="Times New Roman"/>
        </w:rPr>
        <w:t>the Modern</w:t>
      </w:r>
      <w:r w:rsidR="00F213D7" w:rsidRPr="00340AA1">
        <w:rPr>
          <w:rFonts w:ascii="Times New Roman" w:hAnsi="Times New Roman" w:cs="Times New Roman"/>
        </w:rPr>
        <w:t xml:space="preserve"> Portfolio Theory. The theory introduced the idea of diversification into portfolio optimisation by mathematically proving that a combination of high returns and low variance yields the best portfolio returns </w:t>
      </w:r>
      <w:sdt>
        <w:sdtPr>
          <w:rPr>
            <w:rFonts w:ascii="Times New Roman" w:hAnsi="Times New Roman" w:cs="Times New Roman"/>
          </w:rPr>
          <w:id w:val="-58633262"/>
          <w:citation/>
        </w:sdtPr>
        <w:sdtContent>
          <w:r w:rsidR="00071545" w:rsidRPr="00340AA1">
            <w:rPr>
              <w:rFonts w:ascii="Times New Roman" w:hAnsi="Times New Roman" w:cs="Times New Roman"/>
            </w:rPr>
            <w:fldChar w:fldCharType="begin"/>
          </w:r>
          <w:r w:rsidR="00071545" w:rsidRPr="00340AA1">
            <w:rPr>
              <w:rFonts w:ascii="Times New Roman" w:hAnsi="Times New Roman" w:cs="Times New Roman"/>
            </w:rPr>
            <w:instrText xml:space="preserve"> CITATION Mar59 \l 1033 </w:instrText>
          </w:r>
          <w:r w:rsidR="00071545" w:rsidRPr="00340AA1">
            <w:rPr>
              <w:rFonts w:ascii="Times New Roman" w:hAnsi="Times New Roman" w:cs="Times New Roman"/>
            </w:rPr>
            <w:fldChar w:fldCharType="separate"/>
          </w:r>
          <w:r w:rsidR="009E5B67" w:rsidRPr="009E5B67">
            <w:rPr>
              <w:rFonts w:ascii="Times New Roman" w:hAnsi="Times New Roman" w:cs="Times New Roman"/>
              <w:noProof/>
            </w:rPr>
            <w:t>(Markowitz H. M., 1959)</w:t>
          </w:r>
          <w:r w:rsidR="00071545" w:rsidRPr="00340AA1">
            <w:rPr>
              <w:rFonts w:ascii="Times New Roman" w:hAnsi="Times New Roman" w:cs="Times New Roman"/>
            </w:rPr>
            <w:fldChar w:fldCharType="end"/>
          </w:r>
        </w:sdtContent>
      </w:sdt>
      <w:r w:rsidR="00071545" w:rsidRPr="00340AA1">
        <w:rPr>
          <w:rFonts w:ascii="Times New Roman" w:hAnsi="Times New Roman" w:cs="Times New Roman"/>
        </w:rPr>
        <w:t xml:space="preserve"> </w:t>
      </w:r>
      <w:r w:rsidR="00F213D7" w:rsidRPr="00340AA1">
        <w:rPr>
          <w:rFonts w:ascii="Times New Roman" w:hAnsi="Times New Roman" w:cs="Times New Roman"/>
        </w:rPr>
        <w:t xml:space="preserve">Diversification is based on the idea that holding different assets from different types of markets yields the best outcome, rather than the common wisdom of choosing multiple assets with high returns and investing all your capital there. However, because of the complex nature of </w:t>
      </w:r>
      <w:r w:rsidRPr="00340AA1">
        <w:rPr>
          <w:rFonts w:ascii="Times New Roman" w:hAnsi="Times New Roman" w:cs="Times New Roman"/>
        </w:rPr>
        <w:t xml:space="preserve">the </w:t>
      </w:r>
      <w:r w:rsidR="00F213D7" w:rsidRPr="00340AA1">
        <w:rPr>
          <w:rFonts w:ascii="Times New Roman" w:hAnsi="Times New Roman" w:cs="Times New Roman"/>
        </w:rPr>
        <w:t>financial market, with linkage and spillover challenges, this principle may not hold. It has been proven that correlations between assets may change over time and often increase during periods of financial turmoil. During such periods, the benefits of diversification may diminish as financial markets become more closely related.</w:t>
      </w:r>
    </w:p>
    <w:p w14:paraId="1CB1D27E" w14:textId="77777777" w:rsidR="00AC295B" w:rsidRPr="00340AA1" w:rsidRDefault="00AC295B" w:rsidP="00340AA1">
      <w:pPr>
        <w:spacing w:line="360" w:lineRule="auto"/>
        <w:rPr>
          <w:rFonts w:ascii="Times New Roman" w:hAnsi="Times New Roman" w:cs="Times New Roman"/>
        </w:rPr>
      </w:pPr>
    </w:p>
    <w:p w14:paraId="23AA4453" w14:textId="77777777" w:rsidR="00F213D7" w:rsidRPr="00340AA1" w:rsidRDefault="00F213D7"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Financial Contagion Theory</w:t>
      </w:r>
    </w:p>
    <w:p w14:paraId="560BE50A" w14:textId="2DEE9368" w:rsidR="00F213D7" w:rsidRPr="00340AA1" w:rsidRDefault="00F213D7" w:rsidP="00340AA1">
      <w:pPr>
        <w:spacing w:line="360" w:lineRule="auto"/>
        <w:rPr>
          <w:rFonts w:ascii="Times New Roman" w:hAnsi="Times New Roman" w:cs="Times New Roman"/>
        </w:rPr>
      </w:pPr>
      <w:r w:rsidRPr="00340AA1">
        <w:rPr>
          <w:rFonts w:ascii="Times New Roman" w:hAnsi="Times New Roman" w:cs="Times New Roman"/>
        </w:rPr>
        <w:t xml:space="preserve">Financial Contagion Theory is another significant theory in the financial literature; it provides insight into how financial shocks originating in one market can spread to other markets, even when they are not closely correlated. In their study, </w:t>
      </w:r>
      <w:sdt>
        <w:sdtPr>
          <w:rPr>
            <w:rFonts w:ascii="Times New Roman" w:hAnsi="Times New Roman" w:cs="Times New Roman"/>
          </w:rPr>
          <w:id w:val="-1140181293"/>
          <w:citation/>
        </w:sdtPr>
        <w:sdtContent>
          <w:r w:rsidR="006D5F04" w:rsidRPr="00340AA1">
            <w:rPr>
              <w:rFonts w:ascii="Times New Roman" w:hAnsi="Times New Roman" w:cs="Times New Roman"/>
            </w:rPr>
            <w:fldChar w:fldCharType="begin"/>
          </w:r>
          <w:r w:rsidR="006D5F04" w:rsidRPr="00340AA1">
            <w:rPr>
              <w:rFonts w:ascii="Times New Roman" w:hAnsi="Times New Roman" w:cs="Times New Roman"/>
            </w:rPr>
            <w:instrText xml:space="preserve"> CITATION Dor00 \l 1033 </w:instrText>
          </w:r>
          <w:r w:rsidR="006D5F04" w:rsidRPr="00340AA1">
            <w:rPr>
              <w:rFonts w:ascii="Times New Roman" w:hAnsi="Times New Roman" w:cs="Times New Roman"/>
            </w:rPr>
            <w:fldChar w:fldCharType="separate"/>
          </w:r>
          <w:r w:rsidR="009E5B67" w:rsidRPr="009E5B67">
            <w:rPr>
              <w:rFonts w:ascii="Times New Roman" w:hAnsi="Times New Roman" w:cs="Times New Roman"/>
              <w:noProof/>
            </w:rPr>
            <w:t>(Dornbusch, Park, &amp; Claessens, 2000)</w:t>
          </w:r>
          <w:r w:rsidR="006D5F04" w:rsidRPr="00340AA1">
            <w:rPr>
              <w:rFonts w:ascii="Times New Roman" w:hAnsi="Times New Roman" w:cs="Times New Roman"/>
            </w:rPr>
            <w:fldChar w:fldCharType="end"/>
          </w:r>
        </w:sdtContent>
      </w:sdt>
      <w:r w:rsidRPr="00340AA1">
        <w:rPr>
          <w:rFonts w:ascii="Times New Roman" w:hAnsi="Times New Roman" w:cs="Times New Roman"/>
        </w:rPr>
        <w:t xml:space="preserve"> categorized the causes of contagion into two main groups: fundamental causes, which include common shocks, trade links, and financial links, and investor behaviour. Building on this basis, </w:t>
      </w:r>
      <w:sdt>
        <w:sdtPr>
          <w:rPr>
            <w:rFonts w:ascii="Times New Roman" w:hAnsi="Times New Roman" w:cs="Times New Roman"/>
          </w:rPr>
          <w:id w:val="62541544"/>
          <w:citation/>
        </w:sdtPr>
        <w:sdtContent>
          <w:r w:rsidR="006D5F04" w:rsidRPr="00340AA1">
            <w:rPr>
              <w:rFonts w:ascii="Times New Roman" w:hAnsi="Times New Roman" w:cs="Times New Roman"/>
            </w:rPr>
            <w:fldChar w:fldCharType="begin"/>
          </w:r>
          <w:r w:rsidR="006D5F04" w:rsidRPr="00340AA1">
            <w:rPr>
              <w:rFonts w:ascii="Times New Roman" w:hAnsi="Times New Roman" w:cs="Times New Roman"/>
            </w:rPr>
            <w:instrText xml:space="preserve"> CITATION For02 \l 1033 </w:instrText>
          </w:r>
          <w:r w:rsidR="006D5F04"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006D5F04" w:rsidRPr="00340AA1">
            <w:rPr>
              <w:rFonts w:ascii="Times New Roman" w:hAnsi="Times New Roman" w:cs="Times New Roman"/>
            </w:rPr>
            <w:fldChar w:fldCharType="end"/>
          </w:r>
        </w:sdtContent>
      </w:sdt>
      <w:r w:rsidR="006D5F04" w:rsidRPr="00340AA1">
        <w:rPr>
          <w:rFonts w:ascii="Times New Roman" w:hAnsi="Times New Roman" w:cs="Times New Roman"/>
        </w:rPr>
        <w:t xml:space="preserve"> </w:t>
      </w:r>
      <w:r w:rsidRPr="00340AA1">
        <w:rPr>
          <w:rFonts w:ascii="Times New Roman" w:hAnsi="Times New Roman" w:cs="Times New Roman"/>
        </w:rPr>
        <w:t>provided a widely accepted empirical framework for measuring contagion, defining it as a significant increase in cross-market correlations following a shock to a particular market. According to this perspective, contagion is typically observed during periods of financial crises when market volatility rises and financial linkages strengthen across countries.</w:t>
      </w:r>
    </w:p>
    <w:p w14:paraId="215E9603" w14:textId="77777777" w:rsidR="00F213D7" w:rsidRPr="00340AA1" w:rsidRDefault="00F213D7" w:rsidP="00340AA1">
      <w:pPr>
        <w:spacing w:line="360" w:lineRule="auto"/>
        <w:rPr>
          <w:rFonts w:ascii="Times New Roman" w:hAnsi="Times New Roman" w:cs="Times New Roman"/>
        </w:rPr>
      </w:pPr>
    </w:p>
    <w:p w14:paraId="44ADC1B6" w14:textId="77777777" w:rsidR="00F213D7" w:rsidRPr="00340AA1" w:rsidRDefault="00F213D7" w:rsidP="00340AA1">
      <w:pPr>
        <w:spacing w:line="360" w:lineRule="auto"/>
        <w:rPr>
          <w:rFonts w:ascii="Times New Roman" w:hAnsi="Times New Roman" w:cs="Times New Roman"/>
        </w:rPr>
      </w:pPr>
    </w:p>
    <w:p w14:paraId="58ED4E0A" w14:textId="73FC4D2D" w:rsidR="00F213D7" w:rsidRPr="00340AA1" w:rsidRDefault="00F213D7"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Market Interdependence Theory</w:t>
      </w:r>
    </w:p>
    <w:p w14:paraId="22D7B731" w14:textId="2C3874DF" w:rsidR="00F213D7" w:rsidRPr="00340AA1" w:rsidRDefault="00F213D7" w:rsidP="00340AA1">
      <w:pPr>
        <w:spacing w:line="360" w:lineRule="auto"/>
        <w:rPr>
          <w:rFonts w:ascii="Times New Roman" w:hAnsi="Times New Roman" w:cs="Times New Roman"/>
        </w:rPr>
      </w:pPr>
      <w:r w:rsidRPr="00340AA1">
        <w:rPr>
          <w:rFonts w:ascii="Times New Roman" w:hAnsi="Times New Roman" w:cs="Times New Roman"/>
        </w:rPr>
        <w:t xml:space="preserve">Relatively close to the Financial Contagion Theory is the Market Interdependence concept, which has quite theoretical roots in classical, dating back to the 1700s. From Quesnay’s Tableau Économique and Walras’s general equilibrium theory to Leontief’s input–output analysis, researchers have stated and proven time and again that markets do not exist in isolation but are </w:t>
      </w:r>
      <w:r w:rsidRPr="00340AA1">
        <w:rPr>
          <w:rFonts w:ascii="Times New Roman" w:hAnsi="Times New Roman" w:cs="Times New Roman"/>
        </w:rPr>
        <w:lastRenderedPageBreak/>
        <w:t xml:space="preserve">structurally integrated. This phenomenon was later extended to financial markets, where it was noticed that globilisation and capital mobility caused persistent correlations in the stock market. In their paper </w:t>
      </w:r>
      <w:sdt>
        <w:sdtPr>
          <w:rPr>
            <w:rFonts w:ascii="Times New Roman" w:hAnsi="Times New Roman" w:cs="Times New Roman"/>
          </w:rPr>
          <w:id w:val="-172413912"/>
          <w:citation/>
        </w:sdtPr>
        <w:sdtContent>
          <w:r w:rsidR="006D5F04" w:rsidRPr="00340AA1">
            <w:rPr>
              <w:rFonts w:ascii="Times New Roman" w:hAnsi="Times New Roman" w:cs="Times New Roman"/>
            </w:rPr>
            <w:fldChar w:fldCharType="begin"/>
          </w:r>
          <w:r w:rsidR="006D5F04" w:rsidRPr="00340AA1">
            <w:rPr>
              <w:rFonts w:ascii="Times New Roman" w:hAnsi="Times New Roman" w:cs="Times New Roman"/>
            </w:rPr>
            <w:instrText xml:space="preserve"> CITATION For02 \l 1033 </w:instrText>
          </w:r>
          <w:r w:rsidR="006D5F04"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006D5F04" w:rsidRPr="00340AA1">
            <w:rPr>
              <w:rFonts w:ascii="Times New Roman" w:hAnsi="Times New Roman" w:cs="Times New Roman"/>
            </w:rPr>
            <w:fldChar w:fldCharType="end"/>
          </w:r>
        </w:sdtContent>
      </w:sdt>
      <w:r w:rsidR="00866AC8" w:rsidRPr="00340AA1">
        <w:rPr>
          <w:rFonts w:ascii="Times New Roman" w:hAnsi="Times New Roman" w:cs="Times New Roman"/>
        </w:rPr>
        <w:t xml:space="preserve"> </w:t>
      </w:r>
      <w:r w:rsidRPr="00340AA1">
        <w:rPr>
          <w:rFonts w:ascii="Times New Roman" w:hAnsi="Times New Roman" w:cs="Times New Roman"/>
        </w:rPr>
        <w:t xml:space="preserve">indicate that high correlations between markets do not necessarily imply contagion but rather reflect enduring structural linkages within the global financial system. Building on this theoretical tradition, </w:t>
      </w:r>
      <w:sdt>
        <w:sdtPr>
          <w:rPr>
            <w:rFonts w:ascii="Times New Roman" w:hAnsi="Times New Roman" w:cs="Times New Roman"/>
          </w:rPr>
          <w:id w:val="-611674900"/>
          <w:citation/>
        </w:sdtPr>
        <w:sdtContent>
          <w:r w:rsidR="006E647E" w:rsidRPr="00340AA1">
            <w:rPr>
              <w:rFonts w:ascii="Times New Roman" w:hAnsi="Times New Roman" w:cs="Times New Roman"/>
            </w:rPr>
            <w:fldChar w:fldCharType="begin"/>
          </w:r>
          <w:r w:rsidR="006E647E" w:rsidRPr="00340AA1">
            <w:rPr>
              <w:rFonts w:ascii="Times New Roman" w:hAnsi="Times New Roman" w:cs="Times New Roman"/>
            </w:rPr>
            <w:instrText xml:space="preserve"> CITATION Pre02 \l 1033 </w:instrText>
          </w:r>
          <w:r w:rsidR="006E647E" w:rsidRPr="00340AA1">
            <w:rPr>
              <w:rFonts w:ascii="Times New Roman" w:hAnsi="Times New Roman" w:cs="Times New Roman"/>
            </w:rPr>
            <w:fldChar w:fldCharType="separate"/>
          </w:r>
          <w:r w:rsidR="009E5B67" w:rsidRPr="009E5B67">
            <w:rPr>
              <w:rFonts w:ascii="Times New Roman" w:hAnsi="Times New Roman" w:cs="Times New Roman"/>
              <w:noProof/>
            </w:rPr>
            <w:t>(Pretorius, 2002)</w:t>
          </w:r>
          <w:r w:rsidR="006E647E" w:rsidRPr="00340AA1">
            <w:rPr>
              <w:rFonts w:ascii="Times New Roman" w:hAnsi="Times New Roman" w:cs="Times New Roman"/>
            </w:rPr>
            <w:fldChar w:fldCharType="end"/>
          </w:r>
        </w:sdtContent>
      </w:sdt>
      <w:r w:rsidR="006E647E" w:rsidRPr="00340AA1">
        <w:rPr>
          <w:rFonts w:ascii="Times New Roman" w:hAnsi="Times New Roman" w:cs="Times New Roman"/>
        </w:rPr>
        <w:t xml:space="preserve"> </w:t>
      </w:r>
      <w:r w:rsidRPr="00340AA1">
        <w:rPr>
          <w:rFonts w:ascii="Times New Roman" w:hAnsi="Times New Roman" w:cs="Times New Roman"/>
        </w:rPr>
        <w:t>also shows that emerging market co-movements are systematically shaped by trade intensity and macroeconomic similarities, particularly industrial production growth. Her work reinforces the view that interdependence is not a solely crisis-driven abnormality, but a manifestation of fundamental economic connections, underscoring the importance of distinguishing contagion from interdependence in empirical studies.</w:t>
      </w:r>
    </w:p>
    <w:p w14:paraId="489B994F" w14:textId="77777777" w:rsidR="00F213D7" w:rsidRPr="00340AA1" w:rsidRDefault="00F213D7" w:rsidP="00340AA1">
      <w:pPr>
        <w:spacing w:line="360" w:lineRule="auto"/>
        <w:rPr>
          <w:rFonts w:ascii="Times New Roman" w:hAnsi="Times New Roman" w:cs="Times New Roman"/>
        </w:rPr>
      </w:pPr>
    </w:p>
    <w:p w14:paraId="1455429E" w14:textId="77777777" w:rsidR="00F213D7" w:rsidRPr="00340AA1" w:rsidRDefault="00F213D7"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Information Transmission Theory of Financial Contagion</w:t>
      </w:r>
    </w:p>
    <w:p w14:paraId="085AE67E" w14:textId="62F11779" w:rsidR="00F213D7" w:rsidRPr="00340AA1" w:rsidRDefault="00297CB6" w:rsidP="00340AA1">
      <w:pPr>
        <w:spacing w:line="360" w:lineRule="auto"/>
        <w:rPr>
          <w:rFonts w:ascii="Times New Roman" w:hAnsi="Times New Roman" w:cs="Times New Roman"/>
        </w:rPr>
      </w:pPr>
      <w:r w:rsidRPr="00340AA1">
        <w:rPr>
          <w:rFonts w:ascii="Times New Roman" w:hAnsi="Times New Roman" w:cs="Times New Roman"/>
        </w:rPr>
        <w:t xml:space="preserve">Another relevant theoretical perspective in the case of financial contagions is the Information Transmission Theory of Financial Contagion. This perspective is based on the studies in asymmetric information and herding behavior by researchers like </w:t>
      </w:r>
      <w:sdt>
        <w:sdtPr>
          <w:rPr>
            <w:rFonts w:ascii="Times New Roman" w:hAnsi="Times New Roman" w:cs="Times New Roman"/>
          </w:rPr>
          <w:id w:val="-1212413512"/>
          <w:citation/>
        </w:sdtPr>
        <w:sdtContent>
          <w:r w:rsidR="00C66B17" w:rsidRPr="00340AA1">
            <w:rPr>
              <w:rFonts w:ascii="Times New Roman" w:hAnsi="Times New Roman" w:cs="Times New Roman"/>
            </w:rPr>
            <w:fldChar w:fldCharType="begin"/>
          </w:r>
          <w:r w:rsidR="00C66B17" w:rsidRPr="00340AA1">
            <w:rPr>
              <w:rFonts w:ascii="Times New Roman" w:hAnsi="Times New Roman" w:cs="Times New Roman"/>
            </w:rPr>
            <w:instrText xml:space="preserve"> CITATION AKE78 \l 1033 </w:instrText>
          </w:r>
          <w:r w:rsidR="00C66B17" w:rsidRPr="00340AA1">
            <w:rPr>
              <w:rFonts w:ascii="Times New Roman" w:hAnsi="Times New Roman" w:cs="Times New Roman"/>
            </w:rPr>
            <w:fldChar w:fldCharType="separate"/>
          </w:r>
          <w:r w:rsidR="009E5B67" w:rsidRPr="009E5B67">
            <w:rPr>
              <w:rFonts w:ascii="Times New Roman" w:hAnsi="Times New Roman" w:cs="Times New Roman"/>
              <w:noProof/>
            </w:rPr>
            <w:t>(AKERLOF, 1978)</w:t>
          </w:r>
          <w:r w:rsidR="00C66B17" w:rsidRPr="00340AA1">
            <w:rPr>
              <w:rFonts w:ascii="Times New Roman" w:hAnsi="Times New Roman" w:cs="Times New Roman"/>
            </w:rPr>
            <w:fldChar w:fldCharType="end"/>
          </w:r>
        </w:sdtContent>
      </w:sdt>
      <w:r w:rsidRPr="00340AA1">
        <w:rPr>
          <w:rFonts w:ascii="Times New Roman" w:hAnsi="Times New Roman" w:cs="Times New Roman"/>
        </w:rPr>
        <w:t xml:space="preserve">, </w:t>
      </w:r>
      <w:sdt>
        <w:sdtPr>
          <w:rPr>
            <w:rFonts w:ascii="Times New Roman" w:hAnsi="Times New Roman" w:cs="Times New Roman"/>
          </w:rPr>
          <w:id w:val="-850250710"/>
          <w:citation/>
        </w:sdtPr>
        <w:sdtContent>
          <w:r w:rsidR="00F73AA9" w:rsidRPr="00340AA1">
            <w:rPr>
              <w:rFonts w:ascii="Times New Roman" w:hAnsi="Times New Roman" w:cs="Times New Roman"/>
            </w:rPr>
            <w:fldChar w:fldCharType="begin"/>
          </w:r>
          <w:r w:rsidR="00F73AA9" w:rsidRPr="00340AA1">
            <w:rPr>
              <w:rFonts w:ascii="Times New Roman" w:hAnsi="Times New Roman" w:cs="Times New Roman"/>
            </w:rPr>
            <w:instrText xml:space="preserve"> CITATION Ban92 \l 1033 </w:instrText>
          </w:r>
          <w:r w:rsidR="00F73AA9" w:rsidRPr="00340AA1">
            <w:rPr>
              <w:rFonts w:ascii="Times New Roman" w:hAnsi="Times New Roman" w:cs="Times New Roman"/>
            </w:rPr>
            <w:fldChar w:fldCharType="separate"/>
          </w:r>
          <w:r w:rsidR="009E5B67" w:rsidRPr="009E5B67">
            <w:rPr>
              <w:rFonts w:ascii="Times New Roman" w:hAnsi="Times New Roman" w:cs="Times New Roman"/>
              <w:noProof/>
            </w:rPr>
            <w:t>(Banerjee, 1992)</w:t>
          </w:r>
          <w:r w:rsidR="00F73AA9" w:rsidRPr="00340AA1">
            <w:rPr>
              <w:rFonts w:ascii="Times New Roman" w:hAnsi="Times New Roman" w:cs="Times New Roman"/>
            </w:rPr>
            <w:fldChar w:fldCharType="end"/>
          </w:r>
        </w:sdtContent>
      </w:sdt>
      <w:r w:rsidRPr="00340AA1">
        <w:rPr>
          <w:rFonts w:ascii="Times New Roman" w:hAnsi="Times New Roman" w:cs="Times New Roman"/>
        </w:rPr>
        <w:t xml:space="preserve">, and </w:t>
      </w:r>
      <w:sdt>
        <w:sdtPr>
          <w:rPr>
            <w:rFonts w:ascii="Times New Roman" w:hAnsi="Times New Roman" w:cs="Times New Roman"/>
          </w:rPr>
          <w:id w:val="1591343639"/>
          <w:citation/>
        </w:sdtPr>
        <w:sdtContent>
          <w:r w:rsidR="00222E6E" w:rsidRPr="00340AA1">
            <w:rPr>
              <w:rFonts w:ascii="Times New Roman" w:hAnsi="Times New Roman" w:cs="Times New Roman"/>
            </w:rPr>
            <w:fldChar w:fldCharType="begin"/>
          </w:r>
          <w:r w:rsidR="00222E6E" w:rsidRPr="00340AA1">
            <w:rPr>
              <w:rFonts w:ascii="Times New Roman" w:hAnsi="Times New Roman" w:cs="Times New Roman"/>
            </w:rPr>
            <w:instrText xml:space="preserve"> CITATION Bik92 \l 1033 </w:instrText>
          </w:r>
          <w:r w:rsidR="00222E6E" w:rsidRPr="00340AA1">
            <w:rPr>
              <w:rFonts w:ascii="Times New Roman" w:hAnsi="Times New Roman" w:cs="Times New Roman"/>
            </w:rPr>
            <w:fldChar w:fldCharType="separate"/>
          </w:r>
          <w:r w:rsidR="009E5B67" w:rsidRPr="009E5B67">
            <w:rPr>
              <w:rFonts w:ascii="Times New Roman" w:hAnsi="Times New Roman" w:cs="Times New Roman"/>
              <w:noProof/>
            </w:rPr>
            <w:t>(Bikhchandani, Hirshleifer, &amp; Welch, 1992)</w:t>
          </w:r>
          <w:r w:rsidR="00222E6E" w:rsidRPr="00340AA1">
            <w:rPr>
              <w:rFonts w:ascii="Times New Roman" w:hAnsi="Times New Roman" w:cs="Times New Roman"/>
            </w:rPr>
            <w:fldChar w:fldCharType="end"/>
          </w:r>
        </w:sdtContent>
      </w:sdt>
      <w:r w:rsidRPr="00340AA1">
        <w:rPr>
          <w:rFonts w:ascii="Times New Roman" w:hAnsi="Times New Roman" w:cs="Times New Roman"/>
        </w:rPr>
        <w:t xml:space="preserve">. Researchers like </w:t>
      </w:r>
      <w:sdt>
        <w:sdtPr>
          <w:rPr>
            <w:rFonts w:ascii="Times New Roman" w:hAnsi="Times New Roman" w:cs="Times New Roman"/>
          </w:rPr>
          <w:id w:val="1659269829"/>
          <w:citation/>
        </w:sdtPr>
        <w:sdtContent>
          <w:r w:rsidR="00CA054D" w:rsidRPr="00340AA1">
            <w:rPr>
              <w:rFonts w:ascii="Times New Roman" w:hAnsi="Times New Roman" w:cs="Times New Roman"/>
            </w:rPr>
            <w:fldChar w:fldCharType="begin"/>
          </w:r>
          <w:r w:rsidR="00CA054D" w:rsidRPr="00340AA1">
            <w:rPr>
              <w:rFonts w:ascii="Times New Roman" w:hAnsi="Times New Roman" w:cs="Times New Roman"/>
            </w:rPr>
            <w:instrText xml:space="preserve"> CITATION Kin90 \l 1033 </w:instrText>
          </w:r>
          <w:r w:rsidR="00CA054D" w:rsidRPr="00340AA1">
            <w:rPr>
              <w:rFonts w:ascii="Times New Roman" w:hAnsi="Times New Roman" w:cs="Times New Roman"/>
            </w:rPr>
            <w:fldChar w:fldCharType="separate"/>
          </w:r>
          <w:r w:rsidR="009E5B67" w:rsidRPr="009E5B67">
            <w:rPr>
              <w:rFonts w:ascii="Times New Roman" w:hAnsi="Times New Roman" w:cs="Times New Roman"/>
              <w:noProof/>
            </w:rPr>
            <w:t>(King &amp; Wadhwani, Transmission of Volatility between Stock Markets, 1990)</w:t>
          </w:r>
          <w:r w:rsidR="00CA054D" w:rsidRPr="00340AA1">
            <w:rPr>
              <w:rFonts w:ascii="Times New Roman" w:hAnsi="Times New Roman" w:cs="Times New Roman"/>
            </w:rPr>
            <w:fldChar w:fldCharType="end"/>
          </w:r>
        </w:sdtContent>
      </w:sdt>
      <w:r w:rsidR="00CA054D" w:rsidRPr="00340AA1">
        <w:rPr>
          <w:rFonts w:ascii="Times New Roman" w:hAnsi="Times New Roman" w:cs="Times New Roman"/>
        </w:rPr>
        <w:t xml:space="preserve"> </w:t>
      </w:r>
      <w:r w:rsidRPr="00340AA1">
        <w:rPr>
          <w:rFonts w:ascii="Times New Roman" w:hAnsi="Times New Roman" w:cs="Times New Roman"/>
        </w:rPr>
        <w:t xml:space="preserve">and </w:t>
      </w:r>
      <w:sdt>
        <w:sdtPr>
          <w:rPr>
            <w:rFonts w:ascii="Times New Roman" w:hAnsi="Times New Roman" w:cs="Times New Roman"/>
          </w:rPr>
          <w:id w:val="-1380695265"/>
          <w:citation/>
        </w:sdtPr>
        <w:sdtContent>
          <w:r w:rsidR="00A55AAD" w:rsidRPr="00340AA1">
            <w:rPr>
              <w:rFonts w:ascii="Times New Roman" w:hAnsi="Times New Roman" w:cs="Times New Roman"/>
            </w:rPr>
            <w:fldChar w:fldCharType="begin"/>
          </w:r>
          <w:r w:rsidR="00A55AAD" w:rsidRPr="00340AA1">
            <w:rPr>
              <w:rFonts w:ascii="Times New Roman" w:hAnsi="Times New Roman" w:cs="Times New Roman"/>
            </w:rPr>
            <w:instrText xml:space="preserve"> CITATION Cal00 \l 1033 </w:instrText>
          </w:r>
          <w:r w:rsidR="00A55AAD" w:rsidRPr="00340AA1">
            <w:rPr>
              <w:rFonts w:ascii="Times New Roman" w:hAnsi="Times New Roman" w:cs="Times New Roman"/>
            </w:rPr>
            <w:fldChar w:fldCharType="separate"/>
          </w:r>
          <w:r w:rsidR="009E5B67" w:rsidRPr="009E5B67">
            <w:rPr>
              <w:rFonts w:ascii="Times New Roman" w:hAnsi="Times New Roman" w:cs="Times New Roman"/>
              <w:noProof/>
            </w:rPr>
            <w:t>(Calvo &amp; Mendoza, 2000)</w:t>
          </w:r>
          <w:r w:rsidR="00A55AAD" w:rsidRPr="00340AA1">
            <w:rPr>
              <w:rFonts w:ascii="Times New Roman" w:hAnsi="Times New Roman" w:cs="Times New Roman"/>
            </w:rPr>
            <w:fldChar w:fldCharType="end"/>
          </w:r>
        </w:sdtContent>
      </w:sdt>
      <w:r w:rsidR="00A55AAD" w:rsidRPr="00340AA1">
        <w:rPr>
          <w:rFonts w:ascii="Times New Roman" w:hAnsi="Times New Roman" w:cs="Times New Roman"/>
        </w:rPr>
        <w:t xml:space="preserve"> </w:t>
      </w:r>
      <w:r w:rsidRPr="00340AA1">
        <w:rPr>
          <w:rFonts w:ascii="Times New Roman" w:hAnsi="Times New Roman" w:cs="Times New Roman"/>
        </w:rPr>
        <w:t xml:space="preserve">have also emphasized that in the case of financial contagions, investors react to the signals from one market due to information constraints. In other words, in the case of financial contagions, the markets react quickly to new information about economic conditions and events. Such new information can be transmitted across countries through media and investors. In the case of uncertain events like the COVID-19 pandemic, in periods of uncertainty, the impact of information can be seen in the co-movements of the markets. In other words, in periods of uncertainty, the impact of information can be seen in the co-movements of the markets. This can be seen in the study by </w:t>
      </w:r>
      <w:sdt>
        <w:sdtPr>
          <w:rPr>
            <w:rFonts w:ascii="Times New Roman" w:hAnsi="Times New Roman" w:cs="Times New Roman"/>
          </w:rPr>
          <w:id w:val="1610550910"/>
          <w:citation/>
        </w:sdtPr>
        <w:sdtContent>
          <w:r w:rsidR="00CD5B1D" w:rsidRPr="00340AA1">
            <w:rPr>
              <w:rFonts w:ascii="Times New Roman" w:hAnsi="Times New Roman" w:cs="Times New Roman"/>
            </w:rPr>
            <w:fldChar w:fldCharType="begin"/>
          </w:r>
          <w:r w:rsidR="00CD5B1D" w:rsidRPr="00340AA1">
            <w:rPr>
              <w:rFonts w:ascii="Times New Roman" w:hAnsi="Times New Roman" w:cs="Times New Roman"/>
            </w:rPr>
            <w:instrText xml:space="preserve"> CITATION Yar22 \l 1033 </w:instrText>
          </w:r>
          <w:r w:rsidR="00CD5B1D" w:rsidRPr="00340AA1">
            <w:rPr>
              <w:rFonts w:ascii="Times New Roman" w:hAnsi="Times New Roman" w:cs="Times New Roman"/>
            </w:rPr>
            <w:fldChar w:fldCharType="separate"/>
          </w:r>
          <w:r w:rsidR="009E5B67" w:rsidRPr="009E5B67">
            <w:rPr>
              <w:rFonts w:ascii="Times New Roman" w:hAnsi="Times New Roman" w:cs="Times New Roman"/>
              <w:noProof/>
            </w:rPr>
            <w:t>(Yarovaya, Brzeszczyński , Goodell , Lucey, &amp; Marco Lau, 2022)</w:t>
          </w:r>
          <w:r w:rsidR="00CD5B1D" w:rsidRPr="00340AA1">
            <w:rPr>
              <w:rFonts w:ascii="Times New Roman" w:hAnsi="Times New Roman" w:cs="Times New Roman"/>
            </w:rPr>
            <w:fldChar w:fldCharType="end"/>
          </w:r>
        </w:sdtContent>
      </w:sdt>
    </w:p>
    <w:p w14:paraId="6D4B21F4" w14:textId="77777777" w:rsidR="00297CB6" w:rsidRPr="00340AA1" w:rsidRDefault="00297CB6" w:rsidP="00340AA1">
      <w:pPr>
        <w:spacing w:line="360" w:lineRule="auto"/>
        <w:rPr>
          <w:rFonts w:ascii="Times New Roman" w:hAnsi="Times New Roman" w:cs="Times New Roman"/>
        </w:rPr>
      </w:pPr>
    </w:p>
    <w:p w14:paraId="58816D22" w14:textId="1FDA23B0" w:rsidR="00F213D7" w:rsidRPr="00340AA1" w:rsidRDefault="008B3852" w:rsidP="00340AA1">
      <w:pPr>
        <w:spacing w:line="360" w:lineRule="auto"/>
        <w:rPr>
          <w:rFonts w:ascii="Times New Roman" w:hAnsi="Times New Roman" w:cs="Times New Roman"/>
        </w:rPr>
      </w:pPr>
      <w:r w:rsidRPr="00340AA1">
        <w:rPr>
          <w:rFonts w:ascii="Times New Roman" w:hAnsi="Times New Roman" w:cs="Times New Roman"/>
        </w:rPr>
        <w:t xml:space="preserve">Collectively, these theoretical frameworks can be seen to form a basis for understanding the nature of </w:t>
      </w:r>
      <w:r w:rsidR="00714E8E" w:rsidRPr="00340AA1">
        <w:rPr>
          <w:rFonts w:ascii="Times New Roman" w:hAnsi="Times New Roman" w:cs="Times New Roman"/>
        </w:rPr>
        <w:t>relationships</w:t>
      </w:r>
      <w:r w:rsidRPr="00340AA1">
        <w:rPr>
          <w:rFonts w:ascii="Times New Roman" w:hAnsi="Times New Roman" w:cs="Times New Roman"/>
        </w:rPr>
        <w:t xml:space="preserve"> in the financial markets. Modern Portfolio Theory can be seen to explain the nature of diversification and correlations in finance, while the theories of financial contagion </w:t>
      </w:r>
      <w:r w:rsidRPr="00340AA1">
        <w:rPr>
          <w:rFonts w:ascii="Times New Roman" w:hAnsi="Times New Roman" w:cs="Times New Roman"/>
        </w:rPr>
        <w:lastRenderedPageBreak/>
        <w:t xml:space="preserve">and </w:t>
      </w:r>
      <w:r w:rsidR="00261F12" w:rsidRPr="00340AA1">
        <w:rPr>
          <w:rFonts w:ascii="Times New Roman" w:hAnsi="Times New Roman" w:cs="Times New Roman"/>
        </w:rPr>
        <w:t>interdependence</w:t>
      </w:r>
      <w:r w:rsidRPr="00340AA1">
        <w:rPr>
          <w:rFonts w:ascii="Times New Roman" w:hAnsi="Times New Roman" w:cs="Times New Roman"/>
        </w:rPr>
        <w:t xml:space="preserve"> explain the nature and impact of contagions and linkages in the markets. The perspective of information transmission can also be seen to emphasize the impact of investors and global information in the markets. These theories can be seen to form a basis for the econometric models that can be used to understand the nature of contagion in the markets, including the DCC-GARCH and regime-switching models.</w:t>
      </w:r>
    </w:p>
    <w:p w14:paraId="13D694B3" w14:textId="77777777" w:rsidR="008B3852" w:rsidRPr="00340AA1" w:rsidRDefault="008B3852" w:rsidP="00340AA1">
      <w:pPr>
        <w:spacing w:line="360" w:lineRule="auto"/>
        <w:rPr>
          <w:rFonts w:ascii="Times New Roman" w:hAnsi="Times New Roman" w:cs="Times New Roman"/>
          <w:b/>
          <w:bCs/>
        </w:rPr>
      </w:pPr>
    </w:p>
    <w:p w14:paraId="62A826E4" w14:textId="52DADEC9" w:rsidR="007617DB" w:rsidRPr="00340AA1" w:rsidRDefault="007617DB" w:rsidP="00340AA1">
      <w:pPr>
        <w:pStyle w:val="ListParagraph"/>
        <w:numPr>
          <w:ilvl w:val="1"/>
          <w:numId w:val="3"/>
        </w:numPr>
        <w:spacing w:line="360" w:lineRule="auto"/>
        <w:rPr>
          <w:rFonts w:ascii="Times New Roman" w:hAnsi="Times New Roman" w:cs="Times New Roman"/>
          <w:b/>
          <w:bCs/>
        </w:rPr>
      </w:pPr>
      <w:r w:rsidRPr="00340AA1">
        <w:rPr>
          <w:rFonts w:ascii="Times New Roman" w:hAnsi="Times New Roman" w:cs="Times New Roman"/>
          <w:b/>
          <w:bCs/>
        </w:rPr>
        <w:t>Empirical Literature Review</w:t>
      </w:r>
    </w:p>
    <w:p w14:paraId="3BC64827" w14:textId="62D8CAE0" w:rsidR="007617DB" w:rsidRPr="00340AA1" w:rsidRDefault="007617DB"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Global Evidence on Financial Contagion: Methodological Evolution</w:t>
      </w:r>
    </w:p>
    <w:p w14:paraId="05022052" w14:textId="1F6B0914" w:rsidR="00BD7949" w:rsidRPr="00340AA1" w:rsidRDefault="00C609EB" w:rsidP="00340AA1">
      <w:pPr>
        <w:spacing w:line="360" w:lineRule="auto"/>
        <w:rPr>
          <w:rFonts w:ascii="Times New Roman" w:hAnsi="Times New Roman" w:cs="Times New Roman"/>
        </w:rPr>
      </w:pPr>
      <w:r w:rsidRPr="00340AA1">
        <w:rPr>
          <w:rFonts w:ascii="Times New Roman" w:hAnsi="Times New Roman" w:cs="Times New Roman"/>
        </w:rPr>
        <w:t>The Financial Contagion literature has evolved extensively over the years, from the complexity of the models to the insights different researchers have brought to light</w:t>
      </w:r>
      <w:r w:rsidR="007617DB" w:rsidRPr="00340AA1">
        <w:rPr>
          <w:rFonts w:ascii="Times New Roman" w:hAnsi="Times New Roman" w:cs="Times New Roman"/>
        </w:rPr>
        <w:t xml:space="preserve">. The evolution has </w:t>
      </w:r>
      <w:r w:rsidR="00BC3C48" w:rsidRPr="00340AA1">
        <w:rPr>
          <w:rFonts w:ascii="Times New Roman" w:hAnsi="Times New Roman" w:cs="Times New Roman"/>
        </w:rPr>
        <w:t>been driven primarily by differences</w:t>
      </w:r>
      <w:r w:rsidR="007617DB" w:rsidRPr="00340AA1">
        <w:rPr>
          <w:rFonts w:ascii="Times New Roman" w:hAnsi="Times New Roman" w:cs="Times New Roman"/>
        </w:rPr>
        <w:t xml:space="preserve"> in approaches</w:t>
      </w:r>
      <w:r w:rsidR="00BC3C48" w:rsidRPr="00340AA1">
        <w:rPr>
          <w:rFonts w:ascii="Times New Roman" w:hAnsi="Times New Roman" w:cs="Times New Roman"/>
        </w:rPr>
        <w:t>.</w:t>
      </w:r>
      <w:r w:rsidR="007617DB" w:rsidRPr="00340AA1">
        <w:rPr>
          <w:rFonts w:ascii="Times New Roman" w:hAnsi="Times New Roman" w:cs="Times New Roman"/>
        </w:rPr>
        <w:t xml:space="preserve"> </w:t>
      </w:r>
      <w:r w:rsidR="00BC3C48" w:rsidRPr="00340AA1">
        <w:rPr>
          <w:rFonts w:ascii="Times New Roman" w:hAnsi="Times New Roman" w:cs="Times New Roman"/>
        </w:rPr>
        <w:t xml:space="preserve">Some </w:t>
      </w:r>
      <w:r w:rsidR="007617DB" w:rsidRPr="00340AA1">
        <w:rPr>
          <w:rFonts w:ascii="Times New Roman" w:hAnsi="Times New Roman" w:cs="Times New Roman"/>
        </w:rPr>
        <w:t xml:space="preserve">view linkages as steady and unchanging, while others </w:t>
      </w:r>
      <w:r w:rsidR="00BC3C48" w:rsidRPr="00340AA1">
        <w:rPr>
          <w:rFonts w:ascii="Times New Roman" w:hAnsi="Times New Roman" w:cs="Times New Roman"/>
        </w:rPr>
        <w:t>view them</w:t>
      </w:r>
      <w:r w:rsidR="007617DB" w:rsidRPr="00340AA1">
        <w:rPr>
          <w:rFonts w:ascii="Times New Roman" w:hAnsi="Times New Roman" w:cs="Times New Roman"/>
        </w:rPr>
        <w:t xml:space="preserve"> as time-varying. </w:t>
      </w:r>
      <w:r w:rsidR="00BC3C48" w:rsidRPr="00340AA1">
        <w:rPr>
          <w:rFonts w:ascii="Times New Roman" w:hAnsi="Times New Roman" w:cs="Times New Roman"/>
        </w:rPr>
        <w:t xml:space="preserve">In their study, </w:t>
      </w:r>
      <w:sdt>
        <w:sdtPr>
          <w:rPr>
            <w:rFonts w:ascii="Times New Roman" w:hAnsi="Times New Roman" w:cs="Times New Roman"/>
          </w:rPr>
          <w:id w:val="-508064143"/>
          <w:citation/>
        </w:sdtPr>
        <w:sdtContent>
          <w:r w:rsidR="00931544" w:rsidRPr="00340AA1">
            <w:rPr>
              <w:rFonts w:ascii="Times New Roman" w:hAnsi="Times New Roman" w:cs="Times New Roman"/>
            </w:rPr>
            <w:fldChar w:fldCharType="begin"/>
          </w:r>
          <w:r w:rsidR="00931544" w:rsidRPr="00340AA1">
            <w:rPr>
              <w:rFonts w:ascii="Times New Roman" w:hAnsi="Times New Roman" w:cs="Times New Roman"/>
              <w:b/>
              <w:bCs/>
            </w:rPr>
            <w:instrText xml:space="preserve"> CITATION For02 \l 1033 </w:instrText>
          </w:r>
          <w:r w:rsidR="00931544"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00931544" w:rsidRPr="00340AA1">
            <w:rPr>
              <w:rFonts w:ascii="Times New Roman" w:hAnsi="Times New Roman" w:cs="Times New Roman"/>
            </w:rPr>
            <w:fldChar w:fldCharType="end"/>
          </w:r>
        </w:sdtContent>
      </w:sdt>
      <w:r w:rsidR="00BC3C48" w:rsidRPr="00340AA1">
        <w:rPr>
          <w:rFonts w:ascii="Times New Roman" w:hAnsi="Times New Roman" w:cs="Times New Roman"/>
        </w:rPr>
        <w:t xml:space="preserve"> used heteroskedasticity-adjusted correlation measures and concluded that what appears to be contagion during crises is just the usual ongoing interdependence. </w:t>
      </w:r>
    </w:p>
    <w:p w14:paraId="0BC72B90" w14:textId="711C3C71" w:rsidR="00BD7949" w:rsidRPr="00340AA1" w:rsidRDefault="007617DB" w:rsidP="00340AA1">
      <w:pPr>
        <w:spacing w:line="360" w:lineRule="auto"/>
        <w:rPr>
          <w:rFonts w:ascii="Times New Roman" w:hAnsi="Times New Roman" w:cs="Times New Roman"/>
        </w:rPr>
      </w:pPr>
      <w:r w:rsidRPr="00340AA1">
        <w:rPr>
          <w:rFonts w:ascii="Times New Roman" w:hAnsi="Times New Roman" w:cs="Times New Roman"/>
        </w:rPr>
        <w:t xml:space="preserve">However, </w:t>
      </w:r>
      <w:r w:rsidR="00EF367B" w:rsidRPr="00340AA1">
        <w:rPr>
          <w:rFonts w:ascii="Times New Roman" w:hAnsi="Times New Roman" w:cs="Times New Roman"/>
        </w:rPr>
        <w:t xml:space="preserve">because of more recent studies that employ more complex and time-varying models, there has been quite a debate on the aforementioned conclusion. </w:t>
      </w:r>
      <w:sdt>
        <w:sdtPr>
          <w:rPr>
            <w:rFonts w:ascii="Times New Roman" w:hAnsi="Times New Roman" w:cs="Times New Roman"/>
          </w:rPr>
          <w:id w:val="-1438214944"/>
          <w:citation/>
        </w:sdtPr>
        <w:sdtContent>
          <w:r w:rsidR="00B30F86" w:rsidRPr="00340AA1">
            <w:rPr>
              <w:rFonts w:ascii="Times New Roman" w:hAnsi="Times New Roman" w:cs="Times New Roman"/>
            </w:rPr>
            <w:fldChar w:fldCharType="begin"/>
          </w:r>
          <w:r w:rsidR="00B30F86" w:rsidRPr="00340AA1">
            <w:rPr>
              <w:rFonts w:ascii="Times New Roman" w:hAnsi="Times New Roman" w:cs="Times New Roman"/>
              <w:b/>
              <w:bCs/>
            </w:rPr>
            <w:instrText xml:space="preserve"> CITATION Chi07 \l 1033 </w:instrText>
          </w:r>
          <w:r w:rsidR="00B30F86" w:rsidRPr="00340AA1">
            <w:rPr>
              <w:rFonts w:ascii="Times New Roman" w:hAnsi="Times New Roman" w:cs="Times New Roman"/>
            </w:rPr>
            <w:fldChar w:fldCharType="separate"/>
          </w:r>
          <w:r w:rsidR="009E5B67" w:rsidRPr="009E5B67">
            <w:rPr>
              <w:rFonts w:ascii="Times New Roman" w:hAnsi="Times New Roman" w:cs="Times New Roman"/>
              <w:noProof/>
            </w:rPr>
            <w:t>(Chiang, Jeon, &amp; Li, 2007)</w:t>
          </w:r>
          <w:r w:rsidR="00B30F86" w:rsidRPr="00340AA1">
            <w:rPr>
              <w:rFonts w:ascii="Times New Roman" w:hAnsi="Times New Roman" w:cs="Times New Roman"/>
            </w:rPr>
            <w:fldChar w:fldCharType="end"/>
          </w:r>
        </w:sdtContent>
      </w:sdt>
      <w:r w:rsidR="00B30F86" w:rsidRPr="00340AA1">
        <w:rPr>
          <w:rFonts w:ascii="Times New Roman" w:hAnsi="Times New Roman" w:cs="Times New Roman"/>
        </w:rPr>
        <w:t xml:space="preserve"> </w:t>
      </w:r>
      <w:r w:rsidR="00D91B7D" w:rsidRPr="00340AA1">
        <w:rPr>
          <w:rFonts w:ascii="Times New Roman" w:hAnsi="Times New Roman" w:cs="Times New Roman"/>
        </w:rPr>
        <w:t>used</w:t>
      </w:r>
      <w:r w:rsidRPr="00340AA1">
        <w:rPr>
          <w:rFonts w:ascii="Times New Roman" w:hAnsi="Times New Roman" w:cs="Times New Roman"/>
        </w:rPr>
        <w:t xml:space="preserve"> the DCC-GARCH model to</w:t>
      </w:r>
      <w:r w:rsidR="00D91B7D" w:rsidRPr="00340AA1">
        <w:rPr>
          <w:rFonts w:ascii="Times New Roman" w:hAnsi="Times New Roman" w:cs="Times New Roman"/>
        </w:rPr>
        <w:t xml:space="preserve"> examine the behaviour of nine Asian </w:t>
      </w:r>
      <w:r w:rsidR="00846432" w:rsidRPr="00340AA1">
        <w:rPr>
          <w:rFonts w:ascii="Times New Roman" w:hAnsi="Times New Roman" w:cs="Times New Roman"/>
        </w:rPr>
        <w:t>stock markets</w:t>
      </w:r>
      <w:r w:rsidR="00D91B7D" w:rsidRPr="00340AA1">
        <w:rPr>
          <w:rFonts w:ascii="Times New Roman" w:hAnsi="Times New Roman" w:cs="Times New Roman"/>
        </w:rPr>
        <w:t xml:space="preserve">. In </w:t>
      </w:r>
      <w:r w:rsidR="00846432" w:rsidRPr="00340AA1">
        <w:rPr>
          <w:rFonts w:ascii="Times New Roman" w:hAnsi="Times New Roman" w:cs="Times New Roman"/>
        </w:rPr>
        <w:t>their</w:t>
      </w:r>
      <w:r w:rsidR="00D91B7D" w:rsidRPr="00340AA1">
        <w:rPr>
          <w:rFonts w:ascii="Times New Roman" w:hAnsi="Times New Roman" w:cs="Times New Roman"/>
        </w:rPr>
        <w:t xml:space="preserve"> analysis, </w:t>
      </w:r>
      <w:r w:rsidR="00846432" w:rsidRPr="00340AA1">
        <w:rPr>
          <w:rFonts w:ascii="Times New Roman" w:hAnsi="Times New Roman" w:cs="Times New Roman"/>
        </w:rPr>
        <w:t>they</w:t>
      </w:r>
      <w:r w:rsidR="00D91B7D" w:rsidRPr="00340AA1">
        <w:rPr>
          <w:rFonts w:ascii="Times New Roman" w:hAnsi="Times New Roman" w:cs="Times New Roman"/>
        </w:rPr>
        <w:t xml:space="preserve"> </w:t>
      </w:r>
      <w:r w:rsidR="00846432" w:rsidRPr="00340AA1">
        <w:rPr>
          <w:rFonts w:ascii="Times New Roman" w:hAnsi="Times New Roman" w:cs="Times New Roman"/>
        </w:rPr>
        <w:t>realised there were two distinct phases: in the first, a rapid rise in correlation was observed, indicating contagion. In</w:t>
      </w:r>
      <w:r w:rsidR="00D91B7D" w:rsidRPr="00340AA1">
        <w:rPr>
          <w:rFonts w:ascii="Times New Roman" w:hAnsi="Times New Roman" w:cs="Times New Roman"/>
        </w:rPr>
        <w:t xml:space="preserve"> the second phase</w:t>
      </w:r>
      <w:r w:rsidR="00846432" w:rsidRPr="00340AA1">
        <w:rPr>
          <w:rFonts w:ascii="Times New Roman" w:hAnsi="Times New Roman" w:cs="Times New Roman"/>
        </w:rPr>
        <w:t>,</w:t>
      </w:r>
      <w:r w:rsidR="00D91B7D" w:rsidRPr="00340AA1">
        <w:rPr>
          <w:rFonts w:ascii="Times New Roman" w:hAnsi="Times New Roman" w:cs="Times New Roman"/>
        </w:rPr>
        <w:t xml:space="preserve"> </w:t>
      </w:r>
      <w:r w:rsidR="00846432" w:rsidRPr="00340AA1">
        <w:rPr>
          <w:rFonts w:ascii="Times New Roman" w:hAnsi="Times New Roman" w:cs="Times New Roman"/>
        </w:rPr>
        <w:t>they</w:t>
      </w:r>
      <w:r w:rsidR="00D91B7D" w:rsidRPr="00340AA1">
        <w:rPr>
          <w:rFonts w:ascii="Times New Roman" w:hAnsi="Times New Roman" w:cs="Times New Roman"/>
        </w:rPr>
        <w:t xml:space="preserve"> reali</w:t>
      </w:r>
      <w:r w:rsidR="00846432" w:rsidRPr="00340AA1">
        <w:rPr>
          <w:rFonts w:ascii="Times New Roman" w:hAnsi="Times New Roman" w:cs="Times New Roman"/>
        </w:rPr>
        <w:t>s</w:t>
      </w:r>
      <w:r w:rsidR="00D91B7D" w:rsidRPr="00340AA1">
        <w:rPr>
          <w:rFonts w:ascii="Times New Roman" w:hAnsi="Times New Roman" w:cs="Times New Roman"/>
        </w:rPr>
        <w:t>ed that the</w:t>
      </w:r>
      <w:r w:rsidR="00846432" w:rsidRPr="00340AA1">
        <w:rPr>
          <w:rFonts w:ascii="Times New Roman" w:hAnsi="Times New Roman" w:cs="Times New Roman"/>
        </w:rPr>
        <w:t xml:space="preserve"> </w:t>
      </w:r>
      <w:r w:rsidR="00D91B7D" w:rsidRPr="00340AA1">
        <w:rPr>
          <w:rFonts w:ascii="Times New Roman" w:hAnsi="Times New Roman" w:cs="Times New Roman"/>
        </w:rPr>
        <w:t xml:space="preserve">correlation </w:t>
      </w:r>
      <w:r w:rsidR="00846432" w:rsidRPr="00340AA1">
        <w:rPr>
          <w:rFonts w:ascii="Times New Roman" w:hAnsi="Times New Roman" w:cs="Times New Roman"/>
        </w:rPr>
        <w:t>was persistently high</w:t>
      </w:r>
      <w:r w:rsidR="00D91B7D" w:rsidRPr="00340AA1">
        <w:rPr>
          <w:rFonts w:ascii="Times New Roman" w:hAnsi="Times New Roman" w:cs="Times New Roman"/>
        </w:rPr>
        <w:t xml:space="preserve">, </w:t>
      </w:r>
      <w:r w:rsidR="00846432" w:rsidRPr="00340AA1">
        <w:rPr>
          <w:rFonts w:ascii="Times New Roman" w:hAnsi="Times New Roman" w:cs="Times New Roman"/>
        </w:rPr>
        <w:t>mirroring herding behaviour (a</w:t>
      </w:r>
      <w:r w:rsidR="00D91B7D" w:rsidRPr="00340AA1">
        <w:rPr>
          <w:rFonts w:ascii="Times New Roman" w:hAnsi="Times New Roman" w:cs="Times New Roman"/>
        </w:rPr>
        <w:t xml:space="preserve"> pattern </w:t>
      </w:r>
      <w:r w:rsidR="00846432" w:rsidRPr="00340AA1">
        <w:rPr>
          <w:rFonts w:ascii="Times New Roman" w:hAnsi="Times New Roman" w:cs="Times New Roman"/>
        </w:rPr>
        <w:t>in which</w:t>
      </w:r>
      <w:r w:rsidR="00D91B7D" w:rsidRPr="00340AA1">
        <w:rPr>
          <w:rFonts w:ascii="Times New Roman" w:hAnsi="Times New Roman" w:cs="Times New Roman"/>
        </w:rPr>
        <w:t xml:space="preserve"> investors imitate each other’s </w:t>
      </w:r>
      <w:r w:rsidR="00846432" w:rsidRPr="00340AA1">
        <w:rPr>
          <w:rFonts w:ascii="Times New Roman" w:hAnsi="Times New Roman" w:cs="Times New Roman"/>
        </w:rPr>
        <w:t>behaviour).</w:t>
      </w:r>
      <w:r w:rsidRPr="00340AA1">
        <w:rPr>
          <w:rFonts w:ascii="Times New Roman" w:hAnsi="Times New Roman" w:cs="Times New Roman"/>
        </w:rPr>
        <w:t xml:space="preserve"> </w:t>
      </w:r>
      <w:r w:rsidR="00350D54" w:rsidRPr="00340AA1">
        <w:rPr>
          <w:rFonts w:ascii="Times New Roman" w:hAnsi="Times New Roman" w:cs="Times New Roman"/>
        </w:rPr>
        <w:t>Based on Engle's (2002) DCC GARCH model</w:t>
      </w:r>
      <w:r w:rsidRPr="00340AA1">
        <w:rPr>
          <w:rFonts w:ascii="Times New Roman" w:hAnsi="Times New Roman" w:cs="Times New Roman"/>
        </w:rPr>
        <w:t xml:space="preserve">, </w:t>
      </w:r>
      <w:sdt>
        <w:sdtPr>
          <w:rPr>
            <w:rFonts w:ascii="Times New Roman" w:hAnsi="Times New Roman" w:cs="Times New Roman"/>
          </w:rPr>
          <w:id w:val="-1501347393"/>
          <w:citation/>
        </w:sdtPr>
        <w:sdtContent>
          <w:r w:rsidR="000745E5" w:rsidRPr="00340AA1">
            <w:rPr>
              <w:rFonts w:ascii="Times New Roman" w:hAnsi="Times New Roman" w:cs="Times New Roman"/>
            </w:rPr>
            <w:fldChar w:fldCharType="begin"/>
          </w:r>
          <w:r w:rsidR="000745E5" w:rsidRPr="00340AA1">
            <w:rPr>
              <w:rFonts w:ascii="Times New Roman" w:hAnsi="Times New Roman" w:cs="Times New Roman"/>
            </w:rPr>
            <w:instrText xml:space="preserve"> CITATION Bek14 \l 1033 </w:instrText>
          </w:r>
          <w:r w:rsidR="000745E5" w:rsidRPr="00340AA1">
            <w:rPr>
              <w:rFonts w:ascii="Times New Roman" w:hAnsi="Times New Roman" w:cs="Times New Roman"/>
            </w:rPr>
            <w:fldChar w:fldCharType="separate"/>
          </w:r>
          <w:r w:rsidR="009E5B67" w:rsidRPr="009E5B67">
            <w:rPr>
              <w:rFonts w:ascii="Times New Roman" w:hAnsi="Times New Roman" w:cs="Times New Roman"/>
              <w:noProof/>
            </w:rPr>
            <w:t>(Bekaert, Ehrmann, Fratzscher, &amp; Mehl, 2014)</w:t>
          </w:r>
          <w:r w:rsidR="000745E5" w:rsidRPr="00340AA1">
            <w:rPr>
              <w:rFonts w:ascii="Times New Roman" w:hAnsi="Times New Roman" w:cs="Times New Roman"/>
            </w:rPr>
            <w:fldChar w:fldCharType="end"/>
          </w:r>
        </w:sdtContent>
      </w:sdt>
      <w:r w:rsidRPr="00340AA1">
        <w:rPr>
          <w:rFonts w:ascii="Times New Roman" w:hAnsi="Times New Roman" w:cs="Times New Roman"/>
        </w:rPr>
        <w:t xml:space="preserve"> </w:t>
      </w:r>
      <w:r w:rsidR="000745E5" w:rsidRPr="00340AA1">
        <w:rPr>
          <w:rFonts w:ascii="Times New Roman" w:hAnsi="Times New Roman" w:cs="Times New Roman"/>
        </w:rPr>
        <w:t>analyses</w:t>
      </w:r>
      <w:r w:rsidR="00350D54" w:rsidRPr="00340AA1">
        <w:rPr>
          <w:rFonts w:ascii="Times New Roman" w:hAnsi="Times New Roman" w:cs="Times New Roman"/>
        </w:rPr>
        <w:t xml:space="preserve"> how shocks from the U.S markets spread internationally, this was done using data from 415 equity portfolios across different industries and countries. Their study found strong evidence of contagion; they </w:t>
      </w:r>
      <w:r w:rsidR="000745E5" w:rsidRPr="00340AA1">
        <w:rPr>
          <w:rFonts w:ascii="Times New Roman" w:hAnsi="Times New Roman" w:cs="Times New Roman"/>
        </w:rPr>
        <w:t xml:space="preserve">also revealed that during the financial crisis, investors paid close attention to country-specific risks, thereby causing the crisis to have a </w:t>
      </w:r>
      <w:r w:rsidR="00350D54" w:rsidRPr="00340AA1">
        <w:rPr>
          <w:rFonts w:ascii="Times New Roman" w:hAnsi="Times New Roman" w:cs="Times New Roman"/>
        </w:rPr>
        <w:t>wake-up call</w:t>
      </w:r>
      <w:r w:rsidR="000745E5" w:rsidRPr="00340AA1">
        <w:rPr>
          <w:rFonts w:ascii="Times New Roman" w:hAnsi="Times New Roman" w:cs="Times New Roman"/>
        </w:rPr>
        <w:t xml:space="preserve"> effect</w:t>
      </w:r>
      <w:r w:rsidR="00350D54" w:rsidRPr="00340AA1">
        <w:rPr>
          <w:rFonts w:ascii="Times New Roman" w:hAnsi="Times New Roman" w:cs="Times New Roman"/>
        </w:rPr>
        <w:t xml:space="preserve">. </w:t>
      </w:r>
    </w:p>
    <w:p w14:paraId="4E11FEBF" w14:textId="5FAA248E" w:rsidR="007617DB" w:rsidRPr="00340AA1" w:rsidRDefault="00665480" w:rsidP="00340AA1">
      <w:pPr>
        <w:spacing w:line="360" w:lineRule="auto"/>
        <w:rPr>
          <w:rFonts w:ascii="Times New Roman" w:hAnsi="Times New Roman" w:cs="Times New Roman"/>
        </w:rPr>
      </w:pPr>
      <w:r w:rsidRPr="00340AA1">
        <w:rPr>
          <w:rFonts w:ascii="Times New Roman" w:hAnsi="Times New Roman" w:cs="Times New Roman"/>
        </w:rPr>
        <w:t xml:space="preserve">Most studies find that the contagion between </w:t>
      </w:r>
      <w:r w:rsidR="004E383F" w:rsidRPr="00340AA1">
        <w:rPr>
          <w:rFonts w:ascii="Times New Roman" w:hAnsi="Times New Roman" w:cs="Times New Roman"/>
        </w:rPr>
        <w:t>U.S. markets</w:t>
      </w:r>
      <w:r w:rsidRPr="00340AA1">
        <w:rPr>
          <w:rFonts w:ascii="Times New Roman" w:hAnsi="Times New Roman" w:cs="Times New Roman"/>
        </w:rPr>
        <w:t xml:space="preserve"> and other markets is only moderate</w:t>
      </w:r>
      <w:r w:rsidR="004E383F" w:rsidRPr="00340AA1">
        <w:rPr>
          <w:rFonts w:ascii="Times New Roman" w:hAnsi="Times New Roman" w:cs="Times New Roman"/>
        </w:rPr>
        <w:t>.</w:t>
      </w:r>
      <w:r w:rsidRPr="00340AA1">
        <w:rPr>
          <w:rFonts w:ascii="Times New Roman" w:hAnsi="Times New Roman" w:cs="Times New Roman"/>
        </w:rPr>
        <w:t xml:space="preserve"> </w:t>
      </w:r>
      <w:sdt>
        <w:sdtPr>
          <w:rPr>
            <w:rFonts w:ascii="Times New Roman" w:hAnsi="Times New Roman" w:cs="Times New Roman"/>
          </w:rPr>
          <w:id w:val="-225686224"/>
          <w:citation/>
        </w:sdtPr>
        <w:sdtContent>
          <w:r w:rsidR="006A4AC9" w:rsidRPr="00340AA1">
            <w:rPr>
              <w:rFonts w:ascii="Times New Roman" w:hAnsi="Times New Roman" w:cs="Times New Roman"/>
            </w:rPr>
            <w:fldChar w:fldCharType="begin"/>
          </w:r>
          <w:r w:rsidR="006A4AC9" w:rsidRPr="00340AA1">
            <w:rPr>
              <w:rFonts w:ascii="Times New Roman" w:hAnsi="Times New Roman" w:cs="Times New Roman"/>
              <w:b/>
              <w:bCs/>
            </w:rPr>
            <w:instrText xml:space="preserve"> CITATION Bei13 \l 1033 </w:instrText>
          </w:r>
          <w:r w:rsidR="006A4AC9" w:rsidRPr="00340AA1">
            <w:rPr>
              <w:rFonts w:ascii="Times New Roman" w:hAnsi="Times New Roman" w:cs="Times New Roman"/>
            </w:rPr>
            <w:fldChar w:fldCharType="separate"/>
          </w:r>
          <w:r w:rsidR="009E5B67" w:rsidRPr="009E5B67">
            <w:rPr>
              <w:rFonts w:ascii="Times New Roman" w:hAnsi="Times New Roman" w:cs="Times New Roman"/>
              <w:noProof/>
            </w:rPr>
            <w:t>(Beirne &amp; Fratzscher, 2013)</w:t>
          </w:r>
          <w:r w:rsidR="006A4AC9" w:rsidRPr="00340AA1">
            <w:rPr>
              <w:rFonts w:ascii="Times New Roman" w:hAnsi="Times New Roman" w:cs="Times New Roman"/>
            </w:rPr>
            <w:fldChar w:fldCharType="end"/>
          </w:r>
        </w:sdtContent>
      </w:sdt>
      <w:r w:rsidR="006A4AC9" w:rsidRPr="00340AA1">
        <w:rPr>
          <w:rFonts w:ascii="Times New Roman" w:hAnsi="Times New Roman" w:cs="Times New Roman"/>
        </w:rPr>
        <w:t xml:space="preserve"> </w:t>
      </w:r>
      <w:r w:rsidR="004E383F" w:rsidRPr="00340AA1">
        <w:rPr>
          <w:rFonts w:ascii="Times New Roman" w:hAnsi="Times New Roman" w:cs="Times New Roman"/>
        </w:rPr>
        <w:t xml:space="preserve">found that developed markets significantly affect the volatility of emerging markets, even though there is little evidence of the extent of contagion; these findings show that volatility spillovers and contagion are two very different phenomena. </w:t>
      </w:r>
      <w:r w:rsidR="007617DB" w:rsidRPr="00340AA1">
        <w:rPr>
          <w:rFonts w:ascii="Times New Roman" w:hAnsi="Times New Roman" w:cs="Times New Roman"/>
        </w:rPr>
        <w:lastRenderedPageBreak/>
        <w:t>Methodologically, the DCC-GARCH model remains the dominant tool for this distinction</w:t>
      </w:r>
      <w:r w:rsidR="004E383F" w:rsidRPr="00340AA1">
        <w:rPr>
          <w:rFonts w:ascii="Times New Roman" w:hAnsi="Times New Roman" w:cs="Times New Roman"/>
        </w:rPr>
        <w:t xml:space="preserve"> because it tracks time-varying correlations and adapts to changing volatility. This gives a clearer picture of market linkages than the older, more rigid approach used by </w:t>
      </w:r>
      <w:sdt>
        <w:sdtPr>
          <w:rPr>
            <w:rFonts w:ascii="Times New Roman" w:hAnsi="Times New Roman" w:cs="Times New Roman"/>
          </w:rPr>
          <w:id w:val="866649254"/>
          <w:citation/>
        </w:sdtPr>
        <w:sdtContent>
          <w:r w:rsidR="004E383F" w:rsidRPr="00340AA1">
            <w:rPr>
              <w:rFonts w:ascii="Times New Roman" w:hAnsi="Times New Roman" w:cs="Times New Roman"/>
            </w:rPr>
            <w:fldChar w:fldCharType="begin"/>
          </w:r>
          <w:r w:rsidR="004E383F" w:rsidRPr="00340AA1">
            <w:rPr>
              <w:rFonts w:ascii="Times New Roman" w:hAnsi="Times New Roman" w:cs="Times New Roman"/>
              <w:b/>
              <w:bCs/>
            </w:rPr>
            <w:instrText xml:space="preserve"> CITATION For02 \l 1033 </w:instrText>
          </w:r>
          <w:r w:rsidR="004E383F" w:rsidRPr="00340AA1">
            <w:rPr>
              <w:rFonts w:ascii="Times New Roman" w:hAnsi="Times New Roman" w:cs="Times New Roman"/>
            </w:rPr>
            <w:fldChar w:fldCharType="separate"/>
          </w:r>
          <w:r w:rsidR="009E5B67" w:rsidRPr="009E5B67">
            <w:rPr>
              <w:rFonts w:ascii="Times New Roman" w:hAnsi="Times New Roman" w:cs="Times New Roman"/>
              <w:noProof/>
            </w:rPr>
            <w:t>(Forbes &amp; Rigobon, 2002)</w:t>
          </w:r>
          <w:r w:rsidR="004E383F" w:rsidRPr="00340AA1">
            <w:rPr>
              <w:rFonts w:ascii="Times New Roman" w:hAnsi="Times New Roman" w:cs="Times New Roman"/>
            </w:rPr>
            <w:fldChar w:fldCharType="end"/>
          </w:r>
        </w:sdtContent>
      </w:sdt>
      <w:r w:rsidR="00013174" w:rsidRPr="00340AA1">
        <w:rPr>
          <w:rFonts w:ascii="Times New Roman" w:hAnsi="Times New Roman" w:cs="Times New Roman"/>
        </w:rPr>
        <w:t>.</w:t>
      </w:r>
    </w:p>
    <w:p w14:paraId="77ED10D4" w14:textId="77777777" w:rsidR="00F213D7" w:rsidRPr="00340AA1" w:rsidRDefault="00F213D7" w:rsidP="00340AA1">
      <w:pPr>
        <w:spacing w:line="360" w:lineRule="auto"/>
        <w:rPr>
          <w:rFonts w:ascii="Times New Roman" w:hAnsi="Times New Roman" w:cs="Times New Roman"/>
        </w:rPr>
      </w:pPr>
    </w:p>
    <w:p w14:paraId="53EC0111" w14:textId="30C1F48C" w:rsidR="00013174" w:rsidRPr="00340AA1" w:rsidRDefault="00242E3B" w:rsidP="00340AA1">
      <w:pPr>
        <w:spacing w:line="360" w:lineRule="auto"/>
        <w:rPr>
          <w:rFonts w:ascii="Times New Roman" w:hAnsi="Times New Roman" w:cs="Times New Roman"/>
        </w:rPr>
      </w:pPr>
      <w:r w:rsidRPr="00340AA1">
        <w:rPr>
          <w:rFonts w:ascii="Times New Roman" w:hAnsi="Times New Roman" w:cs="Times New Roman"/>
        </w:rPr>
        <w:t xml:space="preserve">To date, </w:t>
      </w:r>
      <w:r w:rsidR="007A48C9" w:rsidRPr="00340AA1">
        <w:rPr>
          <w:rFonts w:ascii="Times New Roman" w:hAnsi="Times New Roman" w:cs="Times New Roman"/>
        </w:rPr>
        <w:t>a significant body of literature has shown that the relationship between markets differs across different states of stability and turbulence</w:t>
      </w:r>
      <w:r w:rsidR="00013174" w:rsidRPr="00340AA1">
        <w:rPr>
          <w:rFonts w:ascii="Times New Roman" w:hAnsi="Times New Roman" w:cs="Times New Roman"/>
        </w:rPr>
        <w:t xml:space="preserve">. </w:t>
      </w:r>
      <w:r w:rsidR="00BF504A" w:rsidRPr="00340AA1">
        <w:rPr>
          <w:rFonts w:ascii="Times New Roman" w:hAnsi="Times New Roman" w:cs="Times New Roman"/>
        </w:rPr>
        <w:t xml:space="preserve">Using </w:t>
      </w:r>
      <w:r w:rsidR="001056DB" w:rsidRPr="00340AA1">
        <w:rPr>
          <w:rFonts w:ascii="Times New Roman" w:hAnsi="Times New Roman" w:cs="Times New Roman"/>
        </w:rPr>
        <w:t xml:space="preserve">the </w:t>
      </w:r>
      <w:sdt>
        <w:sdtPr>
          <w:rPr>
            <w:rFonts w:ascii="Times New Roman" w:hAnsi="Times New Roman" w:cs="Times New Roman"/>
          </w:rPr>
          <w:id w:val="1111546389"/>
          <w:citation/>
        </w:sdtPr>
        <w:sdtContent>
          <w:r w:rsidR="00BD2987" w:rsidRPr="00340AA1">
            <w:rPr>
              <w:rFonts w:ascii="Times New Roman" w:hAnsi="Times New Roman" w:cs="Times New Roman"/>
            </w:rPr>
            <w:fldChar w:fldCharType="begin"/>
          </w:r>
          <w:r w:rsidR="00BD2987" w:rsidRPr="00340AA1">
            <w:rPr>
              <w:rFonts w:ascii="Times New Roman" w:hAnsi="Times New Roman" w:cs="Times New Roman"/>
              <w:b/>
              <w:bCs/>
            </w:rPr>
            <w:instrText xml:space="preserve"> CITATION Ham89 \l 1033 </w:instrText>
          </w:r>
          <w:r w:rsidR="00BD2987" w:rsidRPr="00340AA1">
            <w:rPr>
              <w:rFonts w:ascii="Times New Roman" w:hAnsi="Times New Roman" w:cs="Times New Roman"/>
            </w:rPr>
            <w:fldChar w:fldCharType="separate"/>
          </w:r>
          <w:r w:rsidR="009E5B67" w:rsidRPr="009E5B67">
            <w:rPr>
              <w:rFonts w:ascii="Times New Roman" w:hAnsi="Times New Roman" w:cs="Times New Roman"/>
              <w:noProof/>
            </w:rPr>
            <w:t>(Hamilton, A New Approach to the Economic Analysis of Nonstationary Time Series and the Business Cycle, 1989)</w:t>
          </w:r>
          <w:r w:rsidR="00BD2987" w:rsidRPr="00340AA1">
            <w:rPr>
              <w:rFonts w:ascii="Times New Roman" w:hAnsi="Times New Roman" w:cs="Times New Roman"/>
            </w:rPr>
            <w:fldChar w:fldCharType="end"/>
          </w:r>
        </w:sdtContent>
      </w:sdt>
      <w:r w:rsidR="00BD2987" w:rsidRPr="00340AA1">
        <w:rPr>
          <w:rFonts w:ascii="Times New Roman" w:hAnsi="Times New Roman" w:cs="Times New Roman"/>
        </w:rPr>
        <w:t xml:space="preserve"> </w:t>
      </w:r>
      <w:r w:rsidR="00BF504A" w:rsidRPr="00340AA1">
        <w:rPr>
          <w:rFonts w:ascii="Times New Roman" w:hAnsi="Times New Roman" w:cs="Times New Roman"/>
        </w:rPr>
        <w:t>Markov</w:t>
      </w:r>
      <w:r w:rsidR="00EB2F12" w:rsidRPr="00340AA1">
        <w:rPr>
          <w:rFonts w:ascii="Times New Roman" w:hAnsi="Times New Roman" w:cs="Times New Roman"/>
        </w:rPr>
        <w:t xml:space="preserve">-switching framework, </w:t>
      </w:r>
      <w:sdt>
        <w:sdtPr>
          <w:rPr>
            <w:rFonts w:ascii="Times New Roman" w:hAnsi="Times New Roman" w:cs="Times New Roman"/>
          </w:rPr>
          <w:id w:val="-274715239"/>
          <w:citation/>
        </w:sdtPr>
        <w:sdtContent>
          <w:r w:rsidR="001F7CC7" w:rsidRPr="00340AA1">
            <w:rPr>
              <w:rFonts w:ascii="Times New Roman" w:hAnsi="Times New Roman" w:cs="Times New Roman"/>
            </w:rPr>
            <w:fldChar w:fldCharType="begin"/>
          </w:r>
          <w:r w:rsidR="001F7CC7" w:rsidRPr="00340AA1">
            <w:rPr>
              <w:rFonts w:ascii="Times New Roman" w:hAnsi="Times New Roman" w:cs="Times New Roman"/>
              <w:b/>
              <w:bCs/>
            </w:rPr>
            <w:instrText xml:space="preserve"> CITATION Gra96 \l 1033 </w:instrText>
          </w:r>
          <w:r w:rsidR="001F7CC7" w:rsidRPr="00340AA1">
            <w:rPr>
              <w:rFonts w:ascii="Times New Roman" w:hAnsi="Times New Roman" w:cs="Times New Roman"/>
            </w:rPr>
            <w:fldChar w:fldCharType="separate"/>
          </w:r>
          <w:r w:rsidR="009E5B67" w:rsidRPr="009E5B67">
            <w:rPr>
              <w:rFonts w:ascii="Times New Roman" w:hAnsi="Times New Roman" w:cs="Times New Roman"/>
              <w:noProof/>
            </w:rPr>
            <w:t>(Gray, 1996)</w:t>
          </w:r>
          <w:r w:rsidR="001F7CC7" w:rsidRPr="00340AA1">
            <w:rPr>
              <w:rFonts w:ascii="Times New Roman" w:hAnsi="Times New Roman" w:cs="Times New Roman"/>
            </w:rPr>
            <w:fldChar w:fldCharType="end"/>
          </w:r>
        </w:sdtContent>
      </w:sdt>
      <w:r w:rsidR="0060614D" w:rsidRPr="00340AA1">
        <w:rPr>
          <w:rFonts w:ascii="Times New Roman" w:hAnsi="Times New Roman" w:cs="Times New Roman"/>
          <w:b/>
          <w:bCs/>
        </w:rPr>
        <w:t xml:space="preserve"> </w:t>
      </w:r>
      <w:r w:rsidR="002D5CF3" w:rsidRPr="00340AA1">
        <w:rPr>
          <w:rFonts w:ascii="Times New Roman" w:hAnsi="Times New Roman" w:cs="Times New Roman"/>
        </w:rPr>
        <w:t>added the GARCH effect to the Markov-Switching model</w:t>
      </w:r>
      <w:r w:rsidR="009540CB" w:rsidRPr="00340AA1">
        <w:rPr>
          <w:rFonts w:ascii="Times New Roman" w:hAnsi="Times New Roman" w:cs="Times New Roman"/>
        </w:rPr>
        <w:t>, which</w:t>
      </w:r>
      <w:r w:rsidR="00013174" w:rsidRPr="00340AA1">
        <w:rPr>
          <w:rFonts w:ascii="Times New Roman" w:hAnsi="Times New Roman" w:cs="Times New Roman"/>
        </w:rPr>
        <w:t xml:space="preserve"> established the methodological basis for Markov-Switching GARCH (MS-GARCH) models.</w:t>
      </w:r>
      <w:sdt>
        <w:sdtPr>
          <w:rPr>
            <w:rFonts w:ascii="Times New Roman" w:hAnsi="Times New Roman" w:cs="Times New Roman"/>
          </w:rPr>
          <w:id w:val="-645969168"/>
          <w:citation/>
        </w:sdtPr>
        <w:sdtContent>
          <w:r w:rsidR="00C93ABD" w:rsidRPr="00340AA1">
            <w:rPr>
              <w:rFonts w:ascii="Times New Roman" w:hAnsi="Times New Roman" w:cs="Times New Roman"/>
            </w:rPr>
            <w:fldChar w:fldCharType="begin"/>
          </w:r>
          <w:r w:rsidR="00C93ABD" w:rsidRPr="00340AA1">
            <w:rPr>
              <w:rFonts w:ascii="Times New Roman" w:hAnsi="Times New Roman" w:cs="Times New Roman"/>
              <w:b/>
              <w:bCs/>
            </w:rPr>
            <w:instrText xml:space="preserve"> CITATION Wal11 \l 1033 </w:instrText>
          </w:r>
          <w:r w:rsidR="00C93ABD" w:rsidRPr="00340AA1">
            <w:rPr>
              <w:rFonts w:ascii="Times New Roman" w:hAnsi="Times New Roman" w:cs="Times New Roman"/>
            </w:rPr>
            <w:fldChar w:fldCharType="separate"/>
          </w:r>
          <w:r w:rsidR="009E5B67">
            <w:rPr>
              <w:rFonts w:ascii="Times New Roman" w:hAnsi="Times New Roman" w:cs="Times New Roman"/>
              <w:b/>
              <w:bCs/>
              <w:noProof/>
            </w:rPr>
            <w:t xml:space="preserve"> </w:t>
          </w:r>
          <w:r w:rsidR="009E5B67" w:rsidRPr="009E5B67">
            <w:rPr>
              <w:rFonts w:ascii="Times New Roman" w:hAnsi="Times New Roman" w:cs="Times New Roman"/>
              <w:noProof/>
            </w:rPr>
            <w:t>(Walid, Chaker, Masood, &amp; Fry, 2011)</w:t>
          </w:r>
          <w:r w:rsidR="00C93ABD" w:rsidRPr="00340AA1">
            <w:rPr>
              <w:rFonts w:ascii="Times New Roman" w:hAnsi="Times New Roman" w:cs="Times New Roman"/>
            </w:rPr>
            <w:fldChar w:fldCharType="end"/>
          </w:r>
        </w:sdtContent>
      </w:sdt>
      <w:r w:rsidR="00A90F46" w:rsidRPr="00340AA1">
        <w:rPr>
          <w:rFonts w:ascii="Times New Roman" w:hAnsi="Times New Roman" w:cs="Times New Roman"/>
        </w:rPr>
        <w:t>,</w:t>
      </w:r>
      <w:r w:rsidR="00EB2A88" w:rsidRPr="00340AA1">
        <w:rPr>
          <w:rFonts w:ascii="Times New Roman" w:hAnsi="Times New Roman" w:cs="Times New Roman"/>
        </w:rPr>
        <w:t xml:space="preserve"> </w:t>
      </w:r>
      <w:sdt>
        <w:sdtPr>
          <w:rPr>
            <w:rFonts w:ascii="Times New Roman" w:hAnsi="Times New Roman" w:cs="Times New Roman"/>
          </w:rPr>
          <w:id w:val="837658623"/>
          <w:citation/>
        </w:sdtPr>
        <w:sdtContent>
          <w:r w:rsidR="00EB2A88" w:rsidRPr="00340AA1">
            <w:rPr>
              <w:rFonts w:ascii="Times New Roman" w:hAnsi="Times New Roman" w:cs="Times New Roman"/>
            </w:rPr>
            <w:fldChar w:fldCharType="begin"/>
          </w:r>
          <w:r w:rsidR="00EB2A88" w:rsidRPr="00340AA1">
            <w:rPr>
              <w:rFonts w:ascii="Times New Roman" w:hAnsi="Times New Roman" w:cs="Times New Roman"/>
            </w:rPr>
            <w:instrText xml:space="preserve"> CITATION Ken11 \l 1033 </w:instrText>
          </w:r>
          <w:r w:rsidR="00EB2A88" w:rsidRPr="00340AA1">
            <w:rPr>
              <w:rFonts w:ascii="Times New Roman" w:hAnsi="Times New Roman" w:cs="Times New Roman"/>
            </w:rPr>
            <w:fldChar w:fldCharType="separate"/>
          </w:r>
          <w:r w:rsidR="009E5B67" w:rsidRPr="009E5B67">
            <w:rPr>
              <w:rFonts w:ascii="Times New Roman" w:hAnsi="Times New Roman" w:cs="Times New Roman"/>
              <w:noProof/>
            </w:rPr>
            <w:t>(Kenourgios, Samitas, &amp; Paltalidis, 2011)</w:t>
          </w:r>
          <w:r w:rsidR="00EB2A88" w:rsidRPr="00340AA1">
            <w:rPr>
              <w:rFonts w:ascii="Times New Roman" w:hAnsi="Times New Roman" w:cs="Times New Roman"/>
            </w:rPr>
            <w:fldChar w:fldCharType="end"/>
          </w:r>
        </w:sdtContent>
      </w:sdt>
      <w:r w:rsidR="00DB3A87" w:rsidRPr="00340AA1">
        <w:rPr>
          <w:rFonts w:ascii="Times New Roman" w:hAnsi="Times New Roman" w:cs="Times New Roman"/>
        </w:rPr>
        <w:t xml:space="preserve"> </w:t>
      </w:r>
      <w:r w:rsidR="00013174" w:rsidRPr="00340AA1">
        <w:rPr>
          <w:rFonts w:ascii="Times New Roman" w:hAnsi="Times New Roman" w:cs="Times New Roman"/>
        </w:rPr>
        <w:t xml:space="preserve">and </w:t>
      </w:r>
      <w:sdt>
        <w:sdtPr>
          <w:rPr>
            <w:rFonts w:ascii="Times New Roman" w:hAnsi="Times New Roman" w:cs="Times New Roman"/>
          </w:rPr>
          <w:id w:val="-1612578707"/>
          <w:citation/>
        </w:sdtPr>
        <w:sdtContent>
          <w:r w:rsidR="005D76E1" w:rsidRPr="00340AA1">
            <w:rPr>
              <w:rFonts w:ascii="Times New Roman" w:hAnsi="Times New Roman" w:cs="Times New Roman"/>
            </w:rPr>
            <w:fldChar w:fldCharType="begin"/>
          </w:r>
          <w:r w:rsidR="005D76E1" w:rsidRPr="00340AA1">
            <w:rPr>
              <w:rFonts w:ascii="Times New Roman" w:hAnsi="Times New Roman" w:cs="Times New Roman"/>
              <w:b/>
              <w:bCs/>
            </w:rPr>
            <w:instrText xml:space="preserve"> CITATION Agy24 \l 1033 </w:instrText>
          </w:r>
          <w:r w:rsidR="005D76E1" w:rsidRPr="00340AA1">
            <w:rPr>
              <w:rFonts w:ascii="Times New Roman" w:hAnsi="Times New Roman" w:cs="Times New Roman"/>
            </w:rPr>
            <w:fldChar w:fldCharType="separate"/>
          </w:r>
          <w:r w:rsidR="009E5B67" w:rsidRPr="009E5B67">
            <w:rPr>
              <w:rFonts w:ascii="Times New Roman" w:hAnsi="Times New Roman" w:cs="Times New Roman"/>
              <w:noProof/>
            </w:rPr>
            <w:t>(Agyemang-Badu, Olmedo, &amp; Mella-Marquez, 2024)</w:t>
          </w:r>
          <w:r w:rsidR="005D76E1" w:rsidRPr="00340AA1">
            <w:rPr>
              <w:rFonts w:ascii="Times New Roman" w:hAnsi="Times New Roman" w:cs="Times New Roman"/>
            </w:rPr>
            <w:fldChar w:fldCharType="end"/>
          </w:r>
        </w:sdtContent>
      </w:sdt>
      <w:r w:rsidR="00B5633E" w:rsidRPr="00340AA1">
        <w:rPr>
          <w:rFonts w:ascii="Times New Roman" w:hAnsi="Times New Roman" w:cs="Times New Roman"/>
        </w:rPr>
        <w:t xml:space="preserve"> </w:t>
      </w:r>
      <w:r w:rsidR="002804C9" w:rsidRPr="00340AA1">
        <w:rPr>
          <w:rFonts w:ascii="Times New Roman" w:hAnsi="Times New Roman" w:cs="Times New Roman"/>
        </w:rPr>
        <w:t xml:space="preserve">show that in volatile markets, shocks </w:t>
      </w:r>
      <w:r w:rsidR="008D5712" w:rsidRPr="00340AA1">
        <w:rPr>
          <w:rFonts w:ascii="Times New Roman" w:hAnsi="Times New Roman" w:cs="Times New Roman"/>
        </w:rPr>
        <w:t>spread with more vigor and the</w:t>
      </w:r>
      <w:r w:rsidR="00FF69D8" w:rsidRPr="00340AA1">
        <w:rPr>
          <w:rFonts w:ascii="Times New Roman" w:hAnsi="Times New Roman" w:cs="Times New Roman"/>
        </w:rPr>
        <w:t xml:space="preserve"> market’s co-movement </w:t>
      </w:r>
      <w:r w:rsidR="007E304B" w:rsidRPr="00340AA1">
        <w:rPr>
          <w:rFonts w:ascii="Times New Roman" w:hAnsi="Times New Roman" w:cs="Times New Roman"/>
        </w:rPr>
        <w:t>becomes quite persistent</w:t>
      </w:r>
      <w:r w:rsidR="00013174" w:rsidRPr="00340AA1">
        <w:rPr>
          <w:rFonts w:ascii="Times New Roman" w:hAnsi="Times New Roman" w:cs="Times New Roman"/>
        </w:rPr>
        <w:t xml:space="preserve">. </w:t>
      </w:r>
      <w:r w:rsidR="0098453A" w:rsidRPr="00340AA1">
        <w:rPr>
          <w:rFonts w:ascii="Times New Roman" w:hAnsi="Times New Roman" w:cs="Times New Roman"/>
        </w:rPr>
        <w:t>As a collective, these findings therefore justify</w:t>
      </w:r>
      <w:r w:rsidR="0046284B" w:rsidRPr="00340AA1">
        <w:rPr>
          <w:rFonts w:ascii="Times New Roman" w:hAnsi="Times New Roman" w:cs="Times New Roman"/>
        </w:rPr>
        <w:t xml:space="preserve"> the adoption of regime-dependent methodology.</w:t>
      </w:r>
    </w:p>
    <w:p w14:paraId="0880E55E" w14:textId="77777777" w:rsidR="00013174" w:rsidRPr="00340AA1" w:rsidRDefault="00013174" w:rsidP="00340AA1">
      <w:pPr>
        <w:spacing w:line="360" w:lineRule="auto"/>
        <w:rPr>
          <w:rFonts w:ascii="Times New Roman" w:hAnsi="Times New Roman" w:cs="Times New Roman"/>
        </w:rPr>
      </w:pPr>
    </w:p>
    <w:p w14:paraId="2366C48C" w14:textId="6A3F5A60" w:rsidR="007617DB" w:rsidRPr="00340AA1" w:rsidRDefault="007617DB"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Crisis-Based Contagion: The GFC Versus COVID-19</w:t>
      </w:r>
    </w:p>
    <w:p w14:paraId="0EAF8DAF" w14:textId="0D6CF495" w:rsidR="0087641B" w:rsidRPr="00340AA1" w:rsidRDefault="000F337D" w:rsidP="00340AA1">
      <w:pPr>
        <w:spacing w:line="360" w:lineRule="auto"/>
        <w:rPr>
          <w:rFonts w:ascii="Times New Roman" w:hAnsi="Times New Roman" w:cs="Times New Roman"/>
        </w:rPr>
      </w:pPr>
      <w:r w:rsidRPr="00340AA1">
        <w:rPr>
          <w:rFonts w:ascii="Times New Roman" w:hAnsi="Times New Roman" w:cs="Times New Roman"/>
        </w:rPr>
        <w:t xml:space="preserve">In </w:t>
      </w:r>
      <w:r w:rsidR="000C01C8" w:rsidRPr="00340AA1">
        <w:rPr>
          <w:rFonts w:ascii="Times New Roman" w:hAnsi="Times New Roman" w:cs="Times New Roman"/>
        </w:rPr>
        <w:t xml:space="preserve">the </w:t>
      </w:r>
      <w:r w:rsidR="007772D2" w:rsidRPr="00340AA1">
        <w:rPr>
          <w:rFonts w:ascii="Times New Roman" w:hAnsi="Times New Roman" w:cs="Times New Roman"/>
        </w:rPr>
        <w:t>comparative analyses of contagion dynamics, the shock transmission effects of the Global Financial Crisis are often highlighted relative to those of the COVID-19 pandemic</w:t>
      </w:r>
      <w:r w:rsidR="007617DB" w:rsidRPr="00340AA1">
        <w:rPr>
          <w:rFonts w:ascii="Times New Roman" w:hAnsi="Times New Roman" w:cs="Times New Roman"/>
        </w:rPr>
        <w:t xml:space="preserve">. </w:t>
      </w:r>
      <w:r w:rsidR="00F8076E" w:rsidRPr="00340AA1">
        <w:rPr>
          <w:rFonts w:ascii="Times New Roman" w:hAnsi="Times New Roman" w:cs="Times New Roman"/>
        </w:rPr>
        <w:t>In their paper,</w:t>
      </w:r>
      <w:r w:rsidR="007617DB" w:rsidRPr="00340AA1">
        <w:rPr>
          <w:rFonts w:ascii="Times New Roman" w:hAnsi="Times New Roman" w:cs="Times New Roman"/>
        </w:rPr>
        <w:t xml:space="preserve"> </w:t>
      </w:r>
      <w:sdt>
        <w:sdtPr>
          <w:rPr>
            <w:rFonts w:ascii="Times New Roman" w:hAnsi="Times New Roman" w:cs="Times New Roman"/>
          </w:rPr>
          <w:id w:val="745302054"/>
          <w:citation/>
        </w:sdtPr>
        <w:sdtContent>
          <w:r w:rsidR="005635F9" w:rsidRPr="00340AA1">
            <w:rPr>
              <w:rFonts w:ascii="Times New Roman" w:hAnsi="Times New Roman" w:cs="Times New Roman"/>
            </w:rPr>
            <w:fldChar w:fldCharType="begin"/>
          </w:r>
          <w:r w:rsidR="005635F9" w:rsidRPr="00340AA1">
            <w:rPr>
              <w:rFonts w:ascii="Times New Roman" w:hAnsi="Times New Roman" w:cs="Times New Roman"/>
              <w:b/>
              <w:bCs/>
            </w:rPr>
            <w:instrText xml:space="preserve"> CITATION Muz22 \l 1033 </w:instrText>
          </w:r>
          <w:r w:rsidR="005635F9" w:rsidRPr="00340AA1">
            <w:rPr>
              <w:rFonts w:ascii="Times New Roman" w:hAnsi="Times New Roman" w:cs="Times New Roman"/>
            </w:rPr>
            <w:fldChar w:fldCharType="separate"/>
          </w:r>
          <w:r w:rsidR="009E5B67" w:rsidRPr="009E5B67">
            <w:rPr>
              <w:rFonts w:ascii="Times New Roman" w:hAnsi="Times New Roman" w:cs="Times New Roman"/>
              <w:noProof/>
            </w:rPr>
            <w:t>(Muzindutsi, et al., 2022)</w:t>
          </w:r>
          <w:r w:rsidR="005635F9" w:rsidRPr="00340AA1">
            <w:rPr>
              <w:rFonts w:ascii="Times New Roman" w:hAnsi="Times New Roman" w:cs="Times New Roman"/>
            </w:rPr>
            <w:fldChar w:fldCharType="end"/>
          </w:r>
        </w:sdtContent>
      </w:sdt>
      <w:r w:rsidR="007617DB" w:rsidRPr="00340AA1">
        <w:rPr>
          <w:rFonts w:ascii="Times New Roman" w:hAnsi="Times New Roman" w:cs="Times New Roman"/>
        </w:rPr>
        <w:t xml:space="preserve"> </w:t>
      </w:r>
      <w:r w:rsidR="00CF53D1" w:rsidRPr="00340AA1">
        <w:rPr>
          <w:rFonts w:ascii="Times New Roman" w:hAnsi="Times New Roman" w:cs="Times New Roman"/>
        </w:rPr>
        <w:t>find</w:t>
      </w:r>
      <w:r w:rsidR="007617DB" w:rsidRPr="00340AA1">
        <w:rPr>
          <w:rFonts w:ascii="Times New Roman" w:hAnsi="Times New Roman" w:cs="Times New Roman"/>
        </w:rPr>
        <w:t xml:space="preserve"> that</w:t>
      </w:r>
      <w:r w:rsidR="00B802C3" w:rsidRPr="00340AA1">
        <w:rPr>
          <w:rFonts w:ascii="Times New Roman" w:hAnsi="Times New Roman" w:cs="Times New Roman"/>
        </w:rPr>
        <w:t xml:space="preserve"> contagion was </w:t>
      </w:r>
      <w:r w:rsidR="00CA1687" w:rsidRPr="00340AA1">
        <w:rPr>
          <w:rFonts w:ascii="Times New Roman" w:hAnsi="Times New Roman" w:cs="Times New Roman"/>
        </w:rPr>
        <w:t>heightened more during the</w:t>
      </w:r>
      <w:r w:rsidR="00F22118" w:rsidRPr="00340AA1">
        <w:rPr>
          <w:rFonts w:ascii="Times New Roman" w:hAnsi="Times New Roman" w:cs="Times New Roman"/>
        </w:rPr>
        <w:t xml:space="preserve"> COVID-19</w:t>
      </w:r>
      <w:r w:rsidR="00CA1687" w:rsidRPr="00340AA1">
        <w:rPr>
          <w:rFonts w:ascii="Times New Roman" w:hAnsi="Times New Roman" w:cs="Times New Roman"/>
        </w:rPr>
        <w:t xml:space="preserve"> pandemic,</w:t>
      </w:r>
      <w:r w:rsidR="006A0068" w:rsidRPr="00340AA1">
        <w:rPr>
          <w:rFonts w:ascii="Times New Roman" w:hAnsi="Times New Roman" w:cs="Times New Roman"/>
        </w:rPr>
        <w:t xml:space="preserve"> especially in emerging markets. The</w:t>
      </w:r>
      <w:r w:rsidR="003B7171" w:rsidRPr="00340AA1">
        <w:rPr>
          <w:rFonts w:ascii="Times New Roman" w:hAnsi="Times New Roman" w:cs="Times New Roman"/>
        </w:rPr>
        <w:t>y further</w:t>
      </w:r>
      <w:r w:rsidR="006A0068" w:rsidRPr="00340AA1">
        <w:rPr>
          <w:rFonts w:ascii="Times New Roman" w:hAnsi="Times New Roman" w:cs="Times New Roman"/>
        </w:rPr>
        <w:t xml:space="preserve"> </w:t>
      </w:r>
      <w:r w:rsidR="003B7171" w:rsidRPr="00340AA1">
        <w:rPr>
          <w:rFonts w:ascii="Times New Roman" w:hAnsi="Times New Roman" w:cs="Times New Roman"/>
        </w:rPr>
        <w:t>explain how</w:t>
      </w:r>
      <w:r w:rsidR="006A0068" w:rsidRPr="00340AA1">
        <w:rPr>
          <w:rFonts w:ascii="Times New Roman" w:hAnsi="Times New Roman" w:cs="Times New Roman"/>
        </w:rPr>
        <w:t xml:space="preserve"> factors </w:t>
      </w:r>
      <w:r w:rsidR="00CA1687" w:rsidRPr="00340AA1">
        <w:rPr>
          <w:rFonts w:ascii="Times New Roman" w:hAnsi="Times New Roman" w:cs="Times New Roman"/>
        </w:rPr>
        <w:t>such as</w:t>
      </w:r>
      <w:r w:rsidR="003B7171" w:rsidRPr="00340AA1">
        <w:rPr>
          <w:rFonts w:ascii="Times New Roman" w:hAnsi="Times New Roman" w:cs="Times New Roman"/>
        </w:rPr>
        <w:t>,</w:t>
      </w:r>
      <w:r w:rsidR="00CA1687" w:rsidRPr="00340AA1">
        <w:rPr>
          <w:rFonts w:ascii="Times New Roman" w:hAnsi="Times New Roman" w:cs="Times New Roman"/>
        </w:rPr>
        <w:t xml:space="preserve"> weaker financial systems, greater reliance on global capital flows, and limited policy buffers</w:t>
      </w:r>
      <w:r w:rsidR="00C133E0" w:rsidRPr="00340AA1">
        <w:rPr>
          <w:rFonts w:ascii="Times New Roman" w:hAnsi="Times New Roman" w:cs="Times New Roman"/>
        </w:rPr>
        <w:t xml:space="preserve"> </w:t>
      </w:r>
      <w:r w:rsidR="005011FC" w:rsidRPr="00340AA1">
        <w:rPr>
          <w:rFonts w:ascii="Times New Roman" w:hAnsi="Times New Roman" w:cs="Times New Roman"/>
        </w:rPr>
        <w:t>contributed towards their findings</w:t>
      </w:r>
      <w:r w:rsidR="007617DB" w:rsidRPr="00340AA1">
        <w:rPr>
          <w:rFonts w:ascii="Times New Roman" w:hAnsi="Times New Roman" w:cs="Times New Roman"/>
        </w:rPr>
        <w:t xml:space="preserve">. </w:t>
      </w:r>
      <w:r w:rsidR="002E742E" w:rsidRPr="00340AA1">
        <w:rPr>
          <w:rFonts w:ascii="Times New Roman" w:hAnsi="Times New Roman" w:cs="Times New Roman"/>
        </w:rPr>
        <w:t>Correspondingly</w:t>
      </w:r>
      <w:r w:rsidR="007617DB" w:rsidRPr="00340AA1">
        <w:rPr>
          <w:rFonts w:ascii="Times New Roman" w:hAnsi="Times New Roman" w:cs="Times New Roman"/>
        </w:rPr>
        <w:t xml:space="preserve">, </w:t>
      </w:r>
      <w:sdt>
        <w:sdtPr>
          <w:rPr>
            <w:rFonts w:ascii="Times New Roman" w:hAnsi="Times New Roman" w:cs="Times New Roman"/>
          </w:rPr>
          <w:id w:val="1342043505"/>
          <w:citation/>
        </w:sdtPr>
        <w:sdtContent>
          <w:r w:rsidR="009A3447" w:rsidRPr="00340AA1">
            <w:rPr>
              <w:rFonts w:ascii="Times New Roman" w:hAnsi="Times New Roman" w:cs="Times New Roman"/>
            </w:rPr>
            <w:fldChar w:fldCharType="begin"/>
          </w:r>
          <w:r w:rsidR="009A3447" w:rsidRPr="00340AA1">
            <w:rPr>
              <w:rFonts w:ascii="Times New Roman" w:hAnsi="Times New Roman" w:cs="Times New Roman"/>
              <w:b/>
              <w:bCs/>
            </w:rPr>
            <w:instrText xml:space="preserve"> CITATION Sid22 \l 1033 </w:instrText>
          </w:r>
          <w:r w:rsidR="009A3447" w:rsidRPr="00340AA1">
            <w:rPr>
              <w:rFonts w:ascii="Times New Roman" w:hAnsi="Times New Roman" w:cs="Times New Roman"/>
            </w:rPr>
            <w:fldChar w:fldCharType="separate"/>
          </w:r>
          <w:r w:rsidR="009E5B67" w:rsidRPr="009E5B67">
            <w:rPr>
              <w:rFonts w:ascii="Times New Roman" w:hAnsi="Times New Roman" w:cs="Times New Roman"/>
              <w:noProof/>
            </w:rPr>
            <w:t>(Siddiqui , Khan , Naushad , &amp; Syed , 2022)</w:t>
          </w:r>
          <w:r w:rsidR="009A3447" w:rsidRPr="00340AA1">
            <w:rPr>
              <w:rFonts w:ascii="Times New Roman" w:hAnsi="Times New Roman" w:cs="Times New Roman"/>
            </w:rPr>
            <w:fldChar w:fldCharType="end"/>
          </w:r>
        </w:sdtContent>
      </w:sdt>
      <w:r w:rsidR="00CC6296" w:rsidRPr="00340AA1">
        <w:rPr>
          <w:rFonts w:ascii="Times New Roman" w:hAnsi="Times New Roman" w:cs="Times New Roman"/>
        </w:rPr>
        <w:t xml:space="preserve"> </w:t>
      </w:r>
      <w:r w:rsidR="00772D96" w:rsidRPr="00340AA1">
        <w:rPr>
          <w:rFonts w:ascii="Times New Roman" w:hAnsi="Times New Roman" w:cs="Times New Roman"/>
        </w:rPr>
        <w:t xml:space="preserve">found supporting evidence that </w:t>
      </w:r>
      <w:r w:rsidR="009708A9" w:rsidRPr="00340AA1">
        <w:rPr>
          <w:rFonts w:ascii="Times New Roman" w:hAnsi="Times New Roman" w:cs="Times New Roman"/>
        </w:rPr>
        <w:t xml:space="preserve">during the </w:t>
      </w:r>
      <w:r w:rsidR="00772D96" w:rsidRPr="00340AA1">
        <w:rPr>
          <w:rFonts w:ascii="Times New Roman" w:hAnsi="Times New Roman" w:cs="Times New Roman"/>
        </w:rPr>
        <w:t>COVID-19</w:t>
      </w:r>
      <w:r w:rsidR="009708A9" w:rsidRPr="00340AA1">
        <w:rPr>
          <w:rFonts w:ascii="Times New Roman" w:hAnsi="Times New Roman" w:cs="Times New Roman"/>
        </w:rPr>
        <w:t xml:space="preserve"> pandemic</w:t>
      </w:r>
      <w:r w:rsidR="00E9755F" w:rsidRPr="00340AA1">
        <w:rPr>
          <w:rFonts w:ascii="Times New Roman" w:hAnsi="Times New Roman" w:cs="Times New Roman"/>
        </w:rPr>
        <w:t>, significant increases in contagion occurred;</w:t>
      </w:r>
      <w:r w:rsidR="002650E2" w:rsidRPr="00340AA1">
        <w:rPr>
          <w:rFonts w:ascii="Times New Roman" w:hAnsi="Times New Roman" w:cs="Times New Roman"/>
        </w:rPr>
        <w:t xml:space="preserve"> their study </w:t>
      </w:r>
      <w:r w:rsidR="00D2537F" w:rsidRPr="00340AA1">
        <w:rPr>
          <w:rFonts w:ascii="Times New Roman" w:hAnsi="Times New Roman" w:cs="Times New Roman"/>
        </w:rPr>
        <w:t xml:space="preserve">showed </w:t>
      </w:r>
      <w:r w:rsidR="002650E2" w:rsidRPr="00340AA1">
        <w:rPr>
          <w:rFonts w:ascii="Times New Roman" w:hAnsi="Times New Roman" w:cs="Times New Roman"/>
        </w:rPr>
        <w:t xml:space="preserve">that this was due </w:t>
      </w:r>
      <w:r w:rsidR="000B355C" w:rsidRPr="00340AA1">
        <w:rPr>
          <w:rFonts w:ascii="Times New Roman" w:hAnsi="Times New Roman" w:cs="Times New Roman"/>
        </w:rPr>
        <w:t>to</w:t>
      </w:r>
      <w:r w:rsidR="007617DB" w:rsidRPr="00340AA1">
        <w:rPr>
          <w:rFonts w:ascii="Times New Roman" w:hAnsi="Times New Roman" w:cs="Times New Roman"/>
        </w:rPr>
        <w:t xml:space="preserve"> the amplifying role of global uncertainty.</w:t>
      </w:r>
    </w:p>
    <w:p w14:paraId="214F5869" w14:textId="5FE40BC5" w:rsidR="00FA69DF" w:rsidRPr="00340AA1" w:rsidRDefault="0073278A" w:rsidP="00340AA1">
      <w:pPr>
        <w:spacing w:line="360" w:lineRule="auto"/>
        <w:rPr>
          <w:rFonts w:ascii="Times New Roman" w:hAnsi="Times New Roman" w:cs="Times New Roman"/>
        </w:rPr>
      </w:pPr>
      <w:r w:rsidRPr="00340AA1">
        <w:rPr>
          <w:rFonts w:ascii="Times New Roman" w:hAnsi="Times New Roman" w:cs="Times New Roman"/>
        </w:rPr>
        <w:t>Despite</w:t>
      </w:r>
      <w:r w:rsidR="00640CD6" w:rsidRPr="00340AA1">
        <w:rPr>
          <w:rFonts w:ascii="Times New Roman" w:hAnsi="Times New Roman" w:cs="Times New Roman"/>
        </w:rPr>
        <w:t xml:space="preserve"> </w:t>
      </w:r>
      <w:r w:rsidRPr="00340AA1">
        <w:rPr>
          <w:rFonts w:ascii="Times New Roman" w:hAnsi="Times New Roman" w:cs="Times New Roman"/>
        </w:rPr>
        <w:t xml:space="preserve">GFC and </w:t>
      </w:r>
      <w:r w:rsidR="00BE65B8" w:rsidRPr="00340AA1">
        <w:rPr>
          <w:rFonts w:ascii="Times New Roman" w:hAnsi="Times New Roman" w:cs="Times New Roman"/>
        </w:rPr>
        <w:t>COVID having different origins, with GFC stemming from weaknesses in the US financial sector and COVID-19 coming from an exogenous</w:t>
      </w:r>
      <w:r w:rsidR="006E1339" w:rsidRPr="00340AA1">
        <w:rPr>
          <w:rFonts w:ascii="Times New Roman" w:hAnsi="Times New Roman" w:cs="Times New Roman"/>
        </w:rPr>
        <w:t xml:space="preserve"> </w:t>
      </w:r>
      <w:r w:rsidR="003306B8" w:rsidRPr="00340AA1">
        <w:rPr>
          <w:rFonts w:ascii="Times New Roman" w:hAnsi="Times New Roman" w:cs="Times New Roman"/>
        </w:rPr>
        <w:t xml:space="preserve">health shock. </w:t>
      </w:r>
      <w:sdt>
        <w:sdtPr>
          <w:rPr>
            <w:rFonts w:ascii="Times New Roman" w:hAnsi="Times New Roman" w:cs="Times New Roman"/>
          </w:rPr>
          <w:id w:val="-1718727012"/>
          <w:citation/>
        </w:sdtPr>
        <w:sdtContent>
          <w:r w:rsidR="007C2C67" w:rsidRPr="00340AA1">
            <w:rPr>
              <w:rFonts w:ascii="Times New Roman" w:hAnsi="Times New Roman" w:cs="Times New Roman"/>
            </w:rPr>
            <w:fldChar w:fldCharType="begin"/>
          </w:r>
          <w:r w:rsidR="007C2C67" w:rsidRPr="00340AA1">
            <w:rPr>
              <w:rFonts w:ascii="Times New Roman" w:hAnsi="Times New Roman" w:cs="Times New Roman"/>
            </w:rPr>
            <w:instrText xml:space="preserve"> CITATION Gun22 \l 1033 </w:instrText>
          </w:r>
          <w:r w:rsidR="007C2C67" w:rsidRPr="00340AA1">
            <w:rPr>
              <w:rFonts w:ascii="Times New Roman" w:hAnsi="Times New Roman" w:cs="Times New Roman"/>
            </w:rPr>
            <w:fldChar w:fldCharType="separate"/>
          </w:r>
          <w:r w:rsidR="009E5B67" w:rsidRPr="009E5B67">
            <w:rPr>
              <w:rFonts w:ascii="Times New Roman" w:hAnsi="Times New Roman" w:cs="Times New Roman"/>
              <w:noProof/>
            </w:rPr>
            <w:t>(Gunay &amp; Can, 2022)</w:t>
          </w:r>
          <w:r w:rsidR="007C2C67" w:rsidRPr="00340AA1">
            <w:rPr>
              <w:rFonts w:ascii="Times New Roman" w:hAnsi="Times New Roman" w:cs="Times New Roman"/>
            </w:rPr>
            <w:fldChar w:fldCharType="end"/>
          </w:r>
        </w:sdtContent>
      </w:sdt>
      <w:r w:rsidR="007C2C67" w:rsidRPr="00340AA1">
        <w:rPr>
          <w:rFonts w:ascii="Times New Roman" w:hAnsi="Times New Roman" w:cs="Times New Roman"/>
        </w:rPr>
        <w:t xml:space="preserve"> showed that with both crises</w:t>
      </w:r>
      <w:r w:rsidR="00125AF2" w:rsidRPr="00340AA1">
        <w:rPr>
          <w:rFonts w:ascii="Times New Roman" w:hAnsi="Times New Roman" w:cs="Times New Roman"/>
        </w:rPr>
        <w:t>,</w:t>
      </w:r>
      <w:r w:rsidR="007C2C67" w:rsidRPr="00340AA1">
        <w:rPr>
          <w:rFonts w:ascii="Times New Roman" w:hAnsi="Times New Roman" w:cs="Times New Roman"/>
        </w:rPr>
        <w:t xml:space="preserve"> the contagion was </w:t>
      </w:r>
      <w:r w:rsidR="00125AF2" w:rsidRPr="00340AA1">
        <w:rPr>
          <w:rFonts w:ascii="Times New Roman" w:hAnsi="Times New Roman" w:cs="Times New Roman"/>
        </w:rPr>
        <w:t xml:space="preserve">primarily transmitted by the US </w:t>
      </w:r>
      <w:r w:rsidR="0041236A" w:rsidRPr="00340AA1">
        <w:rPr>
          <w:rFonts w:ascii="Times New Roman" w:hAnsi="Times New Roman" w:cs="Times New Roman"/>
        </w:rPr>
        <w:t>markets and</w:t>
      </w:r>
      <w:r w:rsidR="004761B6" w:rsidRPr="00340AA1">
        <w:rPr>
          <w:rFonts w:ascii="Times New Roman" w:hAnsi="Times New Roman" w:cs="Times New Roman"/>
        </w:rPr>
        <w:t xml:space="preserve"> further proved that the</w:t>
      </w:r>
      <w:r w:rsidR="009B2922" w:rsidRPr="00340AA1">
        <w:rPr>
          <w:rFonts w:ascii="Times New Roman" w:hAnsi="Times New Roman" w:cs="Times New Roman"/>
        </w:rPr>
        <w:t xml:space="preserve"> </w:t>
      </w:r>
      <w:r w:rsidR="006F5C72" w:rsidRPr="00340AA1">
        <w:rPr>
          <w:rFonts w:ascii="Times New Roman" w:hAnsi="Times New Roman" w:cs="Times New Roman"/>
        </w:rPr>
        <w:t>transmission channels</w:t>
      </w:r>
      <w:r w:rsidR="009B2922" w:rsidRPr="00340AA1">
        <w:rPr>
          <w:rFonts w:ascii="Times New Roman" w:hAnsi="Times New Roman" w:cs="Times New Roman"/>
        </w:rPr>
        <w:t xml:space="preserve"> were simila</w:t>
      </w:r>
      <w:r w:rsidR="006F5C72" w:rsidRPr="00340AA1">
        <w:rPr>
          <w:rFonts w:ascii="Times New Roman" w:hAnsi="Times New Roman" w:cs="Times New Roman"/>
        </w:rPr>
        <w:t xml:space="preserve">r, </w:t>
      </w:r>
      <w:r w:rsidR="006F5C72" w:rsidRPr="00340AA1">
        <w:rPr>
          <w:rFonts w:ascii="Times New Roman" w:hAnsi="Times New Roman" w:cs="Times New Roman"/>
        </w:rPr>
        <w:t>though COVID-19 induced more severe spillovers</w:t>
      </w:r>
      <w:r w:rsidRPr="00340AA1">
        <w:rPr>
          <w:rFonts w:ascii="Times New Roman" w:hAnsi="Times New Roman" w:cs="Times New Roman"/>
        </w:rPr>
        <w:t>.</w:t>
      </w:r>
      <w:r w:rsidRPr="00340AA1">
        <w:rPr>
          <w:rFonts w:ascii="Times New Roman" w:hAnsi="Times New Roman" w:cs="Times New Roman"/>
        </w:rPr>
        <w:t xml:space="preserve"> </w:t>
      </w:r>
      <w:r w:rsidR="00FA69DF" w:rsidRPr="00340AA1">
        <w:rPr>
          <w:rFonts w:ascii="Times New Roman" w:hAnsi="Times New Roman" w:cs="Times New Roman"/>
        </w:rPr>
        <w:t xml:space="preserve">Despite the fact that </w:t>
      </w:r>
      <w:sdt>
        <w:sdtPr>
          <w:rPr>
            <w:rFonts w:ascii="Times New Roman" w:hAnsi="Times New Roman" w:cs="Times New Roman"/>
          </w:rPr>
          <w:id w:val="-431281534"/>
          <w:citation/>
        </w:sdtPr>
        <w:sdtContent>
          <w:r w:rsidR="00D2668F" w:rsidRPr="00340AA1">
            <w:rPr>
              <w:rFonts w:ascii="Times New Roman" w:hAnsi="Times New Roman" w:cs="Times New Roman"/>
            </w:rPr>
            <w:fldChar w:fldCharType="begin"/>
          </w:r>
          <w:r w:rsidR="00D2668F" w:rsidRPr="00340AA1">
            <w:rPr>
              <w:rFonts w:ascii="Times New Roman" w:hAnsi="Times New Roman" w:cs="Times New Roman"/>
            </w:rPr>
            <w:instrText xml:space="preserve"> CITATION BEK14 \l 1033 </w:instrText>
          </w:r>
          <w:r w:rsidR="00D2668F" w:rsidRPr="00340AA1">
            <w:rPr>
              <w:rFonts w:ascii="Times New Roman" w:hAnsi="Times New Roman" w:cs="Times New Roman"/>
            </w:rPr>
            <w:fldChar w:fldCharType="separate"/>
          </w:r>
          <w:r w:rsidR="009E5B67" w:rsidRPr="009E5B67">
            <w:rPr>
              <w:rFonts w:ascii="Times New Roman" w:hAnsi="Times New Roman" w:cs="Times New Roman"/>
              <w:noProof/>
            </w:rPr>
            <w:t xml:space="preserve">(BEKAERT, EHRMANN, FRATZSCHER, &amp; MEHL, </w:t>
          </w:r>
          <w:r w:rsidR="009E5B67" w:rsidRPr="009E5B67">
            <w:rPr>
              <w:rFonts w:ascii="Times New Roman" w:hAnsi="Times New Roman" w:cs="Times New Roman"/>
              <w:noProof/>
            </w:rPr>
            <w:lastRenderedPageBreak/>
            <w:t>2014)</w:t>
          </w:r>
          <w:r w:rsidR="00D2668F" w:rsidRPr="00340AA1">
            <w:rPr>
              <w:rFonts w:ascii="Times New Roman" w:hAnsi="Times New Roman" w:cs="Times New Roman"/>
            </w:rPr>
            <w:fldChar w:fldCharType="end"/>
          </w:r>
        </w:sdtContent>
      </w:sdt>
      <w:r w:rsidR="006C7BF0" w:rsidRPr="00340AA1">
        <w:rPr>
          <w:rFonts w:ascii="Times New Roman" w:hAnsi="Times New Roman" w:cs="Times New Roman"/>
        </w:rPr>
        <w:t xml:space="preserve"> </w:t>
      </w:r>
      <w:r w:rsidR="00FA69DF" w:rsidRPr="00340AA1">
        <w:rPr>
          <w:rFonts w:ascii="Times New Roman" w:hAnsi="Times New Roman" w:cs="Times New Roman"/>
        </w:rPr>
        <w:t xml:space="preserve">identified the GFC as the first major global crisis since the Great Depression and further went on to show contagion effects to be crisis-specific, </w:t>
      </w:r>
      <w:sdt>
        <w:sdtPr>
          <w:rPr>
            <w:rFonts w:ascii="Times New Roman" w:hAnsi="Times New Roman" w:cs="Times New Roman"/>
          </w:rPr>
          <w:id w:val="-655459657"/>
          <w:citation/>
        </w:sdtPr>
        <w:sdtContent>
          <w:r w:rsidR="006C7BF0" w:rsidRPr="00340AA1">
            <w:rPr>
              <w:rFonts w:ascii="Times New Roman" w:hAnsi="Times New Roman" w:cs="Times New Roman"/>
            </w:rPr>
            <w:fldChar w:fldCharType="begin"/>
          </w:r>
          <w:r w:rsidR="006C7BF0" w:rsidRPr="00340AA1">
            <w:rPr>
              <w:rFonts w:ascii="Times New Roman" w:hAnsi="Times New Roman" w:cs="Times New Roman"/>
            </w:rPr>
            <w:instrText xml:space="preserve"> CITATION Bak20 \l 1033 </w:instrText>
          </w:r>
          <w:r w:rsidR="006C7BF0" w:rsidRPr="00340AA1">
            <w:rPr>
              <w:rFonts w:ascii="Times New Roman" w:hAnsi="Times New Roman" w:cs="Times New Roman"/>
            </w:rPr>
            <w:fldChar w:fldCharType="separate"/>
          </w:r>
          <w:r w:rsidR="009E5B67" w:rsidRPr="009E5B67">
            <w:rPr>
              <w:rFonts w:ascii="Times New Roman" w:hAnsi="Times New Roman" w:cs="Times New Roman"/>
              <w:noProof/>
            </w:rPr>
            <w:t>(Baker, et al., 2020)</w:t>
          </w:r>
          <w:r w:rsidR="006C7BF0" w:rsidRPr="00340AA1">
            <w:rPr>
              <w:rFonts w:ascii="Times New Roman" w:hAnsi="Times New Roman" w:cs="Times New Roman"/>
            </w:rPr>
            <w:fldChar w:fldCharType="end"/>
          </w:r>
        </w:sdtContent>
      </w:sdt>
      <w:r w:rsidR="00FA69DF" w:rsidRPr="00340AA1">
        <w:rPr>
          <w:rFonts w:ascii="Times New Roman" w:hAnsi="Times New Roman" w:cs="Times New Roman"/>
        </w:rPr>
        <w:t xml:space="preserve"> show how COVID-19 has affected financial market volatility at a much faster and unprecedented rate. Overall, the literature shows contagion to be crisis-specific, which is a premise of this study.</w:t>
      </w:r>
    </w:p>
    <w:p w14:paraId="3E968AEF" w14:textId="77777777" w:rsidR="00F213D7" w:rsidRPr="00340AA1" w:rsidRDefault="00F213D7" w:rsidP="00340AA1">
      <w:pPr>
        <w:spacing w:line="360" w:lineRule="auto"/>
        <w:rPr>
          <w:rFonts w:ascii="Times New Roman" w:hAnsi="Times New Roman" w:cs="Times New Roman"/>
        </w:rPr>
      </w:pPr>
    </w:p>
    <w:p w14:paraId="0B8C8622" w14:textId="21359E5F" w:rsidR="007617DB" w:rsidRPr="00340AA1" w:rsidRDefault="007617DB"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 xml:space="preserve">Financial Contagion in </w:t>
      </w:r>
      <w:r w:rsidR="00FB198F" w:rsidRPr="00340AA1">
        <w:rPr>
          <w:rFonts w:ascii="Times New Roman" w:hAnsi="Times New Roman" w:cs="Times New Roman"/>
          <w:b/>
          <w:bCs/>
        </w:rPr>
        <w:t>Emerging</w:t>
      </w:r>
      <w:r w:rsidR="00E93388" w:rsidRPr="00340AA1">
        <w:rPr>
          <w:rFonts w:ascii="Times New Roman" w:hAnsi="Times New Roman" w:cs="Times New Roman"/>
          <w:b/>
          <w:bCs/>
        </w:rPr>
        <w:t xml:space="preserve"> </w:t>
      </w:r>
      <w:r w:rsidRPr="00340AA1">
        <w:rPr>
          <w:rFonts w:ascii="Times New Roman" w:hAnsi="Times New Roman" w:cs="Times New Roman"/>
          <w:b/>
          <w:bCs/>
        </w:rPr>
        <w:t>Markets</w:t>
      </w:r>
    </w:p>
    <w:p w14:paraId="16331D96" w14:textId="4181F33D" w:rsidR="00D0261E" w:rsidRPr="00340AA1" w:rsidRDefault="00BE31EE" w:rsidP="00340AA1">
      <w:pPr>
        <w:spacing w:line="360" w:lineRule="auto"/>
        <w:rPr>
          <w:rFonts w:ascii="Times New Roman" w:hAnsi="Times New Roman" w:cs="Times New Roman"/>
        </w:rPr>
      </w:pPr>
      <w:sdt>
        <w:sdtPr>
          <w:rPr>
            <w:rFonts w:ascii="Times New Roman" w:hAnsi="Times New Roman" w:cs="Times New Roman"/>
          </w:rPr>
          <w:id w:val="-2080594259"/>
          <w:citation/>
        </w:sdtPr>
        <w:sdtContent>
          <w:r w:rsidRPr="00340AA1">
            <w:rPr>
              <w:rFonts w:ascii="Times New Roman" w:hAnsi="Times New Roman" w:cs="Times New Roman"/>
            </w:rPr>
            <w:fldChar w:fldCharType="begin"/>
          </w:r>
          <w:r w:rsidRPr="00340AA1">
            <w:rPr>
              <w:rFonts w:ascii="Times New Roman" w:hAnsi="Times New Roman" w:cs="Times New Roman"/>
            </w:rPr>
            <w:instrText xml:space="preserve"> CITATION Log24 \l 1033 </w:instrText>
          </w:r>
          <w:r w:rsidRPr="00340AA1">
            <w:rPr>
              <w:rFonts w:ascii="Times New Roman" w:hAnsi="Times New Roman" w:cs="Times New Roman"/>
            </w:rPr>
            <w:fldChar w:fldCharType="separate"/>
          </w:r>
          <w:r w:rsidR="009E5B67" w:rsidRPr="009E5B67">
            <w:rPr>
              <w:rFonts w:ascii="Times New Roman" w:hAnsi="Times New Roman" w:cs="Times New Roman"/>
              <w:noProof/>
            </w:rPr>
            <w:t>(Logogye, Aawaar, &amp; Poku, 2024)</w:t>
          </w:r>
          <w:r w:rsidRPr="00340AA1">
            <w:rPr>
              <w:rFonts w:ascii="Times New Roman" w:hAnsi="Times New Roman" w:cs="Times New Roman"/>
            </w:rPr>
            <w:fldChar w:fldCharType="end"/>
          </w:r>
        </w:sdtContent>
      </w:sdt>
      <w:r w:rsidR="009A775D" w:rsidRPr="00340AA1">
        <w:rPr>
          <w:rFonts w:ascii="Times New Roman" w:hAnsi="Times New Roman" w:cs="Times New Roman"/>
        </w:rPr>
        <w:t xml:space="preserve"> provide empirical evidence supporting South Africa's role as the most globally integrated African equity market. </w:t>
      </w:r>
      <w:r w:rsidR="00C304D5" w:rsidRPr="00340AA1">
        <w:rPr>
          <w:rFonts w:ascii="Times New Roman" w:hAnsi="Times New Roman" w:cs="Times New Roman"/>
        </w:rPr>
        <w:t>In t</w:t>
      </w:r>
      <w:r w:rsidR="009A775D" w:rsidRPr="00340AA1">
        <w:rPr>
          <w:rFonts w:ascii="Times New Roman" w:hAnsi="Times New Roman" w:cs="Times New Roman"/>
        </w:rPr>
        <w:t>heir study</w:t>
      </w:r>
      <w:r w:rsidR="00C304D5" w:rsidRPr="00340AA1">
        <w:rPr>
          <w:rFonts w:ascii="Times New Roman" w:hAnsi="Times New Roman" w:cs="Times New Roman"/>
        </w:rPr>
        <w:t>, they show</w:t>
      </w:r>
      <w:r w:rsidR="009A775D" w:rsidRPr="00340AA1">
        <w:rPr>
          <w:rFonts w:ascii="Times New Roman" w:hAnsi="Times New Roman" w:cs="Times New Roman"/>
        </w:rPr>
        <w:t xml:space="preserve"> that during both the GFC and COVID-19, South Africa </w:t>
      </w:r>
      <w:r w:rsidR="0047352B" w:rsidRPr="00340AA1">
        <w:rPr>
          <w:rFonts w:ascii="Times New Roman" w:hAnsi="Times New Roman" w:cs="Times New Roman"/>
        </w:rPr>
        <w:t>proved</w:t>
      </w:r>
      <w:r w:rsidR="009A775D" w:rsidRPr="00340AA1">
        <w:rPr>
          <w:rFonts w:ascii="Times New Roman" w:hAnsi="Times New Roman" w:cs="Times New Roman"/>
        </w:rPr>
        <w:t xml:space="preserve"> </w:t>
      </w:r>
      <w:r w:rsidR="00C304D5" w:rsidRPr="00340AA1">
        <w:rPr>
          <w:rFonts w:ascii="Times New Roman" w:hAnsi="Times New Roman" w:cs="Times New Roman"/>
        </w:rPr>
        <w:t xml:space="preserve">to be </w:t>
      </w:r>
      <w:r w:rsidR="009A775D" w:rsidRPr="00340AA1">
        <w:rPr>
          <w:rFonts w:ascii="Times New Roman" w:hAnsi="Times New Roman" w:cs="Times New Roman"/>
        </w:rPr>
        <w:t xml:space="preserve">consistently </w:t>
      </w:r>
      <w:r w:rsidR="00C304D5" w:rsidRPr="00340AA1">
        <w:rPr>
          <w:rFonts w:ascii="Times New Roman" w:hAnsi="Times New Roman" w:cs="Times New Roman"/>
        </w:rPr>
        <w:t>sensitive</w:t>
      </w:r>
      <w:r w:rsidR="009A775D" w:rsidRPr="00340AA1">
        <w:rPr>
          <w:rFonts w:ascii="Times New Roman" w:hAnsi="Times New Roman" w:cs="Times New Roman"/>
        </w:rPr>
        <w:t xml:space="preserve"> to US market shocks</w:t>
      </w:r>
      <w:r w:rsidR="00273038" w:rsidRPr="00340AA1">
        <w:rPr>
          <w:rFonts w:ascii="Times New Roman" w:hAnsi="Times New Roman" w:cs="Times New Roman"/>
        </w:rPr>
        <w:t xml:space="preserve">, </w:t>
      </w:r>
      <w:r w:rsidR="009A775D" w:rsidRPr="00340AA1">
        <w:rPr>
          <w:rFonts w:ascii="Times New Roman" w:hAnsi="Times New Roman" w:cs="Times New Roman"/>
        </w:rPr>
        <w:t>a pattern not observed across other African markets</w:t>
      </w:r>
      <w:r w:rsidR="007617DB" w:rsidRPr="00340AA1">
        <w:rPr>
          <w:rFonts w:ascii="Times New Roman" w:hAnsi="Times New Roman" w:cs="Times New Roman"/>
        </w:rPr>
        <w:t xml:space="preserve">. </w:t>
      </w:r>
      <w:sdt>
        <w:sdtPr>
          <w:rPr>
            <w:rFonts w:ascii="Times New Roman" w:hAnsi="Times New Roman" w:cs="Times New Roman"/>
          </w:rPr>
          <w:id w:val="338365120"/>
          <w:citation/>
        </w:sdtPr>
        <w:sdtContent>
          <w:r w:rsidR="000863E7" w:rsidRPr="00340AA1">
            <w:rPr>
              <w:rFonts w:ascii="Times New Roman" w:hAnsi="Times New Roman" w:cs="Times New Roman"/>
            </w:rPr>
            <w:fldChar w:fldCharType="begin"/>
          </w:r>
          <w:r w:rsidR="000863E7" w:rsidRPr="00340AA1">
            <w:rPr>
              <w:rFonts w:ascii="Times New Roman" w:hAnsi="Times New Roman" w:cs="Times New Roman"/>
            </w:rPr>
            <w:instrText xml:space="preserve"> CITATION Mud23 \l 1033 </w:instrText>
          </w:r>
          <w:r w:rsidR="000863E7" w:rsidRPr="00340AA1">
            <w:rPr>
              <w:rFonts w:ascii="Times New Roman" w:hAnsi="Times New Roman" w:cs="Times New Roman"/>
            </w:rPr>
            <w:fldChar w:fldCharType="separate"/>
          </w:r>
          <w:r w:rsidR="009E5B67" w:rsidRPr="009E5B67">
            <w:rPr>
              <w:rFonts w:ascii="Times New Roman" w:hAnsi="Times New Roman" w:cs="Times New Roman"/>
              <w:noProof/>
            </w:rPr>
            <w:t>(Mudiangombe &amp; Mwamba, 2023)</w:t>
          </w:r>
          <w:r w:rsidR="000863E7" w:rsidRPr="00340AA1">
            <w:rPr>
              <w:rFonts w:ascii="Times New Roman" w:hAnsi="Times New Roman" w:cs="Times New Roman"/>
            </w:rPr>
            <w:fldChar w:fldCharType="end"/>
          </w:r>
        </w:sdtContent>
      </w:sdt>
      <w:r w:rsidR="00BE52AE" w:rsidRPr="00340AA1">
        <w:rPr>
          <w:rFonts w:ascii="Times New Roman" w:hAnsi="Times New Roman" w:cs="Times New Roman"/>
        </w:rPr>
        <w:t xml:space="preserve"> </w:t>
      </w:r>
      <w:r w:rsidR="00FD5BAF" w:rsidRPr="00340AA1">
        <w:rPr>
          <w:rFonts w:ascii="Times New Roman" w:hAnsi="Times New Roman" w:cs="Times New Roman"/>
        </w:rPr>
        <w:t>analyse the spillover effects</w:t>
      </w:r>
      <w:r w:rsidR="00BE52AE" w:rsidRPr="00340AA1">
        <w:rPr>
          <w:rFonts w:ascii="Times New Roman" w:hAnsi="Times New Roman" w:cs="Times New Roman"/>
        </w:rPr>
        <w:t xml:space="preserve"> originating from the S&amp;P 500 on South African JSE sector indices</w:t>
      </w:r>
      <w:r w:rsidR="008259E1" w:rsidRPr="00340AA1">
        <w:rPr>
          <w:rFonts w:ascii="Times New Roman" w:hAnsi="Times New Roman" w:cs="Times New Roman"/>
        </w:rPr>
        <w:t>. The</w:t>
      </w:r>
      <w:r w:rsidR="002629A6" w:rsidRPr="00340AA1">
        <w:rPr>
          <w:rFonts w:ascii="Times New Roman" w:hAnsi="Times New Roman" w:cs="Times New Roman"/>
        </w:rPr>
        <w:t xml:space="preserve">ir results show </w:t>
      </w:r>
      <w:r w:rsidR="00BE52AE" w:rsidRPr="00340AA1">
        <w:rPr>
          <w:rFonts w:ascii="Times New Roman" w:hAnsi="Times New Roman" w:cs="Times New Roman"/>
        </w:rPr>
        <w:t xml:space="preserve">strong and unidirectional volatility spillovers from the U.S. to South Africa. </w:t>
      </w:r>
    </w:p>
    <w:p w14:paraId="523452B0" w14:textId="2651840E" w:rsidR="00D0261E" w:rsidRPr="00340AA1" w:rsidRDefault="00D0261E" w:rsidP="00340AA1">
      <w:pPr>
        <w:spacing w:line="360" w:lineRule="auto"/>
        <w:rPr>
          <w:rFonts w:ascii="Times New Roman" w:hAnsi="Times New Roman" w:cs="Times New Roman"/>
        </w:rPr>
      </w:pPr>
      <w:r w:rsidRPr="00D0261E">
        <w:rPr>
          <w:rFonts w:ascii="Times New Roman" w:hAnsi="Times New Roman" w:cs="Times New Roman"/>
        </w:rPr>
        <w:t xml:space="preserve">Within the broader </w:t>
      </w:r>
      <w:r w:rsidR="006F430E" w:rsidRPr="00340AA1">
        <w:rPr>
          <w:rFonts w:ascii="Times New Roman" w:hAnsi="Times New Roman" w:cs="Times New Roman"/>
        </w:rPr>
        <w:t xml:space="preserve">context of </w:t>
      </w:r>
      <w:r w:rsidRPr="00D0261E">
        <w:rPr>
          <w:rFonts w:ascii="Times New Roman" w:hAnsi="Times New Roman" w:cs="Times New Roman"/>
        </w:rPr>
        <w:t xml:space="preserve">African, </w:t>
      </w:r>
      <w:sdt>
        <w:sdtPr>
          <w:rPr>
            <w:rFonts w:ascii="Times New Roman" w:hAnsi="Times New Roman" w:cs="Times New Roman"/>
          </w:rPr>
          <w:id w:val="-1607420737"/>
          <w:citation/>
        </w:sdtPr>
        <w:sdtContent>
          <w:r w:rsidR="00AF6ED6" w:rsidRPr="00340AA1">
            <w:rPr>
              <w:rFonts w:ascii="Times New Roman" w:hAnsi="Times New Roman" w:cs="Times New Roman"/>
            </w:rPr>
            <w:fldChar w:fldCharType="begin"/>
          </w:r>
          <w:r w:rsidR="00AF6ED6" w:rsidRPr="00340AA1">
            <w:rPr>
              <w:rFonts w:ascii="Times New Roman" w:hAnsi="Times New Roman" w:cs="Times New Roman"/>
            </w:rPr>
            <w:instrText xml:space="preserve"> CITATION Log24 \l 1033 </w:instrText>
          </w:r>
          <w:r w:rsidR="00AF6ED6" w:rsidRPr="00340AA1">
            <w:rPr>
              <w:rFonts w:ascii="Times New Roman" w:hAnsi="Times New Roman" w:cs="Times New Roman"/>
            </w:rPr>
            <w:fldChar w:fldCharType="separate"/>
          </w:r>
          <w:r w:rsidR="009E5B67" w:rsidRPr="009E5B67">
            <w:rPr>
              <w:rFonts w:ascii="Times New Roman" w:hAnsi="Times New Roman" w:cs="Times New Roman"/>
              <w:noProof/>
            </w:rPr>
            <w:t>(Logogye, Aawaar, &amp; Poku, 2024)</w:t>
          </w:r>
          <w:r w:rsidR="00AF6ED6" w:rsidRPr="00340AA1">
            <w:rPr>
              <w:rFonts w:ascii="Times New Roman" w:hAnsi="Times New Roman" w:cs="Times New Roman"/>
            </w:rPr>
            <w:fldChar w:fldCharType="end"/>
          </w:r>
        </w:sdtContent>
      </w:sdt>
      <w:r w:rsidR="00AF6ED6" w:rsidRPr="00340AA1">
        <w:rPr>
          <w:rFonts w:ascii="Times New Roman" w:hAnsi="Times New Roman" w:cs="Times New Roman"/>
        </w:rPr>
        <w:t xml:space="preserve"> </w:t>
      </w:r>
      <w:r w:rsidRPr="00D0261E">
        <w:rPr>
          <w:rFonts w:ascii="Times New Roman" w:hAnsi="Times New Roman" w:cs="Times New Roman"/>
        </w:rPr>
        <w:t>empirically assess contagion from the U.S. to</w:t>
      </w:r>
      <w:r w:rsidR="009D5C75" w:rsidRPr="00340AA1">
        <w:rPr>
          <w:rFonts w:ascii="Times New Roman" w:hAnsi="Times New Roman" w:cs="Times New Roman"/>
        </w:rPr>
        <w:t>wards</w:t>
      </w:r>
      <w:r w:rsidRPr="00D0261E">
        <w:rPr>
          <w:rFonts w:ascii="Times New Roman" w:hAnsi="Times New Roman" w:cs="Times New Roman"/>
        </w:rPr>
        <w:t xml:space="preserve"> five African economies, </w:t>
      </w:r>
      <w:r w:rsidR="00FA14A1" w:rsidRPr="00340AA1">
        <w:rPr>
          <w:rFonts w:ascii="Times New Roman" w:hAnsi="Times New Roman" w:cs="Times New Roman"/>
        </w:rPr>
        <w:t>using</w:t>
      </w:r>
      <w:r w:rsidRPr="00D0261E">
        <w:rPr>
          <w:rFonts w:ascii="Times New Roman" w:hAnsi="Times New Roman" w:cs="Times New Roman"/>
        </w:rPr>
        <w:t xml:space="preserve"> a tripartite temporal framework</w:t>
      </w:r>
      <w:r w:rsidR="00FA14A1" w:rsidRPr="00340AA1">
        <w:rPr>
          <w:rFonts w:ascii="Times New Roman" w:hAnsi="Times New Roman" w:cs="Times New Roman"/>
        </w:rPr>
        <w:t xml:space="preserve">, </w:t>
      </w:r>
      <w:r w:rsidRPr="00D0261E">
        <w:rPr>
          <w:rFonts w:ascii="Times New Roman" w:hAnsi="Times New Roman" w:cs="Times New Roman"/>
        </w:rPr>
        <w:t>pre-crisis, crisis, and post-crisis</w:t>
      </w:r>
      <w:r w:rsidR="00FA14A1" w:rsidRPr="00340AA1">
        <w:rPr>
          <w:rFonts w:ascii="Times New Roman" w:hAnsi="Times New Roman" w:cs="Times New Roman"/>
        </w:rPr>
        <w:t xml:space="preserve">, </w:t>
      </w:r>
      <w:r w:rsidRPr="00D0261E">
        <w:rPr>
          <w:rFonts w:ascii="Times New Roman" w:hAnsi="Times New Roman" w:cs="Times New Roman"/>
        </w:rPr>
        <w:t xml:space="preserve">that aligns with the regime-dependent classification </w:t>
      </w:r>
      <w:r w:rsidR="006F430E" w:rsidRPr="00340AA1">
        <w:rPr>
          <w:rFonts w:ascii="Times New Roman" w:hAnsi="Times New Roman" w:cs="Times New Roman"/>
        </w:rPr>
        <w:t>implemented</w:t>
      </w:r>
      <w:r w:rsidRPr="00D0261E">
        <w:rPr>
          <w:rFonts w:ascii="Times New Roman" w:hAnsi="Times New Roman" w:cs="Times New Roman"/>
        </w:rPr>
        <w:t xml:space="preserve"> in this study. </w:t>
      </w:r>
      <w:r w:rsidR="00155236" w:rsidRPr="00340AA1">
        <w:rPr>
          <w:rFonts w:ascii="Times New Roman" w:hAnsi="Times New Roman" w:cs="Times New Roman"/>
        </w:rPr>
        <w:t>The results of the research</w:t>
      </w:r>
      <w:r w:rsidRPr="00D0261E">
        <w:rPr>
          <w:rFonts w:ascii="Times New Roman" w:hAnsi="Times New Roman" w:cs="Times New Roman"/>
        </w:rPr>
        <w:t xml:space="preserve"> </w:t>
      </w:r>
      <w:r w:rsidR="00155236" w:rsidRPr="00340AA1">
        <w:rPr>
          <w:rFonts w:ascii="Times New Roman" w:hAnsi="Times New Roman" w:cs="Times New Roman"/>
        </w:rPr>
        <w:t>indicate</w:t>
      </w:r>
      <w:r w:rsidRPr="00D0261E">
        <w:rPr>
          <w:rFonts w:ascii="Times New Roman" w:hAnsi="Times New Roman" w:cs="Times New Roman"/>
        </w:rPr>
        <w:t xml:space="preserve"> that contagion effects </w:t>
      </w:r>
      <w:r w:rsidR="00FD78DA" w:rsidRPr="00340AA1">
        <w:rPr>
          <w:rFonts w:ascii="Times New Roman" w:hAnsi="Times New Roman" w:cs="Times New Roman"/>
        </w:rPr>
        <w:t>worsen</w:t>
      </w:r>
      <w:r w:rsidRPr="00D0261E">
        <w:rPr>
          <w:rFonts w:ascii="Times New Roman" w:hAnsi="Times New Roman" w:cs="Times New Roman"/>
        </w:rPr>
        <w:t xml:space="preserve"> during periods of instability, </w:t>
      </w:r>
      <w:r w:rsidR="007B2E6F" w:rsidRPr="00340AA1">
        <w:rPr>
          <w:rFonts w:ascii="Times New Roman" w:hAnsi="Times New Roman" w:cs="Times New Roman"/>
        </w:rPr>
        <w:t>where</w:t>
      </w:r>
      <w:r w:rsidRPr="00D0261E">
        <w:rPr>
          <w:rFonts w:ascii="Times New Roman" w:hAnsi="Times New Roman" w:cs="Times New Roman"/>
        </w:rPr>
        <w:t xml:space="preserve"> South Africa </w:t>
      </w:r>
      <w:r w:rsidR="007B2E6F" w:rsidRPr="00340AA1">
        <w:rPr>
          <w:rFonts w:ascii="Times New Roman" w:hAnsi="Times New Roman" w:cs="Times New Roman"/>
        </w:rPr>
        <w:t>is shown to possess stronge</w:t>
      </w:r>
      <w:r w:rsidR="009E0682" w:rsidRPr="00340AA1">
        <w:rPr>
          <w:rFonts w:ascii="Times New Roman" w:hAnsi="Times New Roman" w:cs="Times New Roman"/>
        </w:rPr>
        <w:t>r,</w:t>
      </w:r>
      <w:r w:rsidRPr="00D0261E">
        <w:rPr>
          <w:rFonts w:ascii="Times New Roman" w:hAnsi="Times New Roman" w:cs="Times New Roman"/>
        </w:rPr>
        <w:t xml:space="preserve"> more robust</w:t>
      </w:r>
      <w:r w:rsidR="009E0682" w:rsidRPr="00340AA1">
        <w:rPr>
          <w:rFonts w:ascii="Times New Roman" w:hAnsi="Times New Roman" w:cs="Times New Roman"/>
        </w:rPr>
        <w:t>,</w:t>
      </w:r>
      <w:r w:rsidRPr="00D0261E">
        <w:rPr>
          <w:rFonts w:ascii="Times New Roman" w:hAnsi="Times New Roman" w:cs="Times New Roman"/>
        </w:rPr>
        <w:t xml:space="preserve"> and persistent linkages to U.S. markets than its regional peers. This </w:t>
      </w:r>
      <w:r w:rsidR="00643E92" w:rsidRPr="00340AA1">
        <w:rPr>
          <w:rFonts w:ascii="Times New Roman" w:hAnsi="Times New Roman" w:cs="Times New Roman"/>
        </w:rPr>
        <w:t>is</w:t>
      </w:r>
      <w:r w:rsidR="00FD78DA" w:rsidRPr="00340AA1">
        <w:rPr>
          <w:rFonts w:ascii="Times New Roman" w:hAnsi="Times New Roman" w:cs="Times New Roman"/>
        </w:rPr>
        <w:t xml:space="preserve"> </w:t>
      </w:r>
      <w:r w:rsidR="009E0682" w:rsidRPr="00340AA1">
        <w:rPr>
          <w:rFonts w:ascii="Times New Roman" w:hAnsi="Times New Roman" w:cs="Times New Roman"/>
        </w:rPr>
        <w:t xml:space="preserve">consistent </w:t>
      </w:r>
      <w:r w:rsidR="00FD78DA" w:rsidRPr="00340AA1">
        <w:rPr>
          <w:rFonts w:ascii="Times New Roman" w:hAnsi="Times New Roman" w:cs="Times New Roman"/>
        </w:rPr>
        <w:t>with</w:t>
      </w:r>
      <w:r w:rsidRPr="00D0261E">
        <w:rPr>
          <w:rFonts w:ascii="Times New Roman" w:hAnsi="Times New Roman" w:cs="Times New Roman"/>
        </w:rPr>
        <w:t xml:space="preserve"> </w:t>
      </w:r>
      <w:sdt>
        <w:sdtPr>
          <w:rPr>
            <w:rFonts w:ascii="Times New Roman" w:hAnsi="Times New Roman" w:cs="Times New Roman"/>
          </w:rPr>
          <w:id w:val="-785578178"/>
          <w:citation/>
        </w:sdtPr>
        <w:sdtContent>
          <w:r w:rsidR="007F551C" w:rsidRPr="00340AA1">
            <w:rPr>
              <w:rFonts w:ascii="Times New Roman" w:hAnsi="Times New Roman" w:cs="Times New Roman"/>
            </w:rPr>
            <w:fldChar w:fldCharType="begin"/>
          </w:r>
          <w:r w:rsidR="007F551C" w:rsidRPr="00340AA1">
            <w:rPr>
              <w:rFonts w:ascii="Times New Roman" w:hAnsi="Times New Roman" w:cs="Times New Roman"/>
            </w:rPr>
            <w:instrText xml:space="preserve"> CITATION Bei13 \l 1033 </w:instrText>
          </w:r>
          <w:r w:rsidR="007F551C" w:rsidRPr="00340AA1">
            <w:rPr>
              <w:rFonts w:ascii="Times New Roman" w:hAnsi="Times New Roman" w:cs="Times New Roman"/>
            </w:rPr>
            <w:fldChar w:fldCharType="separate"/>
          </w:r>
          <w:r w:rsidR="009E5B67" w:rsidRPr="009E5B67">
            <w:rPr>
              <w:rFonts w:ascii="Times New Roman" w:hAnsi="Times New Roman" w:cs="Times New Roman"/>
              <w:noProof/>
            </w:rPr>
            <w:t>(Beirne &amp; Fratzscher, 2013)</w:t>
          </w:r>
          <w:r w:rsidR="007F551C" w:rsidRPr="00340AA1">
            <w:rPr>
              <w:rFonts w:ascii="Times New Roman" w:hAnsi="Times New Roman" w:cs="Times New Roman"/>
            </w:rPr>
            <w:fldChar w:fldCharType="end"/>
          </w:r>
        </w:sdtContent>
      </w:sdt>
      <w:r w:rsidR="007F551C" w:rsidRPr="00340AA1">
        <w:rPr>
          <w:rFonts w:ascii="Times New Roman" w:hAnsi="Times New Roman" w:cs="Times New Roman"/>
        </w:rPr>
        <w:t xml:space="preserve"> </w:t>
      </w:r>
      <w:r w:rsidR="00FD78DA" w:rsidRPr="00340AA1">
        <w:rPr>
          <w:rFonts w:ascii="Times New Roman" w:hAnsi="Times New Roman" w:cs="Times New Roman"/>
        </w:rPr>
        <w:t>work</w:t>
      </w:r>
      <w:r w:rsidRPr="00D0261E">
        <w:rPr>
          <w:rFonts w:ascii="Times New Roman" w:hAnsi="Times New Roman" w:cs="Times New Roman"/>
        </w:rPr>
        <w:t xml:space="preserve">, </w:t>
      </w:r>
      <w:r w:rsidR="005E3AEF" w:rsidRPr="00340AA1">
        <w:rPr>
          <w:rFonts w:ascii="Times New Roman" w:hAnsi="Times New Roman" w:cs="Times New Roman"/>
        </w:rPr>
        <w:t xml:space="preserve">which </w:t>
      </w:r>
      <w:r w:rsidR="00320E40" w:rsidRPr="00340AA1">
        <w:rPr>
          <w:rFonts w:ascii="Times New Roman" w:hAnsi="Times New Roman" w:cs="Times New Roman"/>
        </w:rPr>
        <w:t>highlights</w:t>
      </w:r>
      <w:r w:rsidR="005E3AEF" w:rsidRPr="00340AA1">
        <w:rPr>
          <w:rFonts w:ascii="Times New Roman" w:hAnsi="Times New Roman" w:cs="Times New Roman"/>
        </w:rPr>
        <w:t xml:space="preserve"> that financial openness and market depth exacerbate vulnerability to external shocks, as well as with</w:t>
      </w:r>
      <w:r w:rsidR="00E1177D" w:rsidRPr="00340AA1">
        <w:rPr>
          <w:rFonts w:ascii="Times New Roman" w:hAnsi="Times New Roman" w:cs="Times New Roman"/>
        </w:rPr>
        <w:t>Eng</w:t>
      </w:r>
      <w:r w:rsidRPr="00D0261E">
        <w:rPr>
          <w:rFonts w:ascii="Times New Roman" w:hAnsi="Times New Roman" w:cs="Times New Roman"/>
        </w:rPr>
        <w:t>, who emphasi</w:t>
      </w:r>
      <w:r w:rsidR="005E3AEF" w:rsidRPr="00340AA1">
        <w:rPr>
          <w:rFonts w:ascii="Times New Roman" w:hAnsi="Times New Roman" w:cs="Times New Roman"/>
        </w:rPr>
        <w:t>s</w:t>
      </w:r>
      <w:r w:rsidRPr="00D0261E">
        <w:rPr>
          <w:rFonts w:ascii="Times New Roman" w:hAnsi="Times New Roman" w:cs="Times New Roman"/>
        </w:rPr>
        <w:t xml:space="preserve">e the role of structural linkages in facilitating cross-market co-movements. </w:t>
      </w:r>
      <w:r w:rsidR="00EC1B8D" w:rsidRPr="00340AA1">
        <w:rPr>
          <w:rFonts w:ascii="Times New Roman" w:hAnsi="Times New Roman" w:cs="Times New Roman"/>
        </w:rPr>
        <w:t>thereby making South Africa more vulnerable due to its high financial integration with global markets, as opposed to trade, which makes the USD/ZAR a key driver for contagion risk in South Africa.</w:t>
      </w:r>
    </w:p>
    <w:p w14:paraId="738EC2A4" w14:textId="77777777" w:rsidR="00F213D7" w:rsidRPr="00340AA1" w:rsidRDefault="00F213D7" w:rsidP="00340AA1">
      <w:pPr>
        <w:spacing w:line="360" w:lineRule="auto"/>
        <w:rPr>
          <w:rFonts w:ascii="Times New Roman" w:hAnsi="Times New Roman" w:cs="Times New Roman"/>
        </w:rPr>
      </w:pPr>
    </w:p>
    <w:p w14:paraId="501E1FE0" w14:textId="210978C2" w:rsidR="007617DB" w:rsidRPr="00340AA1" w:rsidRDefault="007617DB"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Information Transmission, Behavioural Channels, and COVID-19 Contagion</w:t>
      </w:r>
    </w:p>
    <w:p w14:paraId="6BACEDEB" w14:textId="19361840" w:rsidR="0027582F" w:rsidRPr="00340AA1" w:rsidRDefault="00636499" w:rsidP="00340AA1">
      <w:pPr>
        <w:spacing w:line="360" w:lineRule="auto"/>
        <w:rPr>
          <w:rFonts w:ascii="Times New Roman" w:hAnsi="Times New Roman" w:cs="Times New Roman"/>
        </w:rPr>
      </w:pPr>
      <w:r w:rsidRPr="00340AA1">
        <w:rPr>
          <w:rFonts w:ascii="Times New Roman" w:hAnsi="Times New Roman" w:cs="Times New Roman"/>
        </w:rPr>
        <w:t>In their recent study,</w:t>
      </w:r>
      <w:r w:rsidR="0027582F" w:rsidRPr="0027582F">
        <w:rPr>
          <w:rFonts w:ascii="Times New Roman" w:hAnsi="Times New Roman" w:cs="Times New Roman"/>
        </w:rPr>
        <w:t xml:space="preserve"> </w:t>
      </w:r>
      <w:sdt>
        <w:sdtPr>
          <w:rPr>
            <w:rFonts w:ascii="Times New Roman" w:hAnsi="Times New Roman" w:cs="Times New Roman"/>
          </w:rPr>
          <w:id w:val="-1156067987"/>
          <w:citation/>
        </w:sdtPr>
        <w:sdtContent>
          <w:r w:rsidR="000720A2" w:rsidRPr="00340AA1">
            <w:rPr>
              <w:rFonts w:ascii="Times New Roman" w:hAnsi="Times New Roman" w:cs="Times New Roman"/>
            </w:rPr>
            <w:fldChar w:fldCharType="begin"/>
          </w:r>
          <w:r w:rsidR="000720A2" w:rsidRPr="00340AA1">
            <w:rPr>
              <w:rFonts w:ascii="Times New Roman" w:hAnsi="Times New Roman" w:cs="Times New Roman"/>
              <w:b/>
              <w:bCs/>
            </w:rPr>
            <w:instrText xml:space="preserve"> CITATION Yar22 \l 1033 </w:instrText>
          </w:r>
          <w:r w:rsidR="000720A2" w:rsidRPr="00340AA1">
            <w:rPr>
              <w:rFonts w:ascii="Times New Roman" w:hAnsi="Times New Roman" w:cs="Times New Roman"/>
            </w:rPr>
            <w:fldChar w:fldCharType="separate"/>
          </w:r>
          <w:r w:rsidR="009E5B67" w:rsidRPr="009E5B67">
            <w:rPr>
              <w:rFonts w:ascii="Times New Roman" w:hAnsi="Times New Roman" w:cs="Times New Roman"/>
              <w:noProof/>
            </w:rPr>
            <w:t>(Yarovaya, Brzeszczyński , Goodell , Lucey, &amp; Marco Lau, 2022)</w:t>
          </w:r>
          <w:r w:rsidR="000720A2" w:rsidRPr="00340AA1">
            <w:rPr>
              <w:rFonts w:ascii="Times New Roman" w:hAnsi="Times New Roman" w:cs="Times New Roman"/>
            </w:rPr>
            <w:fldChar w:fldCharType="end"/>
          </w:r>
        </w:sdtContent>
      </w:sdt>
      <w:r w:rsidR="0027582F" w:rsidRPr="0027582F">
        <w:rPr>
          <w:rFonts w:ascii="Times New Roman" w:hAnsi="Times New Roman" w:cs="Times New Roman"/>
        </w:rPr>
        <w:t xml:space="preserve"> argue that contagion during COVID-19 was significantly shaped by media coverage and investor sentiment, </w:t>
      </w:r>
      <w:r w:rsidR="007D184C" w:rsidRPr="00340AA1">
        <w:rPr>
          <w:rFonts w:ascii="Times New Roman" w:hAnsi="Times New Roman" w:cs="Times New Roman"/>
        </w:rPr>
        <w:t>implying that the reason behind</w:t>
      </w:r>
      <w:r w:rsidR="0027582F" w:rsidRPr="0027582F">
        <w:rPr>
          <w:rFonts w:ascii="Times New Roman" w:hAnsi="Times New Roman" w:cs="Times New Roman"/>
        </w:rPr>
        <w:t xml:space="preserve"> the "viral" nature of the pandemic was as much </w:t>
      </w:r>
      <w:r w:rsidR="00B944AD" w:rsidRPr="00340AA1">
        <w:rPr>
          <w:rFonts w:ascii="Times New Roman" w:hAnsi="Times New Roman" w:cs="Times New Roman"/>
        </w:rPr>
        <w:t xml:space="preserve">about </w:t>
      </w:r>
      <w:r w:rsidR="00B944AD" w:rsidRPr="00340AA1">
        <w:rPr>
          <w:rFonts w:ascii="Times New Roman" w:hAnsi="Times New Roman" w:cs="Times New Roman"/>
        </w:rPr>
        <w:lastRenderedPageBreak/>
        <w:t xml:space="preserve">information </w:t>
      </w:r>
      <w:r w:rsidR="0027582F" w:rsidRPr="0027582F">
        <w:rPr>
          <w:rFonts w:ascii="Times New Roman" w:hAnsi="Times New Roman" w:cs="Times New Roman"/>
        </w:rPr>
        <w:t>as it was biolog</w:t>
      </w:r>
      <w:r w:rsidR="001A1872" w:rsidRPr="00340AA1">
        <w:rPr>
          <w:rFonts w:ascii="Times New Roman" w:hAnsi="Times New Roman" w:cs="Times New Roman"/>
        </w:rPr>
        <w:t>y</w:t>
      </w:r>
      <w:r w:rsidR="0027582F" w:rsidRPr="0027582F">
        <w:rPr>
          <w:rFonts w:ascii="Times New Roman" w:hAnsi="Times New Roman" w:cs="Times New Roman"/>
        </w:rPr>
        <w:t xml:space="preserve">. </w:t>
      </w:r>
      <w:sdt>
        <w:sdtPr>
          <w:rPr>
            <w:rFonts w:ascii="Times New Roman" w:hAnsi="Times New Roman" w:cs="Times New Roman"/>
          </w:rPr>
          <w:id w:val="1508719348"/>
          <w:citation/>
        </w:sdtPr>
        <w:sdtContent>
          <w:r w:rsidR="009C49E0" w:rsidRPr="00340AA1">
            <w:rPr>
              <w:rFonts w:ascii="Times New Roman" w:hAnsi="Times New Roman" w:cs="Times New Roman"/>
            </w:rPr>
            <w:fldChar w:fldCharType="begin"/>
          </w:r>
          <w:r w:rsidR="009C49E0" w:rsidRPr="00340AA1">
            <w:rPr>
              <w:rFonts w:ascii="Times New Roman" w:hAnsi="Times New Roman" w:cs="Times New Roman"/>
              <w:b/>
              <w:bCs/>
            </w:rPr>
            <w:instrText xml:space="preserve"> CITATION Har20 \l 1033 </w:instrText>
          </w:r>
          <w:r w:rsidR="009C49E0" w:rsidRPr="00340AA1">
            <w:rPr>
              <w:rFonts w:ascii="Times New Roman" w:hAnsi="Times New Roman" w:cs="Times New Roman"/>
            </w:rPr>
            <w:fldChar w:fldCharType="separate"/>
          </w:r>
          <w:r w:rsidR="009E5B67" w:rsidRPr="009E5B67">
            <w:rPr>
              <w:rFonts w:ascii="Times New Roman" w:hAnsi="Times New Roman" w:cs="Times New Roman"/>
              <w:noProof/>
            </w:rPr>
            <w:t>(Haroon &amp; Rizvi, COVID-19: Media coverage and financial markets behavior—A sectoral inquiry, 2020)</w:t>
          </w:r>
          <w:r w:rsidR="009C49E0" w:rsidRPr="00340AA1">
            <w:rPr>
              <w:rFonts w:ascii="Times New Roman" w:hAnsi="Times New Roman" w:cs="Times New Roman"/>
            </w:rPr>
            <w:fldChar w:fldCharType="end"/>
          </w:r>
        </w:sdtContent>
      </w:sdt>
      <w:r w:rsidR="009C49E0" w:rsidRPr="00340AA1">
        <w:rPr>
          <w:rFonts w:ascii="Times New Roman" w:hAnsi="Times New Roman" w:cs="Times New Roman"/>
        </w:rPr>
        <w:t xml:space="preserve"> </w:t>
      </w:r>
      <w:r w:rsidR="001A1872" w:rsidRPr="00340AA1">
        <w:rPr>
          <w:rFonts w:ascii="Times New Roman" w:hAnsi="Times New Roman" w:cs="Times New Roman"/>
        </w:rPr>
        <w:t xml:space="preserve">support this </w:t>
      </w:r>
      <w:r w:rsidR="00C85AC8" w:rsidRPr="00340AA1">
        <w:rPr>
          <w:rFonts w:ascii="Times New Roman" w:hAnsi="Times New Roman" w:cs="Times New Roman"/>
        </w:rPr>
        <w:t>in their study</w:t>
      </w:r>
      <w:r w:rsidR="0027582F" w:rsidRPr="0027582F">
        <w:rPr>
          <w:rFonts w:ascii="Times New Roman" w:hAnsi="Times New Roman" w:cs="Times New Roman"/>
        </w:rPr>
        <w:t xml:space="preserve">, </w:t>
      </w:r>
      <w:r w:rsidR="00C85AC8" w:rsidRPr="00340AA1">
        <w:rPr>
          <w:rFonts w:ascii="Times New Roman" w:hAnsi="Times New Roman" w:cs="Times New Roman"/>
        </w:rPr>
        <w:t>which finds</w:t>
      </w:r>
      <w:r w:rsidR="0027582F" w:rsidRPr="0027582F">
        <w:rPr>
          <w:rFonts w:ascii="Times New Roman" w:hAnsi="Times New Roman" w:cs="Times New Roman"/>
        </w:rPr>
        <w:t xml:space="preserve"> that the sheer volume of media coverage </w:t>
      </w:r>
      <w:r w:rsidR="00247466" w:rsidRPr="00340AA1">
        <w:rPr>
          <w:rFonts w:ascii="Times New Roman" w:hAnsi="Times New Roman" w:cs="Times New Roman"/>
        </w:rPr>
        <w:t>contributed to an increase</w:t>
      </w:r>
      <w:r w:rsidR="00123897" w:rsidRPr="00340AA1">
        <w:rPr>
          <w:rFonts w:ascii="Times New Roman" w:hAnsi="Times New Roman" w:cs="Times New Roman"/>
        </w:rPr>
        <w:t xml:space="preserve"> in</w:t>
      </w:r>
      <w:r w:rsidR="0027582F" w:rsidRPr="0027582F">
        <w:rPr>
          <w:rFonts w:ascii="Times New Roman" w:hAnsi="Times New Roman" w:cs="Times New Roman"/>
        </w:rPr>
        <w:t xml:space="preserve"> market reactions, </w:t>
      </w:r>
      <w:r w:rsidR="000B299E" w:rsidRPr="00340AA1">
        <w:rPr>
          <w:rFonts w:ascii="Times New Roman" w:hAnsi="Times New Roman" w:cs="Times New Roman"/>
        </w:rPr>
        <w:t>turning</w:t>
      </w:r>
      <w:r w:rsidR="0027582F" w:rsidRPr="0027582F">
        <w:rPr>
          <w:rFonts w:ascii="Times New Roman" w:hAnsi="Times New Roman" w:cs="Times New Roman"/>
        </w:rPr>
        <w:t xml:space="preserve"> health-related news into high-frequency volatility shocks. Furthermore, </w:t>
      </w:r>
      <w:sdt>
        <w:sdtPr>
          <w:rPr>
            <w:rFonts w:ascii="Times New Roman" w:hAnsi="Times New Roman" w:cs="Times New Roman"/>
          </w:rPr>
          <w:id w:val="-123923206"/>
          <w:citation/>
        </w:sdtPr>
        <w:sdtContent>
          <w:r w:rsidR="003527CF" w:rsidRPr="00340AA1">
            <w:rPr>
              <w:rFonts w:ascii="Times New Roman" w:hAnsi="Times New Roman" w:cs="Times New Roman"/>
            </w:rPr>
            <w:fldChar w:fldCharType="begin"/>
          </w:r>
          <w:r w:rsidR="003527CF" w:rsidRPr="00340AA1">
            <w:rPr>
              <w:rFonts w:ascii="Times New Roman" w:hAnsi="Times New Roman" w:cs="Times New Roman"/>
              <w:b/>
              <w:bCs/>
            </w:rPr>
            <w:instrText xml:space="preserve"> CITATION Cep20 \l 1033 </w:instrText>
          </w:r>
          <w:r w:rsidR="003527CF" w:rsidRPr="00340AA1">
            <w:rPr>
              <w:rFonts w:ascii="Times New Roman" w:hAnsi="Times New Roman" w:cs="Times New Roman"/>
            </w:rPr>
            <w:fldChar w:fldCharType="separate"/>
          </w:r>
          <w:r w:rsidR="009E5B67" w:rsidRPr="009E5B67">
            <w:rPr>
              <w:rFonts w:ascii="Times New Roman" w:hAnsi="Times New Roman" w:cs="Times New Roman"/>
              <w:noProof/>
            </w:rPr>
            <w:t>(Cepoi, 2020)</w:t>
          </w:r>
          <w:r w:rsidR="003527CF" w:rsidRPr="00340AA1">
            <w:rPr>
              <w:rFonts w:ascii="Times New Roman" w:hAnsi="Times New Roman" w:cs="Times New Roman"/>
            </w:rPr>
            <w:fldChar w:fldCharType="end"/>
          </w:r>
        </w:sdtContent>
      </w:sdt>
      <w:r w:rsidR="003527CF" w:rsidRPr="00340AA1">
        <w:rPr>
          <w:rFonts w:ascii="Times New Roman" w:hAnsi="Times New Roman" w:cs="Times New Roman"/>
        </w:rPr>
        <w:t xml:space="preserve"> </w:t>
      </w:r>
      <w:r w:rsidR="0027582F" w:rsidRPr="0027582F">
        <w:rPr>
          <w:rFonts w:ascii="Times New Roman" w:hAnsi="Times New Roman" w:cs="Times New Roman"/>
        </w:rPr>
        <w:t>utili</w:t>
      </w:r>
      <w:r w:rsidR="003527CF" w:rsidRPr="00340AA1">
        <w:rPr>
          <w:rFonts w:ascii="Times New Roman" w:hAnsi="Times New Roman" w:cs="Times New Roman"/>
        </w:rPr>
        <w:t>s</w:t>
      </w:r>
      <w:r w:rsidR="0027582F" w:rsidRPr="0027582F">
        <w:rPr>
          <w:rFonts w:ascii="Times New Roman" w:hAnsi="Times New Roman" w:cs="Times New Roman"/>
        </w:rPr>
        <w:t>es quantile regression to demonstrate that stock markets responded asymmetrically to this information flow; specifically, the sensitivity of returns to news was significantly amplified during periods of prevailing negative sentiment.</w:t>
      </w:r>
    </w:p>
    <w:p w14:paraId="70A205ED" w14:textId="77777777" w:rsidR="000720A2" w:rsidRPr="0027582F" w:rsidRDefault="000720A2" w:rsidP="00340AA1">
      <w:pPr>
        <w:spacing w:line="360" w:lineRule="auto"/>
        <w:rPr>
          <w:rFonts w:ascii="Times New Roman" w:hAnsi="Times New Roman" w:cs="Times New Roman"/>
        </w:rPr>
      </w:pPr>
    </w:p>
    <w:p w14:paraId="3EE4DCAB" w14:textId="1E9CE8ED" w:rsidR="0087641B" w:rsidRPr="00340AA1" w:rsidRDefault="00935953" w:rsidP="00340AA1">
      <w:pPr>
        <w:spacing w:line="360" w:lineRule="auto"/>
        <w:rPr>
          <w:rFonts w:ascii="Times New Roman" w:hAnsi="Times New Roman" w:cs="Times New Roman"/>
        </w:rPr>
      </w:pPr>
      <w:r w:rsidRPr="00340AA1">
        <w:rPr>
          <w:rFonts w:ascii="Times New Roman" w:hAnsi="Times New Roman" w:cs="Times New Roman"/>
        </w:rPr>
        <w:t xml:space="preserve">This asymmetry points to a "flight to safety" phenomenon, which is a function of loss aversion, implying that negative news is more heavily weighted than positive news for investors. Furthermore, when combined with the results of the study by </w:t>
      </w:r>
      <w:sdt>
        <w:sdtPr>
          <w:rPr>
            <w:rFonts w:ascii="Times New Roman" w:hAnsi="Times New Roman" w:cs="Times New Roman"/>
          </w:rPr>
          <w:id w:val="1974560258"/>
          <w:citation/>
        </w:sdtPr>
        <w:sdtContent>
          <w:r w:rsidR="000C7A83" w:rsidRPr="00340AA1">
            <w:rPr>
              <w:rFonts w:ascii="Times New Roman" w:hAnsi="Times New Roman" w:cs="Times New Roman"/>
            </w:rPr>
            <w:fldChar w:fldCharType="begin"/>
          </w:r>
          <w:r w:rsidR="000C7A83" w:rsidRPr="00340AA1">
            <w:rPr>
              <w:rFonts w:ascii="Times New Roman" w:hAnsi="Times New Roman" w:cs="Times New Roman"/>
            </w:rPr>
            <w:instrText xml:space="preserve"> CITATION Lyó20 \l 1033 </w:instrText>
          </w:r>
          <w:r w:rsidR="000C7A83" w:rsidRPr="00340AA1">
            <w:rPr>
              <w:rFonts w:ascii="Times New Roman" w:hAnsi="Times New Roman" w:cs="Times New Roman"/>
            </w:rPr>
            <w:fldChar w:fldCharType="separate"/>
          </w:r>
          <w:r w:rsidR="009E5B67" w:rsidRPr="009E5B67">
            <w:rPr>
              <w:rFonts w:ascii="Times New Roman" w:hAnsi="Times New Roman" w:cs="Times New Roman"/>
              <w:noProof/>
            </w:rPr>
            <w:t>(Lyócsa, Baumöhl, Výrost , &amp; Molnár, 2020)</w:t>
          </w:r>
          <w:r w:rsidR="000C7A83" w:rsidRPr="00340AA1">
            <w:rPr>
              <w:rFonts w:ascii="Times New Roman" w:hAnsi="Times New Roman" w:cs="Times New Roman"/>
            </w:rPr>
            <w:fldChar w:fldCharType="end"/>
          </w:r>
        </w:sdtContent>
      </w:sdt>
      <w:r w:rsidRPr="00340AA1">
        <w:rPr>
          <w:rFonts w:ascii="Times New Roman" w:hAnsi="Times New Roman" w:cs="Times New Roman"/>
        </w:rPr>
        <w:t>, which points to the role of fear propagated by search engines, the overall picture of the role of a behavioral transmission mechanism becomes more apparent. The above studies, therefore, collectively indicate that the contagion of the COVID-19 virus was not merely a function of changes in the underlying fundamentals of the economy, but also a strong function of the overall behavior of investors, as well as the rapid spread of fear via digital information channels.</w:t>
      </w:r>
    </w:p>
    <w:p w14:paraId="4D0E1D6C" w14:textId="77777777" w:rsidR="00935953" w:rsidRPr="00340AA1" w:rsidRDefault="00935953" w:rsidP="00340AA1">
      <w:pPr>
        <w:spacing w:line="360" w:lineRule="auto"/>
        <w:rPr>
          <w:rFonts w:ascii="Times New Roman" w:hAnsi="Times New Roman" w:cs="Times New Roman"/>
        </w:rPr>
      </w:pPr>
    </w:p>
    <w:p w14:paraId="049587A7" w14:textId="3F509A27" w:rsidR="00BD7949" w:rsidRPr="00340AA1" w:rsidRDefault="00BD7949" w:rsidP="00340AA1">
      <w:pPr>
        <w:pStyle w:val="ListParagraph"/>
        <w:numPr>
          <w:ilvl w:val="2"/>
          <w:numId w:val="3"/>
        </w:numPr>
        <w:spacing w:line="360" w:lineRule="auto"/>
        <w:rPr>
          <w:rFonts w:ascii="Times New Roman" w:hAnsi="Times New Roman" w:cs="Times New Roman"/>
          <w:b/>
          <w:bCs/>
        </w:rPr>
      </w:pPr>
      <w:r w:rsidRPr="00340AA1">
        <w:rPr>
          <w:rFonts w:ascii="Times New Roman" w:hAnsi="Times New Roman" w:cs="Times New Roman"/>
          <w:b/>
          <w:bCs/>
        </w:rPr>
        <w:t>The USD/ZAR Exchange Rate as a Transmission Channel</w:t>
      </w:r>
    </w:p>
    <w:p w14:paraId="3D86F599" w14:textId="49099C3E" w:rsidR="00A23D8B" w:rsidRPr="00340AA1" w:rsidRDefault="00A23D8B" w:rsidP="00340AA1">
      <w:pPr>
        <w:spacing w:line="360" w:lineRule="auto"/>
        <w:rPr>
          <w:rFonts w:ascii="Times New Roman" w:hAnsi="Times New Roman" w:cs="Times New Roman"/>
        </w:rPr>
      </w:pPr>
      <w:r w:rsidRPr="00340AA1">
        <w:rPr>
          <w:rFonts w:ascii="Times New Roman" w:hAnsi="Times New Roman" w:cs="Times New Roman"/>
        </w:rPr>
        <w:t xml:space="preserve">The USD/ZAR currency pair plays a core role as a primary channel for external shocks, acting as a high-beta barometer for global risk sentiment towards emerging markets. In consideration of the high liquidity of the South African financial system, the Rand tends to be used as a proxy for speculative flows, thereby being responsive to changes in the global "Risk </w:t>
      </w:r>
      <w:r w:rsidR="00616E91" w:rsidRPr="00340AA1">
        <w:rPr>
          <w:rFonts w:ascii="Times New Roman" w:hAnsi="Times New Roman" w:cs="Times New Roman"/>
        </w:rPr>
        <w:t>o</w:t>
      </w:r>
      <w:r w:rsidRPr="00340AA1">
        <w:rPr>
          <w:rFonts w:ascii="Times New Roman" w:hAnsi="Times New Roman" w:cs="Times New Roman"/>
        </w:rPr>
        <w:t>n/</w:t>
      </w:r>
      <w:r w:rsidR="00616E91" w:rsidRPr="00340AA1">
        <w:rPr>
          <w:rFonts w:ascii="Times New Roman" w:hAnsi="Times New Roman" w:cs="Times New Roman"/>
        </w:rPr>
        <w:t>o</w:t>
      </w:r>
      <w:r w:rsidRPr="00340AA1">
        <w:rPr>
          <w:rFonts w:ascii="Times New Roman" w:hAnsi="Times New Roman" w:cs="Times New Roman"/>
        </w:rPr>
        <w:t xml:space="preserve">ff" cycle. In this regard, </w:t>
      </w:r>
      <w:sdt>
        <w:sdtPr>
          <w:rPr>
            <w:rFonts w:ascii="Times New Roman" w:hAnsi="Times New Roman" w:cs="Times New Roman"/>
          </w:rPr>
          <w:id w:val="104401313"/>
          <w:citation/>
        </w:sdtPr>
        <w:sdtContent>
          <w:r w:rsidR="00616E91" w:rsidRPr="00340AA1">
            <w:rPr>
              <w:rFonts w:ascii="Times New Roman" w:hAnsi="Times New Roman" w:cs="Times New Roman"/>
            </w:rPr>
            <w:fldChar w:fldCharType="begin"/>
          </w:r>
          <w:r w:rsidR="00616E91" w:rsidRPr="00340AA1">
            <w:rPr>
              <w:rFonts w:ascii="Times New Roman" w:hAnsi="Times New Roman" w:cs="Times New Roman"/>
            </w:rPr>
            <w:instrText xml:space="preserve">CITATION VAN22 \l 1033 </w:instrText>
          </w:r>
          <w:r w:rsidR="00616E91" w:rsidRPr="00340AA1">
            <w:rPr>
              <w:rFonts w:ascii="Times New Roman" w:hAnsi="Times New Roman" w:cs="Times New Roman"/>
            </w:rPr>
            <w:fldChar w:fldCharType="separate"/>
          </w:r>
          <w:r w:rsidR="009E5B67" w:rsidRPr="009E5B67">
            <w:rPr>
              <w:rFonts w:ascii="Times New Roman" w:hAnsi="Times New Roman" w:cs="Times New Roman"/>
              <w:noProof/>
            </w:rPr>
            <w:t>(Van Eyden, Van der Westhuizen, &amp; Aye, 2022)</w:t>
          </w:r>
          <w:r w:rsidR="00616E91" w:rsidRPr="00340AA1">
            <w:rPr>
              <w:rFonts w:ascii="Times New Roman" w:hAnsi="Times New Roman" w:cs="Times New Roman"/>
            </w:rPr>
            <w:fldChar w:fldCharType="end"/>
          </w:r>
        </w:sdtContent>
      </w:sdt>
      <w:r w:rsidRPr="00340AA1">
        <w:rPr>
          <w:rFonts w:ascii="Times New Roman" w:hAnsi="Times New Roman" w:cs="Times New Roman"/>
        </w:rPr>
        <w:t xml:space="preserve"> utili</w:t>
      </w:r>
      <w:r w:rsidR="00616E91" w:rsidRPr="00340AA1">
        <w:rPr>
          <w:rFonts w:ascii="Times New Roman" w:hAnsi="Times New Roman" w:cs="Times New Roman"/>
        </w:rPr>
        <w:t>s</w:t>
      </w:r>
      <w:r w:rsidRPr="00340AA1">
        <w:rPr>
          <w:rFonts w:ascii="Times New Roman" w:hAnsi="Times New Roman" w:cs="Times New Roman"/>
        </w:rPr>
        <w:t xml:space="preserve">ed the EGARCH methodology to ascertain substantial spillovers between South African financial markets, revealing that adverse shocks to the JSE tend to induce disproportionate currency volatility. This channel can be further differentiated by the work of </w:t>
      </w:r>
      <w:sdt>
        <w:sdtPr>
          <w:rPr>
            <w:rFonts w:ascii="Times New Roman" w:hAnsi="Times New Roman" w:cs="Times New Roman"/>
          </w:rPr>
          <w:id w:val="-1984530003"/>
          <w:citation/>
        </w:sdtPr>
        <w:sdtContent>
          <w:r w:rsidR="00A03C48" w:rsidRPr="00340AA1">
            <w:rPr>
              <w:rFonts w:ascii="Times New Roman" w:hAnsi="Times New Roman" w:cs="Times New Roman"/>
            </w:rPr>
            <w:fldChar w:fldCharType="begin"/>
          </w:r>
          <w:r w:rsidR="00A03C48" w:rsidRPr="00340AA1">
            <w:rPr>
              <w:rFonts w:ascii="Times New Roman" w:hAnsi="Times New Roman" w:cs="Times New Roman"/>
            </w:rPr>
            <w:instrText xml:space="preserve"> CITATION Sib14 \l 1033 </w:instrText>
          </w:r>
          <w:r w:rsidR="00A03C48" w:rsidRPr="00340AA1">
            <w:rPr>
              <w:rFonts w:ascii="Times New Roman" w:hAnsi="Times New Roman" w:cs="Times New Roman"/>
            </w:rPr>
            <w:fldChar w:fldCharType="separate"/>
          </w:r>
          <w:r w:rsidR="009E5B67" w:rsidRPr="009E5B67">
            <w:rPr>
              <w:rFonts w:ascii="Times New Roman" w:hAnsi="Times New Roman" w:cs="Times New Roman"/>
              <w:noProof/>
            </w:rPr>
            <w:t>(Sibanda &amp; Mlambo, 2014)</w:t>
          </w:r>
          <w:r w:rsidR="00A03C48" w:rsidRPr="00340AA1">
            <w:rPr>
              <w:rFonts w:ascii="Times New Roman" w:hAnsi="Times New Roman" w:cs="Times New Roman"/>
            </w:rPr>
            <w:fldChar w:fldCharType="end"/>
          </w:r>
        </w:sdtContent>
      </w:sdt>
      <w:r w:rsidR="00A03C48" w:rsidRPr="00340AA1">
        <w:rPr>
          <w:rFonts w:ascii="Times New Roman" w:hAnsi="Times New Roman" w:cs="Times New Roman"/>
        </w:rPr>
        <w:t xml:space="preserve"> </w:t>
      </w:r>
      <w:r w:rsidRPr="00340AA1">
        <w:rPr>
          <w:rFonts w:ascii="Times New Roman" w:hAnsi="Times New Roman" w:cs="Times New Roman"/>
        </w:rPr>
        <w:t xml:space="preserve">who proposed that, as South Africa tends to be a resource-based economy, the USD/ZAR channel tends to be mediated by global commodity price shocks. In this regard, the exchange rate acts as a shock absorber for the real </w:t>
      </w:r>
      <w:r w:rsidRPr="00340AA1">
        <w:rPr>
          <w:rFonts w:ascii="Times New Roman" w:hAnsi="Times New Roman" w:cs="Times New Roman"/>
        </w:rPr>
        <w:lastRenderedPageBreak/>
        <w:t>economy but as a volatility transmitter for financial markets, where investors are exposed to both currency and commodity price uncertainty.</w:t>
      </w:r>
    </w:p>
    <w:p w14:paraId="2FEA9AD1" w14:textId="77777777" w:rsidR="00C51073" w:rsidRPr="00340AA1" w:rsidRDefault="00C51073" w:rsidP="00340AA1">
      <w:pPr>
        <w:spacing w:line="360" w:lineRule="auto"/>
        <w:rPr>
          <w:rFonts w:ascii="Times New Roman" w:hAnsi="Times New Roman" w:cs="Times New Roman"/>
        </w:rPr>
      </w:pPr>
    </w:p>
    <w:p w14:paraId="740127D7" w14:textId="007D57D9" w:rsidR="00084082" w:rsidRPr="00340AA1" w:rsidRDefault="00FC1016" w:rsidP="00340AA1">
      <w:pPr>
        <w:spacing w:line="360" w:lineRule="auto"/>
        <w:rPr>
          <w:rFonts w:ascii="Times New Roman" w:hAnsi="Times New Roman" w:cs="Times New Roman"/>
        </w:rPr>
      </w:pPr>
      <w:r w:rsidRPr="00340AA1">
        <w:rPr>
          <w:rFonts w:ascii="Times New Roman" w:hAnsi="Times New Roman" w:cs="Times New Roman"/>
        </w:rPr>
        <w:t xml:space="preserve">Moreover, </w:t>
      </w:r>
      <w:sdt>
        <w:sdtPr>
          <w:rPr>
            <w:rFonts w:ascii="Times New Roman" w:hAnsi="Times New Roman" w:cs="Times New Roman"/>
          </w:rPr>
          <w:id w:val="49435927"/>
          <w:citation/>
        </w:sdtPr>
        <w:sdtContent>
          <w:r w:rsidR="00AC48C7" w:rsidRPr="00340AA1">
            <w:rPr>
              <w:rFonts w:ascii="Times New Roman" w:hAnsi="Times New Roman" w:cs="Times New Roman"/>
            </w:rPr>
            <w:fldChar w:fldCharType="begin"/>
          </w:r>
          <w:r w:rsidR="00AC48C7" w:rsidRPr="00340AA1">
            <w:rPr>
              <w:rFonts w:ascii="Times New Roman" w:hAnsi="Times New Roman" w:cs="Times New Roman"/>
            </w:rPr>
            <w:instrText xml:space="preserve">CITATION Upp26 \l 1033 </w:instrText>
          </w:r>
          <w:r w:rsidR="00AC48C7" w:rsidRPr="00340AA1">
            <w:rPr>
              <w:rFonts w:ascii="Times New Roman" w:hAnsi="Times New Roman" w:cs="Times New Roman"/>
            </w:rPr>
            <w:fldChar w:fldCharType="separate"/>
          </w:r>
          <w:r w:rsidR="009E5B67" w:rsidRPr="009E5B67">
            <w:rPr>
              <w:rFonts w:ascii="Times New Roman" w:hAnsi="Times New Roman" w:cs="Times New Roman"/>
              <w:noProof/>
            </w:rPr>
            <w:t>(Caballero &amp; Upper, 2026)</w:t>
          </w:r>
          <w:r w:rsidR="00AC48C7" w:rsidRPr="00340AA1">
            <w:rPr>
              <w:rFonts w:ascii="Times New Roman" w:hAnsi="Times New Roman" w:cs="Times New Roman"/>
            </w:rPr>
            <w:fldChar w:fldCharType="end"/>
          </w:r>
        </w:sdtContent>
      </w:sdt>
      <w:r w:rsidR="00AC48C7" w:rsidRPr="00340AA1">
        <w:rPr>
          <w:rFonts w:ascii="Times New Roman" w:hAnsi="Times New Roman" w:cs="Times New Roman"/>
        </w:rPr>
        <w:t xml:space="preserve"> </w:t>
      </w:r>
      <w:r w:rsidRPr="00340AA1">
        <w:rPr>
          <w:rFonts w:ascii="Times New Roman" w:hAnsi="Times New Roman" w:cs="Times New Roman"/>
        </w:rPr>
        <w:t xml:space="preserve">proves that the role of exchange rates in the transmission of shocks is fundamentally time-varying and </w:t>
      </w:r>
      <w:r w:rsidR="00EA36A9" w:rsidRPr="00340AA1">
        <w:rPr>
          <w:rFonts w:ascii="Times New Roman" w:hAnsi="Times New Roman" w:cs="Times New Roman"/>
        </w:rPr>
        <w:t>regime-dependent</w:t>
      </w:r>
      <w:r w:rsidRPr="00340AA1">
        <w:rPr>
          <w:rFonts w:ascii="Times New Roman" w:hAnsi="Times New Roman" w:cs="Times New Roman"/>
        </w:rPr>
        <w:t xml:space="preserve">. This confirms that the USD/ZAR is not only a static channel but also a dynamic tool that may either amplify or mitigate the transmission of equity shocks </w:t>
      </w:r>
      <w:r w:rsidR="002270A2" w:rsidRPr="00340AA1">
        <w:rPr>
          <w:rFonts w:ascii="Times New Roman" w:hAnsi="Times New Roman" w:cs="Times New Roman"/>
        </w:rPr>
        <w:t>depending</w:t>
      </w:r>
      <w:r w:rsidRPr="00340AA1">
        <w:rPr>
          <w:rFonts w:ascii="Times New Roman" w:hAnsi="Times New Roman" w:cs="Times New Roman"/>
        </w:rPr>
        <w:t xml:space="preserve"> </w:t>
      </w:r>
      <w:r w:rsidR="002270A2" w:rsidRPr="00340AA1">
        <w:rPr>
          <w:rFonts w:ascii="Times New Roman" w:hAnsi="Times New Roman" w:cs="Times New Roman"/>
        </w:rPr>
        <w:t>on</w:t>
      </w:r>
      <w:r w:rsidRPr="00340AA1">
        <w:rPr>
          <w:rFonts w:ascii="Times New Roman" w:hAnsi="Times New Roman" w:cs="Times New Roman"/>
        </w:rPr>
        <w:t xml:space="preserve"> market conditions. The dynamic nature of this channel is further emphasized in </w:t>
      </w:r>
      <w:sdt>
        <w:sdtPr>
          <w:rPr>
            <w:rFonts w:ascii="Times New Roman" w:hAnsi="Times New Roman" w:cs="Times New Roman"/>
          </w:rPr>
          <w:id w:val="-44221668"/>
          <w:citation/>
        </w:sdtPr>
        <w:sdtContent>
          <w:r w:rsidR="00C51073" w:rsidRPr="00340AA1">
            <w:rPr>
              <w:rFonts w:ascii="Times New Roman" w:hAnsi="Times New Roman" w:cs="Times New Roman"/>
            </w:rPr>
            <w:fldChar w:fldCharType="begin"/>
          </w:r>
          <w:r w:rsidR="00C51073" w:rsidRPr="00340AA1">
            <w:rPr>
              <w:rFonts w:ascii="Times New Roman" w:hAnsi="Times New Roman" w:cs="Times New Roman"/>
            </w:rPr>
            <w:instrText xml:space="preserve"> CITATION Miy15 \l 1033 </w:instrText>
          </w:r>
          <w:r w:rsidR="00C51073" w:rsidRPr="00340AA1">
            <w:rPr>
              <w:rFonts w:ascii="Times New Roman" w:hAnsi="Times New Roman" w:cs="Times New Roman"/>
            </w:rPr>
            <w:fldChar w:fldCharType="separate"/>
          </w:r>
          <w:r w:rsidR="009E5B67" w:rsidRPr="009E5B67">
            <w:rPr>
              <w:rFonts w:ascii="Times New Roman" w:hAnsi="Times New Roman" w:cs="Times New Roman"/>
              <w:noProof/>
            </w:rPr>
            <w:t>(Miyajima, Mohanty, &amp; Chan, 2015)</w:t>
          </w:r>
          <w:r w:rsidR="00C51073" w:rsidRPr="00340AA1">
            <w:rPr>
              <w:rFonts w:ascii="Times New Roman" w:hAnsi="Times New Roman" w:cs="Times New Roman"/>
            </w:rPr>
            <w:fldChar w:fldCharType="end"/>
          </w:r>
        </w:sdtContent>
      </w:sdt>
      <w:r w:rsidR="00C51073" w:rsidRPr="00340AA1">
        <w:rPr>
          <w:rFonts w:ascii="Times New Roman" w:hAnsi="Times New Roman" w:cs="Times New Roman"/>
        </w:rPr>
        <w:t xml:space="preserve"> </w:t>
      </w:r>
      <w:r w:rsidRPr="00340AA1">
        <w:rPr>
          <w:rFonts w:ascii="Times New Roman" w:hAnsi="Times New Roman" w:cs="Times New Roman"/>
        </w:rPr>
        <w:t>where it is asserted that in situations where global financial conditions are highly stressed, the sensitivity of the Rand to the Dollar tends to rise, causing a tightening in financial conditions that bypasses local fundamentals. The dual role of the USD/ZAR channel, as a recipient and a transmitter of shocks, supports the endogeneity of this channel in this study, which recognizes the feedback loops between the exchange and equity markets, where the exchange rate is not only determined by the dynamics in the market but also influences the movement of equity returns.</w:t>
      </w:r>
    </w:p>
    <w:p w14:paraId="355A4D8E" w14:textId="77777777" w:rsidR="00084082" w:rsidRPr="00340AA1" w:rsidRDefault="00084082" w:rsidP="00340AA1">
      <w:pPr>
        <w:spacing w:line="360" w:lineRule="auto"/>
        <w:rPr>
          <w:rFonts w:ascii="Times New Roman" w:hAnsi="Times New Roman" w:cs="Times New Roman"/>
        </w:rPr>
      </w:pPr>
      <w:r w:rsidRPr="00340AA1">
        <w:rPr>
          <w:rFonts w:ascii="Times New Roman" w:hAnsi="Times New Roman" w:cs="Times New Roman"/>
        </w:rPr>
        <w:br w:type="page"/>
      </w:r>
    </w:p>
    <w:sdt>
      <w:sdtPr>
        <w:id w:val="1198204885"/>
        <w:docPartObj>
          <w:docPartGallery w:val="Bibliographies"/>
          <w:docPartUnique/>
        </w:docPartObj>
      </w:sdtPr>
      <w:sdtEndPr>
        <w:rPr>
          <w:rFonts w:asciiTheme="minorHAnsi" w:eastAsiaTheme="minorHAnsi" w:hAnsiTheme="minorHAnsi" w:cstheme="minorBidi"/>
          <w:color w:val="auto"/>
          <w:sz w:val="24"/>
          <w:szCs w:val="24"/>
        </w:rPr>
      </w:sdtEndPr>
      <w:sdtContent>
        <w:p w14:paraId="730AAD97" w14:textId="1E4DA4BF" w:rsidR="009E5B67" w:rsidRDefault="009E5B67">
          <w:pPr>
            <w:pStyle w:val="Heading1"/>
          </w:pPr>
          <w:r>
            <w:t>References</w:t>
          </w:r>
        </w:p>
        <w:sdt>
          <w:sdtPr>
            <w:id w:val="-573587230"/>
            <w:bibliography/>
          </w:sdtPr>
          <w:sdtContent>
            <w:p w14:paraId="547EDD2F" w14:textId="77777777" w:rsidR="009E5B67" w:rsidRDefault="009E5B67" w:rsidP="009E5B6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Abouwafia, H. E., &amp; Chambers, M. J. (2015). Monetary policy, exchange rates and stock prices in the Middle East region. </w:t>
              </w:r>
              <w:r>
                <w:rPr>
                  <w:i/>
                  <w:iCs/>
                  <w:noProof/>
                </w:rPr>
                <w:t>International Review of Financial Analysis,, 37</w:t>
              </w:r>
              <w:r>
                <w:rPr>
                  <w:noProof/>
                </w:rPr>
                <w:t>, 14-28. doi:10.1016/j.irfa.2014.11.001</w:t>
              </w:r>
            </w:p>
            <w:p w14:paraId="21F844D8" w14:textId="77777777" w:rsidR="009E5B67" w:rsidRDefault="009E5B67" w:rsidP="009E5B67">
              <w:pPr>
                <w:pStyle w:val="Bibliography"/>
                <w:ind w:left="720" w:hanging="720"/>
                <w:rPr>
                  <w:noProof/>
                </w:rPr>
              </w:pPr>
              <w:r>
                <w:rPr>
                  <w:noProof/>
                </w:rPr>
                <w:t xml:space="preserve">Aderajo, O. M., &amp; Olaniran, O. D. (2021, February). Analysis of financial contagion in influential African stock markets. </w:t>
              </w:r>
              <w:r>
                <w:rPr>
                  <w:i/>
                  <w:iCs/>
                  <w:noProof/>
                </w:rPr>
                <w:t>Future Business Journal, 7</w:t>
              </w:r>
              <w:r>
                <w:rPr>
                  <w:noProof/>
                </w:rPr>
                <w:t>(9), 209-220. doi:https://doi.org/10.1186/s43093-021-00054-z</w:t>
              </w:r>
            </w:p>
            <w:p w14:paraId="4C75D41B" w14:textId="77777777" w:rsidR="009E5B67" w:rsidRDefault="009E5B67" w:rsidP="009E5B67">
              <w:pPr>
                <w:pStyle w:val="Bibliography"/>
                <w:ind w:left="720" w:hanging="720"/>
                <w:rPr>
                  <w:noProof/>
                </w:rPr>
              </w:pPr>
              <w:r>
                <w:rPr>
                  <w:noProof/>
                </w:rPr>
                <w:t xml:space="preserve">Agyemang-Badu, A. A., Olmedo, F. G., &amp; Mella-Marquez, J. M. (2024, June 10). Conditional Macroeconomic and Stock Market Volatility Under Regime Switching: Empirical Evidence from Africa. </w:t>
              </w:r>
              <w:r>
                <w:rPr>
                  <w:i/>
                  <w:iCs/>
                  <w:noProof/>
                </w:rPr>
                <w:t>Quantitative Finance and Economics, 8</w:t>
              </w:r>
              <w:r>
                <w:rPr>
                  <w:noProof/>
                </w:rPr>
                <w:t>(2), 255-285. doi:10.3934/QFE.2024010</w:t>
              </w:r>
            </w:p>
            <w:p w14:paraId="5F56EE24" w14:textId="77777777" w:rsidR="009E5B67" w:rsidRDefault="009E5B67" w:rsidP="009E5B67">
              <w:pPr>
                <w:pStyle w:val="Bibliography"/>
                <w:ind w:left="720" w:hanging="720"/>
                <w:rPr>
                  <w:noProof/>
                </w:rPr>
              </w:pPr>
              <w:r>
                <w:rPr>
                  <w:noProof/>
                </w:rPr>
                <w:t xml:space="preserve">AKERLOF, G. A. (1978). THE MARKET FOR “LEMONS”: QUALITY UNCERTAINTY AND THE MARKET MECHANISM. </w:t>
              </w:r>
              <w:r>
                <w:rPr>
                  <w:i/>
                  <w:iCs/>
                  <w:noProof/>
                </w:rPr>
                <w:t>Uncertainty in Economics</w:t>
              </w:r>
              <w:r>
                <w:rPr>
                  <w:noProof/>
                </w:rPr>
                <w:t>, 237-251. doi:https://doi.org/10.1016/B978-0-12-214850-7.50022-X</w:t>
              </w:r>
            </w:p>
            <w:p w14:paraId="24FACF38" w14:textId="77777777" w:rsidR="009E5B67" w:rsidRDefault="009E5B67" w:rsidP="009E5B67">
              <w:pPr>
                <w:pStyle w:val="Bibliography"/>
                <w:ind w:left="720" w:hanging="720"/>
                <w:rPr>
                  <w:noProof/>
                </w:rPr>
              </w:pPr>
              <w:r>
                <w:rPr>
                  <w:noProof/>
                </w:rPr>
                <w:t xml:space="preserve">Baker, S. R., Bloom, N., Davis, S. J., Kost, K., Sammon , M., &amp; Viratyosin, T. (2020, July 18). The Unprecedented Stock Market Reaction to COVID-19. </w:t>
              </w:r>
              <w:r>
                <w:rPr>
                  <w:i/>
                  <w:iCs/>
                  <w:noProof/>
                </w:rPr>
                <w:t>The Review of Asset Pricing Studies, 10</w:t>
              </w:r>
              <w:r>
                <w:rPr>
                  <w:noProof/>
                </w:rPr>
                <w:t>(4), 742–758. doi:https://doi.org/10.1093/rapstu/raaa008</w:t>
              </w:r>
            </w:p>
            <w:p w14:paraId="44EC5FA6" w14:textId="77777777" w:rsidR="009E5B67" w:rsidRDefault="009E5B67" w:rsidP="009E5B67">
              <w:pPr>
                <w:pStyle w:val="Bibliography"/>
                <w:ind w:left="720" w:hanging="720"/>
                <w:rPr>
                  <w:noProof/>
                </w:rPr>
              </w:pPr>
              <w:r>
                <w:rPr>
                  <w:noProof/>
                </w:rPr>
                <w:t xml:space="preserve">Banerjee, A. V. (1992). A Simple Model of Herd Behavior. </w:t>
              </w:r>
              <w:r>
                <w:rPr>
                  <w:i/>
                  <w:iCs/>
                  <w:noProof/>
                </w:rPr>
                <w:t>The Quarterly Journal of Economics, 107</w:t>
              </w:r>
              <w:r>
                <w:rPr>
                  <w:noProof/>
                </w:rPr>
                <w:t>, 797–817. doi:https://doi.org/10.2307/2118364</w:t>
              </w:r>
            </w:p>
            <w:p w14:paraId="3B1E4802" w14:textId="77777777" w:rsidR="009E5B67" w:rsidRDefault="009E5B67" w:rsidP="009E5B67">
              <w:pPr>
                <w:pStyle w:val="Bibliography"/>
                <w:ind w:left="720" w:hanging="720"/>
                <w:rPr>
                  <w:noProof/>
                </w:rPr>
              </w:pPr>
              <w:r>
                <w:rPr>
                  <w:noProof/>
                </w:rPr>
                <w:t xml:space="preserve">Beirne, J., &amp; Fratzscher, M. (2013, April). The pricing of sovereign risk and contagion during the European sovereign debt crisis. </w:t>
              </w:r>
              <w:r>
                <w:rPr>
                  <w:i/>
                  <w:iCs/>
                  <w:noProof/>
                </w:rPr>
                <w:t>The Journal of International Money and Finance, 34</w:t>
              </w:r>
              <w:r>
                <w:rPr>
                  <w:noProof/>
                </w:rPr>
                <w:t>, 60-82. doi:https://doi.org/10.1016/j.jimonfin.2012.11.004</w:t>
              </w:r>
            </w:p>
            <w:p w14:paraId="13BD535D" w14:textId="77777777" w:rsidR="009E5B67" w:rsidRDefault="009E5B67" w:rsidP="009E5B67">
              <w:pPr>
                <w:pStyle w:val="Bibliography"/>
                <w:ind w:left="720" w:hanging="720"/>
                <w:rPr>
                  <w:noProof/>
                </w:rPr>
              </w:pPr>
              <w:r>
                <w:rPr>
                  <w:noProof/>
                </w:rPr>
                <w:t xml:space="preserve">Bekaert, G., Ehrmann, M., Fratzscher, M., &amp; Mehl, A. (2014, August 11). The Global Crisis and Equity Market Contagion. </w:t>
              </w:r>
              <w:r>
                <w:rPr>
                  <w:i/>
                  <w:iCs/>
                  <w:noProof/>
                </w:rPr>
                <w:t>The Journal of Finance, 69</w:t>
              </w:r>
              <w:r>
                <w:rPr>
                  <w:noProof/>
                </w:rPr>
                <w:t>(6), 2597-2649. doi:https://doi.org/10.1111/jofi.12203</w:t>
              </w:r>
            </w:p>
            <w:p w14:paraId="6133DA12" w14:textId="77777777" w:rsidR="009E5B67" w:rsidRDefault="009E5B67" w:rsidP="009E5B67">
              <w:pPr>
                <w:pStyle w:val="Bibliography"/>
                <w:ind w:left="720" w:hanging="720"/>
                <w:rPr>
                  <w:noProof/>
                </w:rPr>
              </w:pPr>
              <w:r>
                <w:rPr>
                  <w:noProof/>
                </w:rPr>
                <w:t xml:space="preserve">BEKAERT, G., EHRMANN, M., FRATZSCHER, M., &amp; MEHL, A. (2014, August 11). The Global Crisis and Equity Market Contagion. </w:t>
              </w:r>
              <w:r>
                <w:rPr>
                  <w:i/>
                  <w:iCs/>
                  <w:noProof/>
                </w:rPr>
                <w:t>The Journal of Finance, 69</w:t>
              </w:r>
              <w:r>
                <w:rPr>
                  <w:noProof/>
                </w:rPr>
                <w:t>(6), The Global Crisis and Equity Market Contagion. doi:https://doi.org/10.1111/jofi.12203</w:t>
              </w:r>
            </w:p>
            <w:p w14:paraId="1D41C2BA" w14:textId="77777777" w:rsidR="009E5B67" w:rsidRDefault="009E5B67" w:rsidP="009E5B67">
              <w:pPr>
                <w:pStyle w:val="Bibliography"/>
                <w:ind w:left="720" w:hanging="720"/>
                <w:rPr>
                  <w:noProof/>
                </w:rPr>
              </w:pPr>
              <w:r>
                <w:rPr>
                  <w:noProof/>
                </w:rPr>
                <w:t xml:space="preserve">Bensaïda, A., Litimi, H., &amp; Abdallah, O. (2018, June). Volatility spillover shifts in global financial markets. </w:t>
              </w:r>
              <w:r>
                <w:rPr>
                  <w:i/>
                  <w:iCs/>
                  <w:noProof/>
                </w:rPr>
                <w:t>Economic Modelling, 73</w:t>
              </w:r>
              <w:r>
                <w:rPr>
                  <w:noProof/>
                </w:rPr>
                <w:t>, 343-353. doi:10.1016/j.econmod.2018.04.011</w:t>
              </w:r>
            </w:p>
            <w:p w14:paraId="7ED81968" w14:textId="77777777" w:rsidR="009E5B67" w:rsidRDefault="009E5B67" w:rsidP="009E5B67">
              <w:pPr>
                <w:pStyle w:val="Bibliography"/>
                <w:ind w:left="720" w:hanging="720"/>
                <w:rPr>
                  <w:noProof/>
                </w:rPr>
              </w:pPr>
              <w:r>
                <w:rPr>
                  <w:noProof/>
                </w:rPr>
                <w:lastRenderedPageBreak/>
                <w:t xml:space="preserve">Bikhchandani, S., Hirshleifer, D., &amp; Welch, I. (1992, October). A Theory of Fads, Fashion, Custom, and Cultural Change as Informational Cascades. </w:t>
              </w:r>
              <w:r>
                <w:rPr>
                  <w:i/>
                  <w:iCs/>
                  <w:noProof/>
                </w:rPr>
                <w:t>Journal of Political Economy, 100</w:t>
              </w:r>
              <w:r>
                <w:rPr>
                  <w:noProof/>
                </w:rPr>
                <w:t>(5). doi:https://doi.org/10.1086/261849</w:t>
              </w:r>
            </w:p>
            <w:p w14:paraId="4353A1B1" w14:textId="77777777" w:rsidR="009E5B67" w:rsidRDefault="009E5B67" w:rsidP="009E5B67">
              <w:pPr>
                <w:pStyle w:val="Bibliography"/>
                <w:ind w:left="720" w:hanging="720"/>
                <w:rPr>
                  <w:noProof/>
                </w:rPr>
              </w:pPr>
              <w:r>
                <w:rPr>
                  <w:noProof/>
                </w:rPr>
                <w:t xml:space="preserve">Brandao-Marques, L., Gelos, G., &amp; Melgar , N. (2018, November). Country transparency and the global transmission of financial shocks. </w:t>
              </w:r>
              <w:r>
                <w:rPr>
                  <w:i/>
                  <w:iCs/>
                  <w:noProof/>
                </w:rPr>
                <w:t>Journal of Banking &amp; Finance, 96</w:t>
              </w:r>
              <w:r>
                <w:rPr>
                  <w:noProof/>
                </w:rPr>
                <w:t>, 56-72. doi:https://doi.org/10.1016/j.jbankfin.2018.07.015</w:t>
              </w:r>
            </w:p>
            <w:p w14:paraId="7A6EE754" w14:textId="77777777" w:rsidR="009E5B67" w:rsidRDefault="009E5B67" w:rsidP="009E5B67">
              <w:pPr>
                <w:pStyle w:val="Bibliography"/>
                <w:ind w:left="720" w:hanging="720"/>
                <w:rPr>
                  <w:noProof/>
                </w:rPr>
              </w:pPr>
              <w:r>
                <w:rPr>
                  <w:noProof/>
                </w:rPr>
                <w:t xml:space="preserve">Caballero, J., &amp; Upper, C. (2026, January). What happens to emerging market economies when US yields go up? </w:t>
              </w:r>
              <w:r>
                <w:rPr>
                  <w:i/>
                  <w:iCs/>
                  <w:noProof/>
                </w:rPr>
                <w:t>Journal of International Money and Finance, 160</w:t>
              </w:r>
              <w:r>
                <w:rPr>
                  <w:noProof/>
                </w:rPr>
                <w:t>, 103442. doi:https://doi.org/10.1016/j.jimonfin.2025.103442</w:t>
              </w:r>
            </w:p>
            <w:p w14:paraId="0BAD6E2A" w14:textId="77777777" w:rsidR="009E5B67" w:rsidRDefault="009E5B67" w:rsidP="009E5B67">
              <w:pPr>
                <w:pStyle w:val="Bibliography"/>
                <w:ind w:left="720" w:hanging="720"/>
                <w:rPr>
                  <w:noProof/>
                </w:rPr>
              </w:pPr>
              <w:r>
                <w:rPr>
                  <w:noProof/>
                </w:rPr>
                <w:t xml:space="preserve">Calvo, G. A., &amp; Mendoza, E. G. (2000, June). Rational contagion and the globalization of securities markets. </w:t>
              </w:r>
              <w:r>
                <w:rPr>
                  <w:i/>
                  <w:iCs/>
                  <w:noProof/>
                </w:rPr>
                <w:t>Journal of International Economics, 51</w:t>
              </w:r>
              <w:r>
                <w:rPr>
                  <w:noProof/>
                </w:rPr>
                <w:t>(1), 79-113. doi:https://doi.org/10.1016/S0022-1996(99)00038-0</w:t>
              </w:r>
            </w:p>
            <w:p w14:paraId="1768036C" w14:textId="77777777" w:rsidR="009E5B67" w:rsidRDefault="009E5B67" w:rsidP="009E5B67">
              <w:pPr>
                <w:pStyle w:val="Bibliography"/>
                <w:ind w:left="720" w:hanging="720"/>
                <w:rPr>
                  <w:noProof/>
                </w:rPr>
              </w:pPr>
              <w:r>
                <w:rPr>
                  <w:noProof/>
                </w:rPr>
                <w:t xml:space="preserve">Cepoi, C.-O. (2020, October). Asymmetric dependence between stock market returns and news during COVID-19 financial turmoil. </w:t>
              </w:r>
              <w:r>
                <w:rPr>
                  <w:i/>
                  <w:iCs/>
                  <w:noProof/>
                </w:rPr>
                <w:t>Finance Research Letters, 36</w:t>
              </w:r>
              <w:r>
                <w:rPr>
                  <w:noProof/>
                </w:rPr>
                <w:t>, 101658. doi:https://doi.org/10.1016/j.frl.2020.101658</w:t>
              </w:r>
            </w:p>
            <w:p w14:paraId="0C5808A0" w14:textId="77777777" w:rsidR="009E5B67" w:rsidRDefault="009E5B67" w:rsidP="009E5B67">
              <w:pPr>
                <w:pStyle w:val="Bibliography"/>
                <w:ind w:left="720" w:hanging="720"/>
                <w:rPr>
                  <w:noProof/>
                </w:rPr>
              </w:pPr>
              <w:r>
                <w:rPr>
                  <w:noProof/>
                </w:rPr>
                <w:t xml:space="preserve">Chiang, T. C., Jeon, B. N., &amp; Li, H. (2007). Dynamic Correkation analysis of Financial Contagion: Evidence from Asian Markets. </w:t>
              </w:r>
              <w:r>
                <w:rPr>
                  <w:i/>
                  <w:iCs/>
                  <w:noProof/>
                </w:rPr>
                <w:t>Jornal of International Money and Finance, 26</w:t>
              </w:r>
              <w:r>
                <w:rPr>
                  <w:noProof/>
                </w:rPr>
                <w:t>(7), 1206-1228. doi:https://doi.org/10.1016/j.jimonfin.2007.06.005</w:t>
              </w:r>
            </w:p>
            <w:p w14:paraId="284F930E" w14:textId="77777777" w:rsidR="009E5B67" w:rsidRDefault="009E5B67" w:rsidP="009E5B67">
              <w:pPr>
                <w:pStyle w:val="Bibliography"/>
                <w:ind w:left="720" w:hanging="720"/>
                <w:rPr>
                  <w:noProof/>
                </w:rPr>
              </w:pPr>
              <w:r>
                <w:rPr>
                  <w:noProof/>
                </w:rPr>
                <w:t xml:space="preserve">Corsetti , G., Pericoli , M., &amp; Sbracia, M. (2005, December). ‘Some contagion, some interdependence’: More pitfalls in tests of financial contagion. </w:t>
              </w:r>
              <w:r>
                <w:rPr>
                  <w:i/>
                  <w:iCs/>
                  <w:noProof/>
                </w:rPr>
                <w:t>Journal of International Money and Finance, 24</w:t>
              </w:r>
              <w:r>
                <w:rPr>
                  <w:noProof/>
                </w:rPr>
                <w:t>(8), 1177-1199. doi:https://doi.org/10.1016/j.jimonfin.2005.08.012</w:t>
              </w:r>
            </w:p>
            <w:p w14:paraId="0FC94B04" w14:textId="77777777" w:rsidR="009E5B67" w:rsidRDefault="009E5B67" w:rsidP="009E5B67">
              <w:pPr>
                <w:pStyle w:val="Bibliography"/>
                <w:ind w:left="720" w:hanging="720"/>
                <w:rPr>
                  <w:noProof/>
                </w:rPr>
              </w:pPr>
              <w:r>
                <w:rPr>
                  <w:noProof/>
                </w:rPr>
                <w:t xml:space="preserve">Corsetti , G., Pericoli, M., &amp; Sbracia, M. (2005, December). ‘Some contagion, some interdependence’: More pitfalls in tests of financial contagion. </w:t>
              </w:r>
              <w:r>
                <w:rPr>
                  <w:i/>
                  <w:iCs/>
                  <w:noProof/>
                </w:rPr>
                <w:t>Journal of International Money and Finance, 24</w:t>
              </w:r>
              <w:r>
                <w:rPr>
                  <w:noProof/>
                </w:rPr>
                <w:t>(8), 1177-1199. doi:https://doi.org/10.1016/j.jimonfin.2005.08.012</w:t>
              </w:r>
            </w:p>
            <w:p w14:paraId="384FA482" w14:textId="77777777" w:rsidR="009E5B67" w:rsidRDefault="009E5B67" w:rsidP="009E5B67">
              <w:pPr>
                <w:pStyle w:val="Bibliography"/>
                <w:ind w:left="720" w:hanging="720"/>
                <w:rPr>
                  <w:noProof/>
                </w:rPr>
              </w:pPr>
              <w:r>
                <w:rPr>
                  <w:noProof/>
                </w:rPr>
                <w:t xml:space="preserve">Diebold, F. X., &amp; Mariano, R. S. (2012, January 1). Comparing Predictive Accuracy. </w:t>
              </w:r>
              <w:r>
                <w:rPr>
                  <w:i/>
                  <w:iCs/>
                  <w:noProof/>
                </w:rPr>
                <w:t>Journal of Business &amp; Economic Statistics, 20</w:t>
              </w:r>
              <w:r>
                <w:rPr>
                  <w:noProof/>
                </w:rPr>
                <w:t>(1), 134-144. doi:https://doi.org/10.1198/073500102753410444</w:t>
              </w:r>
            </w:p>
            <w:p w14:paraId="6266D0B6" w14:textId="77777777" w:rsidR="009E5B67" w:rsidRDefault="009E5B67" w:rsidP="009E5B67">
              <w:pPr>
                <w:pStyle w:val="Bibliography"/>
                <w:ind w:left="720" w:hanging="720"/>
                <w:rPr>
                  <w:noProof/>
                </w:rPr>
              </w:pPr>
              <w:r>
                <w:rPr>
                  <w:noProof/>
                </w:rPr>
                <w:t xml:space="preserve">Dornbusch, R., Park, Y. C., &amp; Claessens, S. (2000, August). Contagion: Understanding How It Spreads. </w:t>
              </w:r>
              <w:r>
                <w:rPr>
                  <w:i/>
                  <w:iCs/>
                  <w:noProof/>
                </w:rPr>
                <w:t>The World Bank Research Observer</w:t>
              </w:r>
              <w:r>
                <w:rPr>
                  <w:noProof/>
                </w:rPr>
                <w:t>, 177–197. doi:https://doi.org/10.1093/wbro/15.2.177</w:t>
              </w:r>
            </w:p>
            <w:p w14:paraId="1D61CCE2" w14:textId="77777777" w:rsidR="009E5B67" w:rsidRDefault="009E5B67" w:rsidP="009E5B67">
              <w:pPr>
                <w:pStyle w:val="Bibliography"/>
                <w:ind w:left="720" w:hanging="720"/>
                <w:rPr>
                  <w:noProof/>
                </w:rPr>
              </w:pPr>
              <w:r>
                <w:rPr>
                  <w:noProof/>
                </w:rPr>
                <w:lastRenderedPageBreak/>
                <w:t xml:space="preserve">Emenike, K. O. (2021, June ). Interdependence among West African stock markets: A dimension of regional financial integration. </w:t>
              </w:r>
              <w:r>
                <w:rPr>
                  <w:i/>
                  <w:iCs/>
                  <w:noProof/>
                </w:rPr>
                <w:t>African Development Review, 33</w:t>
              </w:r>
              <w:r>
                <w:rPr>
                  <w:noProof/>
                </w:rPr>
                <w:t>(4), 288-299. doi:10.1111/1467-8268.12575</w:t>
              </w:r>
            </w:p>
            <w:p w14:paraId="4BFDA9C1" w14:textId="77777777" w:rsidR="009E5B67" w:rsidRDefault="009E5B67" w:rsidP="009E5B67">
              <w:pPr>
                <w:pStyle w:val="Bibliography"/>
                <w:ind w:left="720" w:hanging="720"/>
                <w:rPr>
                  <w:noProof/>
                </w:rPr>
              </w:pPr>
              <w:r>
                <w:rPr>
                  <w:noProof/>
                </w:rPr>
                <w:t xml:space="preserve">Engle, R. (2002, January). Dynamic Conditional Correlation: A Simple Class of Multivariate Generalized Autoregressive Conditional Heteroskedasticity Models. </w:t>
              </w:r>
              <w:r>
                <w:rPr>
                  <w:i/>
                  <w:iCs/>
                  <w:noProof/>
                </w:rPr>
                <w:t>Journal of Business &amp; Economic Statistics, 20</w:t>
              </w:r>
              <w:r>
                <w:rPr>
                  <w:noProof/>
                </w:rPr>
                <w:t>(3), 339-350. doi:https://doi.org/10.1198/073500102288618487</w:t>
              </w:r>
            </w:p>
            <w:p w14:paraId="5D663F08" w14:textId="77777777" w:rsidR="009E5B67" w:rsidRDefault="009E5B67" w:rsidP="009E5B67">
              <w:pPr>
                <w:pStyle w:val="Bibliography"/>
                <w:ind w:left="720" w:hanging="720"/>
                <w:rPr>
                  <w:noProof/>
                </w:rPr>
              </w:pPr>
              <w:r>
                <w:rPr>
                  <w:noProof/>
                </w:rPr>
                <w:t xml:space="preserve">Forbes, K. J., &amp; Rigobon, R. (2002, December 17). No Contagion, Only Interdependence: Measuring Stock Market Comovements. </w:t>
              </w:r>
              <w:r>
                <w:rPr>
                  <w:i/>
                  <w:iCs/>
                  <w:noProof/>
                </w:rPr>
                <w:t>The Journal of Finance</w:t>
              </w:r>
              <w:r>
                <w:rPr>
                  <w:noProof/>
                </w:rPr>
                <w:t>, 2223-2261. doi: https://doi.org/10.1111/0022-1082.00494</w:t>
              </w:r>
            </w:p>
            <w:p w14:paraId="368D01A7" w14:textId="77777777" w:rsidR="009E5B67" w:rsidRDefault="009E5B67" w:rsidP="009E5B67">
              <w:pPr>
                <w:pStyle w:val="Bibliography"/>
                <w:ind w:left="720" w:hanging="720"/>
                <w:rPr>
                  <w:noProof/>
                </w:rPr>
              </w:pPr>
              <w:r>
                <w:rPr>
                  <w:noProof/>
                </w:rPr>
                <w:t xml:space="preserve">Gray, S. F. (1996, September). Modeling the conditional distribution of interest rates as a regime-switching process. </w:t>
              </w:r>
              <w:r>
                <w:rPr>
                  <w:i/>
                  <w:iCs/>
                  <w:noProof/>
                </w:rPr>
                <w:t>Journal of Financial Economics, 42</w:t>
              </w:r>
              <w:r>
                <w:rPr>
                  <w:noProof/>
                </w:rPr>
                <w:t>(1), 27-62. doi:https://doi.org/10.1016/0304-405X(96)00875-6</w:t>
              </w:r>
            </w:p>
            <w:p w14:paraId="5A854526" w14:textId="77777777" w:rsidR="009E5B67" w:rsidRDefault="009E5B67" w:rsidP="009E5B67">
              <w:pPr>
                <w:pStyle w:val="Bibliography"/>
                <w:ind w:left="720" w:hanging="720"/>
                <w:rPr>
                  <w:noProof/>
                </w:rPr>
              </w:pPr>
              <w:r>
                <w:rPr>
                  <w:noProof/>
                </w:rPr>
                <w:t xml:space="preserve">Gunay , S., &amp; Can, G. (2022, January 14). Thesource offinancial contagion andSpillovers: An evaluation of the Covid-19 pandemic and the global financial crises. </w:t>
              </w:r>
              <w:r>
                <w:rPr>
                  <w:i/>
                  <w:iCs/>
                  <w:noProof/>
                </w:rPr>
                <w:t>PLoS ONE , 17</w:t>
              </w:r>
              <w:r>
                <w:rPr>
                  <w:noProof/>
                </w:rPr>
                <w:t>(1), e0261835. doi:https://doi.org/10.1371/journal.pone.0261835</w:t>
              </w:r>
            </w:p>
            <w:p w14:paraId="45BAA8B5" w14:textId="77777777" w:rsidR="009E5B67" w:rsidRDefault="009E5B67" w:rsidP="009E5B67">
              <w:pPr>
                <w:pStyle w:val="Bibliography"/>
                <w:ind w:left="720" w:hanging="720"/>
                <w:rPr>
                  <w:noProof/>
                </w:rPr>
              </w:pPr>
              <w:r>
                <w:rPr>
                  <w:noProof/>
                </w:rPr>
                <w:t xml:space="preserve">Hamilton, J. D. (1989, March). A New Approach to the Economic Analysis of Nonstationary Time Series and the Business Cycle. </w:t>
              </w:r>
              <w:r>
                <w:rPr>
                  <w:i/>
                  <w:iCs/>
                  <w:noProof/>
                </w:rPr>
                <w:t>Econometrica, 57</w:t>
              </w:r>
              <w:r>
                <w:rPr>
                  <w:noProof/>
                </w:rPr>
                <w:t>(2), 357-384. doi:https://doi.org/10.2307/1912559</w:t>
              </w:r>
            </w:p>
            <w:p w14:paraId="24E702CB" w14:textId="77777777" w:rsidR="009E5B67" w:rsidRDefault="009E5B67" w:rsidP="009E5B67">
              <w:pPr>
                <w:pStyle w:val="Bibliography"/>
                <w:ind w:left="720" w:hanging="720"/>
                <w:rPr>
                  <w:noProof/>
                </w:rPr>
              </w:pPr>
              <w:r>
                <w:rPr>
                  <w:noProof/>
                </w:rPr>
                <w:t xml:space="preserve">Hamilton, J. D. (1989, March). A New Approach to the Economic Analysis of Nonstationary Time Series and the Business Cycle. </w:t>
              </w:r>
              <w:r>
                <w:rPr>
                  <w:i/>
                  <w:iCs/>
                  <w:noProof/>
                </w:rPr>
                <w:t>Econometrica, 57</w:t>
              </w:r>
              <w:r>
                <w:rPr>
                  <w:noProof/>
                </w:rPr>
                <w:t>(2), 357-384. doi:https://doi.org/10.2307/1912559</w:t>
              </w:r>
            </w:p>
            <w:p w14:paraId="4D62F3D2" w14:textId="77777777" w:rsidR="009E5B67" w:rsidRDefault="009E5B67" w:rsidP="009E5B67">
              <w:pPr>
                <w:pStyle w:val="Bibliography"/>
                <w:ind w:left="720" w:hanging="720"/>
                <w:rPr>
                  <w:noProof/>
                </w:rPr>
              </w:pPr>
              <w:r>
                <w:rPr>
                  <w:noProof/>
                </w:rPr>
                <w:t xml:space="preserve">Hansen, P. R., Lunde, A., &amp; Nason, J. M. (2011, February 14). The Model Confidence Set. </w:t>
              </w:r>
              <w:r>
                <w:rPr>
                  <w:i/>
                  <w:iCs/>
                  <w:noProof/>
                </w:rPr>
                <w:t>Econometrica, 79</w:t>
              </w:r>
              <w:r>
                <w:rPr>
                  <w:noProof/>
                </w:rPr>
                <w:t>(2), 453-497. doi: https://doi.org/10.3982/ECTA5771</w:t>
              </w:r>
            </w:p>
            <w:p w14:paraId="6830A377" w14:textId="77777777" w:rsidR="009E5B67" w:rsidRDefault="009E5B67" w:rsidP="009E5B67">
              <w:pPr>
                <w:pStyle w:val="Bibliography"/>
                <w:ind w:left="720" w:hanging="720"/>
                <w:rPr>
                  <w:noProof/>
                </w:rPr>
              </w:pPr>
              <w:r>
                <w:rPr>
                  <w:noProof/>
                </w:rPr>
                <w:t xml:space="preserve">Haroon, O., &amp; Rizvi, S. A. (2020, September). COVID-19: Media coverage and financial markets behavior—A sectoral inquiry. </w:t>
              </w:r>
              <w:r>
                <w:rPr>
                  <w:i/>
                  <w:iCs/>
                  <w:noProof/>
                </w:rPr>
                <w:t>Journal of Behavioral and Experimental Finance, 27</w:t>
              </w:r>
              <w:r>
                <w:rPr>
                  <w:noProof/>
                </w:rPr>
                <w:t>, 100343. doi:https://doi.org/10.1016/j.jbef.2020.100343</w:t>
              </w:r>
            </w:p>
            <w:p w14:paraId="2CFC06D1" w14:textId="77777777" w:rsidR="009E5B67" w:rsidRDefault="009E5B67" w:rsidP="009E5B67">
              <w:pPr>
                <w:pStyle w:val="Bibliography"/>
                <w:ind w:left="720" w:hanging="720"/>
                <w:rPr>
                  <w:noProof/>
                </w:rPr>
              </w:pPr>
              <w:r>
                <w:rPr>
                  <w:noProof/>
                </w:rPr>
                <w:t xml:space="preserve">Haroon, O., &amp; Rizvi, S. R. (2020, September). COVID-19: Media coverage and financial markets behavior—A sectoral inquiry. </w:t>
              </w:r>
              <w:r>
                <w:rPr>
                  <w:i/>
                  <w:iCs/>
                  <w:noProof/>
                </w:rPr>
                <w:t>Journal of Behavioral and Experimental Finance, 27</w:t>
              </w:r>
              <w:r>
                <w:rPr>
                  <w:noProof/>
                </w:rPr>
                <w:t>(1), 100343. doi:https://doi.org/10.1016/j.jbef.2020.100343</w:t>
              </w:r>
            </w:p>
            <w:p w14:paraId="5B9E39B2" w14:textId="77777777" w:rsidR="009E5B67" w:rsidRDefault="009E5B67" w:rsidP="009E5B67">
              <w:pPr>
                <w:pStyle w:val="Bibliography"/>
                <w:ind w:left="720" w:hanging="720"/>
                <w:rPr>
                  <w:noProof/>
                </w:rPr>
              </w:pPr>
              <w:r>
                <w:rPr>
                  <w:noProof/>
                </w:rPr>
                <w:t xml:space="preserve">Kenourgios, D., Samitas, A., &amp; Paltalidis, N. (2011, February). Financial crises and stock market contagion in a multivariate time-varying asymmetric framework. </w:t>
              </w:r>
              <w:r>
                <w:rPr>
                  <w:i/>
                  <w:iCs/>
                  <w:noProof/>
                </w:rPr>
                <w:t xml:space="preserve">Journal of </w:t>
              </w:r>
              <w:r>
                <w:rPr>
                  <w:i/>
                  <w:iCs/>
                  <w:noProof/>
                </w:rPr>
                <w:lastRenderedPageBreak/>
                <w:t>International Financial Markets, Institutions and Money, 21</w:t>
              </w:r>
              <w:r>
                <w:rPr>
                  <w:noProof/>
                </w:rPr>
                <w:t>(1), 92-106. doi:https://doi.org/10.1016/j.intfin.2010.08.005</w:t>
              </w:r>
            </w:p>
            <w:p w14:paraId="60183D3A" w14:textId="77777777" w:rsidR="009E5B67" w:rsidRDefault="009E5B67" w:rsidP="009E5B67">
              <w:pPr>
                <w:pStyle w:val="Bibliography"/>
                <w:ind w:left="720" w:hanging="720"/>
                <w:rPr>
                  <w:noProof/>
                </w:rPr>
              </w:pPr>
              <w:r>
                <w:rPr>
                  <w:noProof/>
                </w:rPr>
                <w:t xml:space="preserve">King , M. A., &amp; Wadhwani, S. (1990). Transmission of Volatility between Stock Markets. </w:t>
              </w:r>
              <w:r>
                <w:rPr>
                  <w:i/>
                  <w:iCs/>
                  <w:noProof/>
                </w:rPr>
                <w:t>The Review of Financial Studies, 3</w:t>
              </w:r>
              <w:r>
                <w:rPr>
                  <w:noProof/>
                </w:rPr>
                <w:t>(1), 5–33. doi:https://doi.org/10.1093/rfs/3.1.5</w:t>
              </w:r>
            </w:p>
            <w:p w14:paraId="1CF1B290" w14:textId="77777777" w:rsidR="009E5B67" w:rsidRDefault="009E5B67" w:rsidP="009E5B67">
              <w:pPr>
                <w:pStyle w:val="Bibliography"/>
                <w:ind w:left="720" w:hanging="720"/>
                <w:rPr>
                  <w:noProof/>
                </w:rPr>
              </w:pPr>
              <w:r>
                <w:rPr>
                  <w:noProof/>
                </w:rPr>
                <w:t xml:space="preserve">King , M. A., &amp; Wadhwani, S. (1990, April 15). Transmission of Volatility between Stock Markets. </w:t>
              </w:r>
              <w:r>
                <w:rPr>
                  <w:i/>
                  <w:iCs/>
                  <w:noProof/>
                </w:rPr>
                <w:t>The Review of Financial Studies, 3</w:t>
              </w:r>
              <w:r>
                <w:rPr>
                  <w:noProof/>
                </w:rPr>
                <w:t>(1), 5-33. doi:https://doi.org/10.1093/rfs/3.1.5</w:t>
              </w:r>
            </w:p>
            <w:p w14:paraId="7F5C05A4" w14:textId="77777777" w:rsidR="009E5B67" w:rsidRDefault="009E5B67" w:rsidP="009E5B67">
              <w:pPr>
                <w:pStyle w:val="Bibliography"/>
                <w:ind w:left="720" w:hanging="720"/>
                <w:rPr>
                  <w:noProof/>
                </w:rPr>
              </w:pPr>
              <w:r>
                <w:rPr>
                  <w:noProof/>
                </w:rPr>
                <w:t>Logogye, L., Aawaar, G., &amp; Poku, K. (2024, November 29). Regional and global shock spillovers to Africa’s equity markets: evidence from the global financial crisis and COVID</w:t>
              </w:r>
              <w:r>
                <w:rPr>
                  <w:noProof/>
                </w:rPr>
                <w:noBreakHyphen/>
                <w:t xml:space="preserve">19 pandemic. </w:t>
              </w:r>
              <w:r>
                <w:rPr>
                  <w:i/>
                  <w:iCs/>
                  <w:noProof/>
                </w:rPr>
                <w:t>SN Business and Economics, 4</w:t>
              </w:r>
              <w:r>
                <w:rPr>
                  <w:noProof/>
                </w:rPr>
                <w:t>(166), 2024. doi:https://doi.org/10.1007/s43546-024-00764-w</w:t>
              </w:r>
            </w:p>
            <w:p w14:paraId="085161C9" w14:textId="77777777" w:rsidR="009E5B67" w:rsidRDefault="009E5B67" w:rsidP="009E5B67">
              <w:pPr>
                <w:pStyle w:val="Bibliography"/>
                <w:ind w:left="720" w:hanging="720"/>
                <w:rPr>
                  <w:noProof/>
                </w:rPr>
              </w:pPr>
              <w:r>
                <w:rPr>
                  <w:noProof/>
                </w:rPr>
                <w:t xml:space="preserve">Lyócsa, Š., Baumöhl, E., Výrost , T., &amp; Molnár, P. (2020, October). Fear of the coronavirus and the stock markets. </w:t>
              </w:r>
              <w:r>
                <w:rPr>
                  <w:i/>
                  <w:iCs/>
                  <w:noProof/>
                </w:rPr>
                <w:t>Finance Research Letters, 36</w:t>
              </w:r>
              <w:r>
                <w:rPr>
                  <w:noProof/>
                </w:rPr>
                <w:t>, 101735. doi:https://doi.org/10.1016/j.frl.2020.101735</w:t>
              </w:r>
            </w:p>
            <w:p w14:paraId="35212394" w14:textId="77777777" w:rsidR="009E5B67" w:rsidRDefault="009E5B67" w:rsidP="009E5B67">
              <w:pPr>
                <w:pStyle w:val="Bibliography"/>
                <w:ind w:left="720" w:hanging="720"/>
                <w:rPr>
                  <w:noProof/>
                </w:rPr>
              </w:pPr>
              <w:r>
                <w:rPr>
                  <w:noProof/>
                </w:rPr>
                <w:t xml:space="preserve">Markowitz , H. M. (1959). </w:t>
              </w:r>
              <w:r>
                <w:rPr>
                  <w:i/>
                  <w:iCs/>
                  <w:noProof/>
                </w:rPr>
                <w:t>Portfolio Selection: Efficient Diversification of Investments.</w:t>
              </w:r>
              <w:r>
                <w:rPr>
                  <w:noProof/>
                </w:rPr>
                <w:t xml:space="preserve"> New York: John Wiley &amp; Sons. doi:ISBN: 978-1-557-86108-5</w:t>
              </w:r>
            </w:p>
            <w:p w14:paraId="535EAA26" w14:textId="77777777" w:rsidR="009E5B67" w:rsidRDefault="009E5B67" w:rsidP="009E5B67">
              <w:pPr>
                <w:pStyle w:val="Bibliography"/>
                <w:ind w:left="720" w:hanging="720"/>
                <w:rPr>
                  <w:noProof/>
                </w:rPr>
              </w:pPr>
              <w:r>
                <w:rPr>
                  <w:noProof/>
                </w:rPr>
                <w:t xml:space="preserve">Markowitz, H. (1952). Portfolio Selection. </w:t>
              </w:r>
              <w:r>
                <w:rPr>
                  <w:i/>
                  <w:iCs/>
                  <w:noProof/>
                </w:rPr>
                <w:t>Journal of Finance, American Finance Association, 7</w:t>
              </w:r>
              <w:r>
                <w:rPr>
                  <w:noProof/>
                </w:rPr>
                <w:t>(1), 77-91. doi:j.1540-6261.1952.tb01525.x</w:t>
              </w:r>
            </w:p>
            <w:p w14:paraId="71B25549" w14:textId="77777777" w:rsidR="009E5B67" w:rsidRDefault="009E5B67" w:rsidP="009E5B67">
              <w:pPr>
                <w:pStyle w:val="Bibliography"/>
                <w:ind w:left="720" w:hanging="720"/>
                <w:rPr>
                  <w:noProof/>
                </w:rPr>
              </w:pPr>
              <w:r>
                <w:rPr>
                  <w:noProof/>
                </w:rPr>
                <w:t xml:space="preserve">Miyajima, K., Mohanty, M., &amp; Chan, T. (2015, March ). Emerging market local currency bonds: Diversification and stability. </w:t>
              </w:r>
              <w:r>
                <w:rPr>
                  <w:i/>
                  <w:iCs/>
                  <w:noProof/>
                </w:rPr>
                <w:t>Emerging market local currency bonds: Diversification and stability, 22</w:t>
              </w:r>
              <w:r>
                <w:rPr>
                  <w:noProof/>
                </w:rPr>
                <w:t>, 126-139. doi:https://doi.org/10.1016/j.ememar.2014.09.006</w:t>
              </w:r>
            </w:p>
            <w:p w14:paraId="617EB76C" w14:textId="77777777" w:rsidR="009E5B67" w:rsidRDefault="009E5B67" w:rsidP="009E5B67">
              <w:pPr>
                <w:pStyle w:val="Bibliography"/>
                <w:ind w:left="720" w:hanging="720"/>
                <w:rPr>
                  <w:noProof/>
                </w:rPr>
              </w:pPr>
              <w:r>
                <w:rPr>
                  <w:noProof/>
                </w:rPr>
                <w:t xml:space="preserve">Mudiangombe, B. M., &amp; Mwamba, J. W. (2023, June 10). Impacts of U.S. Stock Market Crash on South African Top Sector Indices, Volatility, and Market Linkages: Evidence of Copula-Based BEKK-GARCH Models. </w:t>
              </w:r>
              <w:r>
                <w:rPr>
                  <w:i/>
                  <w:iCs/>
                  <w:noProof/>
                </w:rPr>
                <w:t>International Journal of Financial Studies, 11</w:t>
              </w:r>
              <w:r>
                <w:rPr>
                  <w:noProof/>
                </w:rPr>
                <w:t>(2), 77. doi:https://doi.org/10.3390/ijfs11020077</w:t>
              </w:r>
            </w:p>
            <w:p w14:paraId="554F8545" w14:textId="77777777" w:rsidR="009E5B67" w:rsidRDefault="009E5B67" w:rsidP="009E5B67">
              <w:pPr>
                <w:pStyle w:val="Bibliography"/>
                <w:ind w:left="720" w:hanging="720"/>
                <w:rPr>
                  <w:noProof/>
                </w:rPr>
              </w:pPr>
              <w:r>
                <w:rPr>
                  <w:noProof/>
                </w:rPr>
                <w:t xml:space="preserve">Muzindutsi, P.-F., Sheodin, A., Moodley, J., Moodley, K., Naidoo, M., Ramjiyavan, P., . . . Dube, F. (2022). Contagion Risk in Equity Markets During Financial Crises and COVID-19: A Comparison of Developed and Emerging Markets. </w:t>
              </w:r>
              <w:r>
                <w:rPr>
                  <w:i/>
                  <w:iCs/>
                  <w:noProof/>
                </w:rPr>
                <w:t>Scientific Annals of Economics And Business, 69</w:t>
              </w:r>
              <w:r>
                <w:rPr>
                  <w:noProof/>
                </w:rPr>
                <w:t>(4), 615-629. doi:10.47743/saeb-2022-0026</w:t>
              </w:r>
            </w:p>
            <w:p w14:paraId="66B89C81" w14:textId="77777777" w:rsidR="009E5B67" w:rsidRDefault="009E5B67" w:rsidP="009E5B67">
              <w:pPr>
                <w:pStyle w:val="Bibliography"/>
                <w:ind w:left="720" w:hanging="720"/>
                <w:rPr>
                  <w:noProof/>
                </w:rPr>
              </w:pPr>
              <w:r>
                <w:rPr>
                  <w:noProof/>
                </w:rPr>
                <w:t xml:space="preserve">Pretorius, E. (2002, March 1). Economic determinants of emerging stock market interdependence. </w:t>
              </w:r>
              <w:r>
                <w:rPr>
                  <w:i/>
                  <w:iCs/>
                  <w:noProof/>
                </w:rPr>
                <w:t>Emerging Markets Review, 3</w:t>
              </w:r>
              <w:r>
                <w:rPr>
                  <w:noProof/>
                </w:rPr>
                <w:t>(1), 84-105. doi:https://doi.org/10.1016/S1566-0141(01)00032-2</w:t>
              </w:r>
            </w:p>
            <w:p w14:paraId="5358E50B" w14:textId="77777777" w:rsidR="009E5B67" w:rsidRDefault="009E5B67" w:rsidP="009E5B67">
              <w:pPr>
                <w:pStyle w:val="Bibliography"/>
                <w:ind w:left="720" w:hanging="720"/>
                <w:rPr>
                  <w:noProof/>
                </w:rPr>
              </w:pPr>
              <w:r>
                <w:rPr>
                  <w:noProof/>
                </w:rPr>
                <w:lastRenderedPageBreak/>
                <w:t xml:space="preserve">Sibanda, K., &amp; Mlambo, C. (2014, August). The Impact of Oil Prices on the Exchange Rate in South Africa. </w:t>
              </w:r>
              <w:r>
                <w:rPr>
                  <w:i/>
                  <w:iCs/>
                  <w:noProof/>
                </w:rPr>
                <w:t>Journal of Economics, 5</w:t>
              </w:r>
              <w:r>
                <w:rPr>
                  <w:noProof/>
                </w:rPr>
                <w:t>(2), 193-199. doi:10.1080/09765239.2014.11884996</w:t>
              </w:r>
            </w:p>
            <w:p w14:paraId="1457AB38" w14:textId="77777777" w:rsidR="009E5B67" w:rsidRDefault="009E5B67" w:rsidP="009E5B67">
              <w:pPr>
                <w:pStyle w:val="Bibliography"/>
                <w:ind w:left="720" w:hanging="720"/>
                <w:rPr>
                  <w:noProof/>
                </w:rPr>
              </w:pPr>
              <w:r>
                <w:rPr>
                  <w:noProof/>
                </w:rPr>
                <w:t xml:space="preserve">Siddiqui , T. A., Khan , M. F., Naushad , M., &amp; Syed , A. M. (2022, June 16). Cross-Market Correlations and Financial Contagion from Developed to Emerging Economies: A Case of COVID-19 Pandemic. </w:t>
              </w:r>
              <w:r>
                <w:rPr>
                  <w:i/>
                  <w:iCs/>
                  <w:noProof/>
                </w:rPr>
                <w:t>Economies, 10</w:t>
              </w:r>
              <w:r>
                <w:rPr>
                  <w:noProof/>
                </w:rPr>
                <w:t>(6), 147-159. doi: https://doi.org/10.3390/economies10060147</w:t>
              </w:r>
            </w:p>
            <w:p w14:paraId="02503D1E" w14:textId="77777777" w:rsidR="009E5B67" w:rsidRDefault="009E5B67" w:rsidP="009E5B67">
              <w:pPr>
                <w:pStyle w:val="Bibliography"/>
                <w:ind w:left="720" w:hanging="720"/>
                <w:rPr>
                  <w:noProof/>
                </w:rPr>
              </w:pPr>
              <w:r>
                <w:rPr>
                  <w:noProof/>
                </w:rPr>
                <w:t xml:space="preserve">Van der Westhuizen, C., Van Eyden, R., &amp; Aye, G. C. (2022). CONTAGION ACROSS FINANCIAL MARKETS DURING COVID-19: A LOOK AT VOLATILITY SPILLOVERS BETWEEN THE STOCK AND FOREIGN EXCHANGE MARKETS IN SOUTH AFRICA. </w:t>
              </w:r>
              <w:r>
                <w:rPr>
                  <w:i/>
                  <w:iCs/>
                  <w:noProof/>
                </w:rPr>
                <w:t>Annals of Financial Economics, 17</w:t>
              </w:r>
              <w:r>
                <w:rPr>
                  <w:noProof/>
                </w:rPr>
                <w:t>(1), 2250002. doi:https://doi.org/10.1142/S2010495222500026</w:t>
              </w:r>
            </w:p>
            <w:p w14:paraId="5B455D19" w14:textId="77777777" w:rsidR="009E5B67" w:rsidRDefault="009E5B67" w:rsidP="009E5B67">
              <w:pPr>
                <w:pStyle w:val="Bibliography"/>
                <w:ind w:left="720" w:hanging="720"/>
                <w:rPr>
                  <w:noProof/>
                </w:rPr>
              </w:pPr>
              <w:r>
                <w:rPr>
                  <w:noProof/>
                </w:rPr>
                <w:t xml:space="preserve">Van Eyden, R., Van der Westhuizen, C., &amp; Aye, G. C. (2022). CONTAGION ACROSS FINANCIAL MARKETS DURING COVID-19: A LOOK AT VOLATILITY SPILLOVERS BETWEEN THE STOCK AND FOREIGN EXCHANGE MARKETS IN SOUTH AFRICA. </w:t>
              </w:r>
              <w:r>
                <w:rPr>
                  <w:i/>
                  <w:iCs/>
                  <w:noProof/>
                </w:rPr>
                <w:t>Annals of Financial Economics, 17</w:t>
              </w:r>
              <w:r>
                <w:rPr>
                  <w:noProof/>
                </w:rPr>
                <w:t>(1), 2250002. doi:https://doi.org/10.1142/S2010495222500026</w:t>
              </w:r>
            </w:p>
            <w:p w14:paraId="0F116094" w14:textId="77777777" w:rsidR="009E5B67" w:rsidRDefault="009E5B67" w:rsidP="009E5B67">
              <w:pPr>
                <w:pStyle w:val="Bibliography"/>
                <w:ind w:left="720" w:hanging="720"/>
                <w:rPr>
                  <w:noProof/>
                </w:rPr>
              </w:pPr>
              <w:r>
                <w:rPr>
                  <w:noProof/>
                </w:rPr>
                <w:t xml:space="preserve">Walid, C., Chaker, A., Masood, O., &amp; Fry, J. (2011, September). Stock market volatility and exchange rates in emerging countries: A Markov-state switching approach. </w:t>
              </w:r>
              <w:r>
                <w:rPr>
                  <w:i/>
                  <w:iCs/>
                  <w:noProof/>
                </w:rPr>
                <w:t>Emerging Markets Review, 12</w:t>
              </w:r>
              <w:r>
                <w:rPr>
                  <w:noProof/>
                </w:rPr>
                <w:t>(3), 272-292. doi:https://doi.org/10.1016/j.ememar.2011.04.003</w:t>
              </w:r>
            </w:p>
            <w:p w14:paraId="28B2C5BD" w14:textId="77777777" w:rsidR="009E5B67" w:rsidRDefault="009E5B67" w:rsidP="009E5B67">
              <w:pPr>
                <w:pStyle w:val="Bibliography"/>
                <w:ind w:left="720" w:hanging="720"/>
                <w:rPr>
                  <w:noProof/>
                </w:rPr>
              </w:pPr>
              <w:r>
                <w:rPr>
                  <w:noProof/>
                </w:rPr>
                <w:t xml:space="preserve">Yarovaya, L., Brzeszczyński , J., Goodell , J. W., Lucey, B., &amp; Marco Lau, C. K. (2022, July). Rethinking financial contagion: Information transmission mechanism during the COVID-19 pandemic. </w:t>
              </w:r>
              <w:r>
                <w:rPr>
                  <w:i/>
                  <w:iCs/>
                  <w:noProof/>
                </w:rPr>
                <w:t>Journal of International Financial Markets, Institutions and Money, 79</w:t>
              </w:r>
              <w:r>
                <w:rPr>
                  <w:noProof/>
                </w:rPr>
                <w:t>, 101589. doi:https://doi.org/10.1016/j.intfin.2022.101589</w:t>
              </w:r>
            </w:p>
            <w:p w14:paraId="6D58B16F" w14:textId="77777777" w:rsidR="009E5B67" w:rsidRDefault="009E5B67" w:rsidP="009E5B67">
              <w:pPr>
                <w:pStyle w:val="Bibliography"/>
                <w:ind w:left="720" w:hanging="720"/>
                <w:rPr>
                  <w:noProof/>
                </w:rPr>
              </w:pPr>
              <w:r>
                <w:rPr>
                  <w:noProof/>
                </w:rPr>
                <w:t xml:space="preserve">Zhang, D., Hu, M., &amp; Ji, Q. (2020, October). Financial markets under the global pandemic of COVID-19. </w:t>
              </w:r>
              <w:r>
                <w:rPr>
                  <w:i/>
                  <w:iCs/>
                  <w:noProof/>
                </w:rPr>
                <w:t>Finance Research Letters, 36</w:t>
              </w:r>
              <w:r>
                <w:rPr>
                  <w:noProof/>
                </w:rPr>
                <w:t>, 101528. doi:https://doi.org/10.1016/j.frl.2020.101528</w:t>
              </w:r>
            </w:p>
            <w:p w14:paraId="7BB26EAA" w14:textId="5702B7AF" w:rsidR="009E5B67" w:rsidRDefault="009E5B67" w:rsidP="009E5B67">
              <w:r>
                <w:rPr>
                  <w:b/>
                  <w:bCs/>
                  <w:noProof/>
                </w:rPr>
                <w:fldChar w:fldCharType="end"/>
              </w:r>
            </w:p>
          </w:sdtContent>
        </w:sdt>
      </w:sdtContent>
    </w:sdt>
    <w:p w14:paraId="08600F96" w14:textId="7A24DBA1" w:rsidR="00084082" w:rsidRPr="00340AA1" w:rsidRDefault="00084082" w:rsidP="00340AA1">
      <w:pPr>
        <w:spacing w:line="360" w:lineRule="auto"/>
        <w:rPr>
          <w:rFonts w:ascii="Times New Roman" w:hAnsi="Times New Roman" w:cs="Times New Roman"/>
        </w:rPr>
      </w:pPr>
    </w:p>
    <w:p w14:paraId="3075C260" w14:textId="77777777" w:rsidR="007617DB" w:rsidRPr="00340AA1" w:rsidRDefault="007617DB" w:rsidP="00340AA1">
      <w:pPr>
        <w:spacing w:line="360" w:lineRule="auto"/>
        <w:rPr>
          <w:rFonts w:ascii="Times New Roman" w:hAnsi="Times New Roman" w:cs="Times New Roman"/>
        </w:rPr>
      </w:pPr>
    </w:p>
    <w:sectPr w:rsidR="007617DB" w:rsidRPr="00340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34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014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D40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5D762E"/>
    <w:multiLevelType w:val="hybridMultilevel"/>
    <w:tmpl w:val="20F00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00BC9"/>
    <w:multiLevelType w:val="multilevel"/>
    <w:tmpl w:val="98B0187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4DA5C29"/>
    <w:multiLevelType w:val="hybridMultilevel"/>
    <w:tmpl w:val="705A9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E349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9B80F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67468566">
    <w:abstractNumId w:val="4"/>
  </w:num>
  <w:num w:numId="2" w16cid:durableId="1857958085">
    <w:abstractNumId w:val="3"/>
  </w:num>
  <w:num w:numId="3" w16cid:durableId="436607013">
    <w:abstractNumId w:val="7"/>
  </w:num>
  <w:num w:numId="4" w16cid:durableId="1745684244">
    <w:abstractNumId w:val="2"/>
  </w:num>
  <w:num w:numId="5" w16cid:durableId="1382242213">
    <w:abstractNumId w:val="1"/>
  </w:num>
  <w:num w:numId="6" w16cid:durableId="1625817720">
    <w:abstractNumId w:val="6"/>
  </w:num>
  <w:num w:numId="7" w16cid:durableId="925528918">
    <w:abstractNumId w:val="0"/>
  </w:num>
  <w:num w:numId="8" w16cid:durableId="708383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DB"/>
    <w:rsid w:val="00013174"/>
    <w:rsid w:val="00023FC8"/>
    <w:rsid w:val="00056F53"/>
    <w:rsid w:val="00071545"/>
    <w:rsid w:val="000720A2"/>
    <w:rsid w:val="000745E5"/>
    <w:rsid w:val="00082F9D"/>
    <w:rsid w:val="00084082"/>
    <w:rsid w:val="000863E7"/>
    <w:rsid w:val="000947B3"/>
    <w:rsid w:val="000B299E"/>
    <w:rsid w:val="000B355C"/>
    <w:rsid w:val="000C01C8"/>
    <w:rsid w:val="000C7A83"/>
    <w:rsid w:val="000F337D"/>
    <w:rsid w:val="001056DB"/>
    <w:rsid w:val="00123897"/>
    <w:rsid w:val="001252D1"/>
    <w:rsid w:val="001253E0"/>
    <w:rsid w:val="00125AF2"/>
    <w:rsid w:val="001321FD"/>
    <w:rsid w:val="0014377B"/>
    <w:rsid w:val="00155236"/>
    <w:rsid w:val="00176A3A"/>
    <w:rsid w:val="001A1872"/>
    <w:rsid w:val="001A1B5F"/>
    <w:rsid w:val="001F7CC7"/>
    <w:rsid w:val="00222E6E"/>
    <w:rsid w:val="002270A2"/>
    <w:rsid w:val="00242E3B"/>
    <w:rsid w:val="00247466"/>
    <w:rsid w:val="00261F12"/>
    <w:rsid w:val="002629A6"/>
    <w:rsid w:val="002650E2"/>
    <w:rsid w:val="00265386"/>
    <w:rsid w:val="00273038"/>
    <w:rsid w:val="0027582F"/>
    <w:rsid w:val="002804C9"/>
    <w:rsid w:val="00284386"/>
    <w:rsid w:val="00297CB6"/>
    <w:rsid w:val="002D5CF3"/>
    <w:rsid w:val="002E742E"/>
    <w:rsid w:val="00320E40"/>
    <w:rsid w:val="003306B8"/>
    <w:rsid w:val="00340AA1"/>
    <w:rsid w:val="00343E1A"/>
    <w:rsid w:val="00350D54"/>
    <w:rsid w:val="003527CF"/>
    <w:rsid w:val="0037208C"/>
    <w:rsid w:val="003B7171"/>
    <w:rsid w:val="003C0957"/>
    <w:rsid w:val="003E0CF3"/>
    <w:rsid w:val="00402FC9"/>
    <w:rsid w:val="0041236A"/>
    <w:rsid w:val="0045060B"/>
    <w:rsid w:val="0046284B"/>
    <w:rsid w:val="0047352B"/>
    <w:rsid w:val="004761B6"/>
    <w:rsid w:val="004D5406"/>
    <w:rsid w:val="004E383F"/>
    <w:rsid w:val="005011FC"/>
    <w:rsid w:val="00510DC8"/>
    <w:rsid w:val="0052537A"/>
    <w:rsid w:val="00554F96"/>
    <w:rsid w:val="005635F9"/>
    <w:rsid w:val="005D76E1"/>
    <w:rsid w:val="005E3AEF"/>
    <w:rsid w:val="005E6E1E"/>
    <w:rsid w:val="0060614D"/>
    <w:rsid w:val="00616E91"/>
    <w:rsid w:val="00636499"/>
    <w:rsid w:val="00640CD6"/>
    <w:rsid w:val="00643E92"/>
    <w:rsid w:val="00647557"/>
    <w:rsid w:val="00665480"/>
    <w:rsid w:val="0069124C"/>
    <w:rsid w:val="00691A20"/>
    <w:rsid w:val="006A0068"/>
    <w:rsid w:val="006A4AC9"/>
    <w:rsid w:val="006C7BF0"/>
    <w:rsid w:val="006D5F04"/>
    <w:rsid w:val="006E1339"/>
    <w:rsid w:val="006E647E"/>
    <w:rsid w:val="006F430E"/>
    <w:rsid w:val="006F5C72"/>
    <w:rsid w:val="00714E8E"/>
    <w:rsid w:val="0073278A"/>
    <w:rsid w:val="00733A40"/>
    <w:rsid w:val="007617DB"/>
    <w:rsid w:val="00761A21"/>
    <w:rsid w:val="007656E2"/>
    <w:rsid w:val="00772D96"/>
    <w:rsid w:val="007772D2"/>
    <w:rsid w:val="007A48C9"/>
    <w:rsid w:val="007B2E6F"/>
    <w:rsid w:val="007C2C67"/>
    <w:rsid w:val="007D184C"/>
    <w:rsid w:val="007E304B"/>
    <w:rsid w:val="007F551C"/>
    <w:rsid w:val="008059ED"/>
    <w:rsid w:val="00814F60"/>
    <w:rsid w:val="008259E1"/>
    <w:rsid w:val="00840F9A"/>
    <w:rsid w:val="00846432"/>
    <w:rsid w:val="00866AC8"/>
    <w:rsid w:val="0087641B"/>
    <w:rsid w:val="008A4305"/>
    <w:rsid w:val="008B3852"/>
    <w:rsid w:val="008B5883"/>
    <w:rsid w:val="008D5712"/>
    <w:rsid w:val="008E7469"/>
    <w:rsid w:val="008F0A75"/>
    <w:rsid w:val="008F3A0E"/>
    <w:rsid w:val="00931544"/>
    <w:rsid w:val="00935953"/>
    <w:rsid w:val="00953EB6"/>
    <w:rsid w:val="009540CB"/>
    <w:rsid w:val="009708A9"/>
    <w:rsid w:val="00975C68"/>
    <w:rsid w:val="0098453A"/>
    <w:rsid w:val="0098508F"/>
    <w:rsid w:val="009A3447"/>
    <w:rsid w:val="009A775D"/>
    <w:rsid w:val="009B2922"/>
    <w:rsid w:val="009C49E0"/>
    <w:rsid w:val="009D5C75"/>
    <w:rsid w:val="009E0682"/>
    <w:rsid w:val="009E5B67"/>
    <w:rsid w:val="00A03C48"/>
    <w:rsid w:val="00A132D3"/>
    <w:rsid w:val="00A23D8B"/>
    <w:rsid w:val="00A5257A"/>
    <w:rsid w:val="00A55AAD"/>
    <w:rsid w:val="00A90F46"/>
    <w:rsid w:val="00AA1194"/>
    <w:rsid w:val="00AC295B"/>
    <w:rsid w:val="00AC48C7"/>
    <w:rsid w:val="00AF6ED6"/>
    <w:rsid w:val="00B11332"/>
    <w:rsid w:val="00B30F86"/>
    <w:rsid w:val="00B5633E"/>
    <w:rsid w:val="00B75120"/>
    <w:rsid w:val="00B76AD6"/>
    <w:rsid w:val="00B802C3"/>
    <w:rsid w:val="00B944AD"/>
    <w:rsid w:val="00BC3C48"/>
    <w:rsid w:val="00BD2987"/>
    <w:rsid w:val="00BD7949"/>
    <w:rsid w:val="00BE31EE"/>
    <w:rsid w:val="00BE4206"/>
    <w:rsid w:val="00BE52AE"/>
    <w:rsid w:val="00BE65B8"/>
    <w:rsid w:val="00BF504A"/>
    <w:rsid w:val="00C1008F"/>
    <w:rsid w:val="00C133E0"/>
    <w:rsid w:val="00C2748C"/>
    <w:rsid w:val="00C304D5"/>
    <w:rsid w:val="00C51073"/>
    <w:rsid w:val="00C609EB"/>
    <w:rsid w:val="00C66B17"/>
    <w:rsid w:val="00C75516"/>
    <w:rsid w:val="00C85AC8"/>
    <w:rsid w:val="00C93ABD"/>
    <w:rsid w:val="00CA054D"/>
    <w:rsid w:val="00CA1687"/>
    <w:rsid w:val="00CC1F15"/>
    <w:rsid w:val="00CC6296"/>
    <w:rsid w:val="00CD5B1D"/>
    <w:rsid w:val="00CF53D1"/>
    <w:rsid w:val="00D0261E"/>
    <w:rsid w:val="00D2537F"/>
    <w:rsid w:val="00D2668F"/>
    <w:rsid w:val="00D51FEC"/>
    <w:rsid w:val="00D63BBC"/>
    <w:rsid w:val="00D66AF7"/>
    <w:rsid w:val="00D8374B"/>
    <w:rsid w:val="00D91B7D"/>
    <w:rsid w:val="00DA7CD4"/>
    <w:rsid w:val="00DB3A87"/>
    <w:rsid w:val="00DC04C6"/>
    <w:rsid w:val="00DC168D"/>
    <w:rsid w:val="00DC2193"/>
    <w:rsid w:val="00DC26AF"/>
    <w:rsid w:val="00E1177D"/>
    <w:rsid w:val="00E5567E"/>
    <w:rsid w:val="00E634B7"/>
    <w:rsid w:val="00E93388"/>
    <w:rsid w:val="00E9755F"/>
    <w:rsid w:val="00EA36A9"/>
    <w:rsid w:val="00EB2A88"/>
    <w:rsid w:val="00EB2F12"/>
    <w:rsid w:val="00EC1B8D"/>
    <w:rsid w:val="00EF367B"/>
    <w:rsid w:val="00F10496"/>
    <w:rsid w:val="00F213D7"/>
    <w:rsid w:val="00F22118"/>
    <w:rsid w:val="00F40C7E"/>
    <w:rsid w:val="00F73AA9"/>
    <w:rsid w:val="00F8076E"/>
    <w:rsid w:val="00FA14A1"/>
    <w:rsid w:val="00FA69DF"/>
    <w:rsid w:val="00FB198F"/>
    <w:rsid w:val="00FB4ACF"/>
    <w:rsid w:val="00FC1016"/>
    <w:rsid w:val="00FD5BAF"/>
    <w:rsid w:val="00FD78DA"/>
    <w:rsid w:val="00FE46BA"/>
    <w:rsid w:val="00FF69D8"/>
    <w:rsid w:val="00FF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49562"/>
  <w15:chartTrackingRefBased/>
  <w15:docId w15:val="{9AFA8F3B-9C99-4E3C-8BEA-D9AB26DF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DB"/>
    <w:rPr>
      <w:rFonts w:eastAsiaTheme="majorEastAsia" w:cstheme="majorBidi"/>
      <w:color w:val="272727" w:themeColor="text1" w:themeTint="D8"/>
    </w:rPr>
  </w:style>
  <w:style w:type="paragraph" w:styleId="Title">
    <w:name w:val="Title"/>
    <w:basedOn w:val="Normal"/>
    <w:next w:val="Normal"/>
    <w:link w:val="TitleChar"/>
    <w:uiPriority w:val="10"/>
    <w:qFormat/>
    <w:rsid w:val="0076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DB"/>
    <w:pPr>
      <w:spacing w:before="160"/>
      <w:jc w:val="center"/>
    </w:pPr>
    <w:rPr>
      <w:i/>
      <w:iCs/>
      <w:color w:val="404040" w:themeColor="text1" w:themeTint="BF"/>
    </w:rPr>
  </w:style>
  <w:style w:type="character" w:customStyle="1" w:styleId="QuoteChar">
    <w:name w:val="Quote Char"/>
    <w:basedOn w:val="DefaultParagraphFont"/>
    <w:link w:val="Quote"/>
    <w:uiPriority w:val="29"/>
    <w:rsid w:val="007617DB"/>
    <w:rPr>
      <w:i/>
      <w:iCs/>
      <w:color w:val="404040" w:themeColor="text1" w:themeTint="BF"/>
    </w:rPr>
  </w:style>
  <w:style w:type="paragraph" w:styleId="ListParagraph">
    <w:name w:val="List Paragraph"/>
    <w:basedOn w:val="Normal"/>
    <w:uiPriority w:val="34"/>
    <w:qFormat/>
    <w:rsid w:val="007617DB"/>
    <w:pPr>
      <w:ind w:left="720"/>
      <w:contextualSpacing/>
    </w:pPr>
  </w:style>
  <w:style w:type="character" w:styleId="IntenseEmphasis">
    <w:name w:val="Intense Emphasis"/>
    <w:basedOn w:val="DefaultParagraphFont"/>
    <w:uiPriority w:val="21"/>
    <w:qFormat/>
    <w:rsid w:val="007617DB"/>
    <w:rPr>
      <w:i/>
      <w:iCs/>
      <w:color w:val="0F4761" w:themeColor="accent1" w:themeShade="BF"/>
    </w:rPr>
  </w:style>
  <w:style w:type="paragraph" w:styleId="IntenseQuote">
    <w:name w:val="Intense Quote"/>
    <w:basedOn w:val="Normal"/>
    <w:next w:val="Normal"/>
    <w:link w:val="IntenseQuoteChar"/>
    <w:uiPriority w:val="30"/>
    <w:qFormat/>
    <w:rsid w:val="00761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7DB"/>
    <w:rPr>
      <w:i/>
      <w:iCs/>
      <w:color w:val="0F4761" w:themeColor="accent1" w:themeShade="BF"/>
    </w:rPr>
  </w:style>
  <w:style w:type="character" w:styleId="IntenseReference">
    <w:name w:val="Intense Reference"/>
    <w:basedOn w:val="DefaultParagraphFont"/>
    <w:uiPriority w:val="32"/>
    <w:qFormat/>
    <w:rsid w:val="007617DB"/>
    <w:rPr>
      <w:b/>
      <w:bCs/>
      <w:smallCaps/>
      <w:color w:val="0F4761" w:themeColor="accent1" w:themeShade="BF"/>
      <w:spacing w:val="5"/>
    </w:rPr>
  </w:style>
  <w:style w:type="paragraph" w:styleId="Bibliography">
    <w:name w:val="Bibliography"/>
    <w:basedOn w:val="Normal"/>
    <w:next w:val="Normal"/>
    <w:uiPriority w:val="37"/>
    <w:unhideWhenUsed/>
    <w:rsid w:val="00084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896">
      <w:bodyDiv w:val="1"/>
      <w:marLeft w:val="0"/>
      <w:marRight w:val="0"/>
      <w:marTop w:val="0"/>
      <w:marBottom w:val="0"/>
      <w:divBdr>
        <w:top w:val="none" w:sz="0" w:space="0" w:color="auto"/>
        <w:left w:val="none" w:sz="0" w:space="0" w:color="auto"/>
        <w:bottom w:val="none" w:sz="0" w:space="0" w:color="auto"/>
        <w:right w:val="none" w:sz="0" w:space="0" w:color="auto"/>
      </w:divBdr>
    </w:div>
    <w:div w:id="14357154">
      <w:bodyDiv w:val="1"/>
      <w:marLeft w:val="0"/>
      <w:marRight w:val="0"/>
      <w:marTop w:val="0"/>
      <w:marBottom w:val="0"/>
      <w:divBdr>
        <w:top w:val="none" w:sz="0" w:space="0" w:color="auto"/>
        <w:left w:val="none" w:sz="0" w:space="0" w:color="auto"/>
        <w:bottom w:val="none" w:sz="0" w:space="0" w:color="auto"/>
        <w:right w:val="none" w:sz="0" w:space="0" w:color="auto"/>
      </w:divBdr>
    </w:div>
    <w:div w:id="17439987">
      <w:bodyDiv w:val="1"/>
      <w:marLeft w:val="0"/>
      <w:marRight w:val="0"/>
      <w:marTop w:val="0"/>
      <w:marBottom w:val="0"/>
      <w:divBdr>
        <w:top w:val="none" w:sz="0" w:space="0" w:color="auto"/>
        <w:left w:val="none" w:sz="0" w:space="0" w:color="auto"/>
        <w:bottom w:val="none" w:sz="0" w:space="0" w:color="auto"/>
        <w:right w:val="none" w:sz="0" w:space="0" w:color="auto"/>
      </w:divBdr>
    </w:div>
    <w:div w:id="20714268">
      <w:bodyDiv w:val="1"/>
      <w:marLeft w:val="0"/>
      <w:marRight w:val="0"/>
      <w:marTop w:val="0"/>
      <w:marBottom w:val="0"/>
      <w:divBdr>
        <w:top w:val="none" w:sz="0" w:space="0" w:color="auto"/>
        <w:left w:val="none" w:sz="0" w:space="0" w:color="auto"/>
        <w:bottom w:val="none" w:sz="0" w:space="0" w:color="auto"/>
        <w:right w:val="none" w:sz="0" w:space="0" w:color="auto"/>
      </w:divBdr>
    </w:div>
    <w:div w:id="29188305">
      <w:bodyDiv w:val="1"/>
      <w:marLeft w:val="0"/>
      <w:marRight w:val="0"/>
      <w:marTop w:val="0"/>
      <w:marBottom w:val="0"/>
      <w:divBdr>
        <w:top w:val="none" w:sz="0" w:space="0" w:color="auto"/>
        <w:left w:val="none" w:sz="0" w:space="0" w:color="auto"/>
        <w:bottom w:val="none" w:sz="0" w:space="0" w:color="auto"/>
        <w:right w:val="none" w:sz="0" w:space="0" w:color="auto"/>
      </w:divBdr>
    </w:div>
    <w:div w:id="60836184">
      <w:bodyDiv w:val="1"/>
      <w:marLeft w:val="0"/>
      <w:marRight w:val="0"/>
      <w:marTop w:val="0"/>
      <w:marBottom w:val="0"/>
      <w:divBdr>
        <w:top w:val="none" w:sz="0" w:space="0" w:color="auto"/>
        <w:left w:val="none" w:sz="0" w:space="0" w:color="auto"/>
        <w:bottom w:val="none" w:sz="0" w:space="0" w:color="auto"/>
        <w:right w:val="none" w:sz="0" w:space="0" w:color="auto"/>
      </w:divBdr>
    </w:div>
    <w:div w:id="65999426">
      <w:bodyDiv w:val="1"/>
      <w:marLeft w:val="0"/>
      <w:marRight w:val="0"/>
      <w:marTop w:val="0"/>
      <w:marBottom w:val="0"/>
      <w:divBdr>
        <w:top w:val="none" w:sz="0" w:space="0" w:color="auto"/>
        <w:left w:val="none" w:sz="0" w:space="0" w:color="auto"/>
        <w:bottom w:val="none" w:sz="0" w:space="0" w:color="auto"/>
        <w:right w:val="none" w:sz="0" w:space="0" w:color="auto"/>
      </w:divBdr>
    </w:div>
    <w:div w:id="66927912">
      <w:bodyDiv w:val="1"/>
      <w:marLeft w:val="0"/>
      <w:marRight w:val="0"/>
      <w:marTop w:val="0"/>
      <w:marBottom w:val="0"/>
      <w:divBdr>
        <w:top w:val="none" w:sz="0" w:space="0" w:color="auto"/>
        <w:left w:val="none" w:sz="0" w:space="0" w:color="auto"/>
        <w:bottom w:val="none" w:sz="0" w:space="0" w:color="auto"/>
        <w:right w:val="none" w:sz="0" w:space="0" w:color="auto"/>
      </w:divBdr>
    </w:div>
    <w:div w:id="68890878">
      <w:bodyDiv w:val="1"/>
      <w:marLeft w:val="0"/>
      <w:marRight w:val="0"/>
      <w:marTop w:val="0"/>
      <w:marBottom w:val="0"/>
      <w:divBdr>
        <w:top w:val="none" w:sz="0" w:space="0" w:color="auto"/>
        <w:left w:val="none" w:sz="0" w:space="0" w:color="auto"/>
        <w:bottom w:val="none" w:sz="0" w:space="0" w:color="auto"/>
        <w:right w:val="none" w:sz="0" w:space="0" w:color="auto"/>
      </w:divBdr>
    </w:div>
    <w:div w:id="84035302">
      <w:bodyDiv w:val="1"/>
      <w:marLeft w:val="0"/>
      <w:marRight w:val="0"/>
      <w:marTop w:val="0"/>
      <w:marBottom w:val="0"/>
      <w:divBdr>
        <w:top w:val="none" w:sz="0" w:space="0" w:color="auto"/>
        <w:left w:val="none" w:sz="0" w:space="0" w:color="auto"/>
        <w:bottom w:val="none" w:sz="0" w:space="0" w:color="auto"/>
        <w:right w:val="none" w:sz="0" w:space="0" w:color="auto"/>
      </w:divBdr>
    </w:div>
    <w:div w:id="85004593">
      <w:bodyDiv w:val="1"/>
      <w:marLeft w:val="0"/>
      <w:marRight w:val="0"/>
      <w:marTop w:val="0"/>
      <w:marBottom w:val="0"/>
      <w:divBdr>
        <w:top w:val="none" w:sz="0" w:space="0" w:color="auto"/>
        <w:left w:val="none" w:sz="0" w:space="0" w:color="auto"/>
        <w:bottom w:val="none" w:sz="0" w:space="0" w:color="auto"/>
        <w:right w:val="none" w:sz="0" w:space="0" w:color="auto"/>
      </w:divBdr>
    </w:div>
    <w:div w:id="112865773">
      <w:bodyDiv w:val="1"/>
      <w:marLeft w:val="0"/>
      <w:marRight w:val="0"/>
      <w:marTop w:val="0"/>
      <w:marBottom w:val="0"/>
      <w:divBdr>
        <w:top w:val="none" w:sz="0" w:space="0" w:color="auto"/>
        <w:left w:val="none" w:sz="0" w:space="0" w:color="auto"/>
        <w:bottom w:val="none" w:sz="0" w:space="0" w:color="auto"/>
        <w:right w:val="none" w:sz="0" w:space="0" w:color="auto"/>
      </w:divBdr>
    </w:div>
    <w:div w:id="133987877">
      <w:bodyDiv w:val="1"/>
      <w:marLeft w:val="0"/>
      <w:marRight w:val="0"/>
      <w:marTop w:val="0"/>
      <w:marBottom w:val="0"/>
      <w:divBdr>
        <w:top w:val="none" w:sz="0" w:space="0" w:color="auto"/>
        <w:left w:val="none" w:sz="0" w:space="0" w:color="auto"/>
        <w:bottom w:val="none" w:sz="0" w:space="0" w:color="auto"/>
        <w:right w:val="none" w:sz="0" w:space="0" w:color="auto"/>
      </w:divBdr>
    </w:div>
    <w:div w:id="146171227">
      <w:bodyDiv w:val="1"/>
      <w:marLeft w:val="0"/>
      <w:marRight w:val="0"/>
      <w:marTop w:val="0"/>
      <w:marBottom w:val="0"/>
      <w:divBdr>
        <w:top w:val="none" w:sz="0" w:space="0" w:color="auto"/>
        <w:left w:val="none" w:sz="0" w:space="0" w:color="auto"/>
        <w:bottom w:val="none" w:sz="0" w:space="0" w:color="auto"/>
        <w:right w:val="none" w:sz="0" w:space="0" w:color="auto"/>
      </w:divBdr>
    </w:div>
    <w:div w:id="163404720">
      <w:bodyDiv w:val="1"/>
      <w:marLeft w:val="0"/>
      <w:marRight w:val="0"/>
      <w:marTop w:val="0"/>
      <w:marBottom w:val="0"/>
      <w:divBdr>
        <w:top w:val="none" w:sz="0" w:space="0" w:color="auto"/>
        <w:left w:val="none" w:sz="0" w:space="0" w:color="auto"/>
        <w:bottom w:val="none" w:sz="0" w:space="0" w:color="auto"/>
        <w:right w:val="none" w:sz="0" w:space="0" w:color="auto"/>
      </w:divBdr>
    </w:div>
    <w:div w:id="166797754">
      <w:bodyDiv w:val="1"/>
      <w:marLeft w:val="0"/>
      <w:marRight w:val="0"/>
      <w:marTop w:val="0"/>
      <w:marBottom w:val="0"/>
      <w:divBdr>
        <w:top w:val="none" w:sz="0" w:space="0" w:color="auto"/>
        <w:left w:val="none" w:sz="0" w:space="0" w:color="auto"/>
        <w:bottom w:val="none" w:sz="0" w:space="0" w:color="auto"/>
        <w:right w:val="none" w:sz="0" w:space="0" w:color="auto"/>
      </w:divBdr>
    </w:div>
    <w:div w:id="186213491">
      <w:bodyDiv w:val="1"/>
      <w:marLeft w:val="0"/>
      <w:marRight w:val="0"/>
      <w:marTop w:val="0"/>
      <w:marBottom w:val="0"/>
      <w:divBdr>
        <w:top w:val="none" w:sz="0" w:space="0" w:color="auto"/>
        <w:left w:val="none" w:sz="0" w:space="0" w:color="auto"/>
        <w:bottom w:val="none" w:sz="0" w:space="0" w:color="auto"/>
        <w:right w:val="none" w:sz="0" w:space="0" w:color="auto"/>
      </w:divBdr>
    </w:div>
    <w:div w:id="189494090">
      <w:bodyDiv w:val="1"/>
      <w:marLeft w:val="0"/>
      <w:marRight w:val="0"/>
      <w:marTop w:val="0"/>
      <w:marBottom w:val="0"/>
      <w:divBdr>
        <w:top w:val="none" w:sz="0" w:space="0" w:color="auto"/>
        <w:left w:val="none" w:sz="0" w:space="0" w:color="auto"/>
        <w:bottom w:val="none" w:sz="0" w:space="0" w:color="auto"/>
        <w:right w:val="none" w:sz="0" w:space="0" w:color="auto"/>
      </w:divBdr>
    </w:div>
    <w:div w:id="211775818">
      <w:bodyDiv w:val="1"/>
      <w:marLeft w:val="0"/>
      <w:marRight w:val="0"/>
      <w:marTop w:val="0"/>
      <w:marBottom w:val="0"/>
      <w:divBdr>
        <w:top w:val="none" w:sz="0" w:space="0" w:color="auto"/>
        <w:left w:val="none" w:sz="0" w:space="0" w:color="auto"/>
        <w:bottom w:val="none" w:sz="0" w:space="0" w:color="auto"/>
        <w:right w:val="none" w:sz="0" w:space="0" w:color="auto"/>
      </w:divBdr>
    </w:div>
    <w:div w:id="217281396">
      <w:bodyDiv w:val="1"/>
      <w:marLeft w:val="0"/>
      <w:marRight w:val="0"/>
      <w:marTop w:val="0"/>
      <w:marBottom w:val="0"/>
      <w:divBdr>
        <w:top w:val="none" w:sz="0" w:space="0" w:color="auto"/>
        <w:left w:val="none" w:sz="0" w:space="0" w:color="auto"/>
        <w:bottom w:val="none" w:sz="0" w:space="0" w:color="auto"/>
        <w:right w:val="none" w:sz="0" w:space="0" w:color="auto"/>
      </w:divBdr>
    </w:div>
    <w:div w:id="220794451">
      <w:bodyDiv w:val="1"/>
      <w:marLeft w:val="0"/>
      <w:marRight w:val="0"/>
      <w:marTop w:val="0"/>
      <w:marBottom w:val="0"/>
      <w:divBdr>
        <w:top w:val="none" w:sz="0" w:space="0" w:color="auto"/>
        <w:left w:val="none" w:sz="0" w:space="0" w:color="auto"/>
        <w:bottom w:val="none" w:sz="0" w:space="0" w:color="auto"/>
        <w:right w:val="none" w:sz="0" w:space="0" w:color="auto"/>
      </w:divBdr>
    </w:div>
    <w:div w:id="238290871">
      <w:bodyDiv w:val="1"/>
      <w:marLeft w:val="0"/>
      <w:marRight w:val="0"/>
      <w:marTop w:val="0"/>
      <w:marBottom w:val="0"/>
      <w:divBdr>
        <w:top w:val="none" w:sz="0" w:space="0" w:color="auto"/>
        <w:left w:val="none" w:sz="0" w:space="0" w:color="auto"/>
        <w:bottom w:val="none" w:sz="0" w:space="0" w:color="auto"/>
        <w:right w:val="none" w:sz="0" w:space="0" w:color="auto"/>
      </w:divBdr>
    </w:div>
    <w:div w:id="257833390">
      <w:bodyDiv w:val="1"/>
      <w:marLeft w:val="0"/>
      <w:marRight w:val="0"/>
      <w:marTop w:val="0"/>
      <w:marBottom w:val="0"/>
      <w:divBdr>
        <w:top w:val="none" w:sz="0" w:space="0" w:color="auto"/>
        <w:left w:val="none" w:sz="0" w:space="0" w:color="auto"/>
        <w:bottom w:val="none" w:sz="0" w:space="0" w:color="auto"/>
        <w:right w:val="none" w:sz="0" w:space="0" w:color="auto"/>
      </w:divBdr>
    </w:div>
    <w:div w:id="293414485">
      <w:bodyDiv w:val="1"/>
      <w:marLeft w:val="0"/>
      <w:marRight w:val="0"/>
      <w:marTop w:val="0"/>
      <w:marBottom w:val="0"/>
      <w:divBdr>
        <w:top w:val="none" w:sz="0" w:space="0" w:color="auto"/>
        <w:left w:val="none" w:sz="0" w:space="0" w:color="auto"/>
        <w:bottom w:val="none" w:sz="0" w:space="0" w:color="auto"/>
        <w:right w:val="none" w:sz="0" w:space="0" w:color="auto"/>
      </w:divBdr>
    </w:div>
    <w:div w:id="295568456">
      <w:bodyDiv w:val="1"/>
      <w:marLeft w:val="0"/>
      <w:marRight w:val="0"/>
      <w:marTop w:val="0"/>
      <w:marBottom w:val="0"/>
      <w:divBdr>
        <w:top w:val="none" w:sz="0" w:space="0" w:color="auto"/>
        <w:left w:val="none" w:sz="0" w:space="0" w:color="auto"/>
        <w:bottom w:val="none" w:sz="0" w:space="0" w:color="auto"/>
        <w:right w:val="none" w:sz="0" w:space="0" w:color="auto"/>
      </w:divBdr>
    </w:div>
    <w:div w:id="300231429">
      <w:bodyDiv w:val="1"/>
      <w:marLeft w:val="0"/>
      <w:marRight w:val="0"/>
      <w:marTop w:val="0"/>
      <w:marBottom w:val="0"/>
      <w:divBdr>
        <w:top w:val="none" w:sz="0" w:space="0" w:color="auto"/>
        <w:left w:val="none" w:sz="0" w:space="0" w:color="auto"/>
        <w:bottom w:val="none" w:sz="0" w:space="0" w:color="auto"/>
        <w:right w:val="none" w:sz="0" w:space="0" w:color="auto"/>
      </w:divBdr>
    </w:div>
    <w:div w:id="304892590">
      <w:bodyDiv w:val="1"/>
      <w:marLeft w:val="0"/>
      <w:marRight w:val="0"/>
      <w:marTop w:val="0"/>
      <w:marBottom w:val="0"/>
      <w:divBdr>
        <w:top w:val="none" w:sz="0" w:space="0" w:color="auto"/>
        <w:left w:val="none" w:sz="0" w:space="0" w:color="auto"/>
        <w:bottom w:val="none" w:sz="0" w:space="0" w:color="auto"/>
        <w:right w:val="none" w:sz="0" w:space="0" w:color="auto"/>
      </w:divBdr>
    </w:div>
    <w:div w:id="317850261">
      <w:bodyDiv w:val="1"/>
      <w:marLeft w:val="0"/>
      <w:marRight w:val="0"/>
      <w:marTop w:val="0"/>
      <w:marBottom w:val="0"/>
      <w:divBdr>
        <w:top w:val="none" w:sz="0" w:space="0" w:color="auto"/>
        <w:left w:val="none" w:sz="0" w:space="0" w:color="auto"/>
        <w:bottom w:val="none" w:sz="0" w:space="0" w:color="auto"/>
        <w:right w:val="none" w:sz="0" w:space="0" w:color="auto"/>
      </w:divBdr>
    </w:div>
    <w:div w:id="319700172">
      <w:bodyDiv w:val="1"/>
      <w:marLeft w:val="0"/>
      <w:marRight w:val="0"/>
      <w:marTop w:val="0"/>
      <w:marBottom w:val="0"/>
      <w:divBdr>
        <w:top w:val="none" w:sz="0" w:space="0" w:color="auto"/>
        <w:left w:val="none" w:sz="0" w:space="0" w:color="auto"/>
        <w:bottom w:val="none" w:sz="0" w:space="0" w:color="auto"/>
        <w:right w:val="none" w:sz="0" w:space="0" w:color="auto"/>
      </w:divBdr>
    </w:div>
    <w:div w:id="346519478">
      <w:bodyDiv w:val="1"/>
      <w:marLeft w:val="0"/>
      <w:marRight w:val="0"/>
      <w:marTop w:val="0"/>
      <w:marBottom w:val="0"/>
      <w:divBdr>
        <w:top w:val="none" w:sz="0" w:space="0" w:color="auto"/>
        <w:left w:val="none" w:sz="0" w:space="0" w:color="auto"/>
        <w:bottom w:val="none" w:sz="0" w:space="0" w:color="auto"/>
        <w:right w:val="none" w:sz="0" w:space="0" w:color="auto"/>
      </w:divBdr>
    </w:div>
    <w:div w:id="363596202">
      <w:bodyDiv w:val="1"/>
      <w:marLeft w:val="0"/>
      <w:marRight w:val="0"/>
      <w:marTop w:val="0"/>
      <w:marBottom w:val="0"/>
      <w:divBdr>
        <w:top w:val="none" w:sz="0" w:space="0" w:color="auto"/>
        <w:left w:val="none" w:sz="0" w:space="0" w:color="auto"/>
        <w:bottom w:val="none" w:sz="0" w:space="0" w:color="auto"/>
        <w:right w:val="none" w:sz="0" w:space="0" w:color="auto"/>
      </w:divBdr>
    </w:div>
    <w:div w:id="396632507">
      <w:bodyDiv w:val="1"/>
      <w:marLeft w:val="0"/>
      <w:marRight w:val="0"/>
      <w:marTop w:val="0"/>
      <w:marBottom w:val="0"/>
      <w:divBdr>
        <w:top w:val="none" w:sz="0" w:space="0" w:color="auto"/>
        <w:left w:val="none" w:sz="0" w:space="0" w:color="auto"/>
        <w:bottom w:val="none" w:sz="0" w:space="0" w:color="auto"/>
        <w:right w:val="none" w:sz="0" w:space="0" w:color="auto"/>
      </w:divBdr>
    </w:div>
    <w:div w:id="412974255">
      <w:bodyDiv w:val="1"/>
      <w:marLeft w:val="0"/>
      <w:marRight w:val="0"/>
      <w:marTop w:val="0"/>
      <w:marBottom w:val="0"/>
      <w:divBdr>
        <w:top w:val="none" w:sz="0" w:space="0" w:color="auto"/>
        <w:left w:val="none" w:sz="0" w:space="0" w:color="auto"/>
        <w:bottom w:val="none" w:sz="0" w:space="0" w:color="auto"/>
        <w:right w:val="none" w:sz="0" w:space="0" w:color="auto"/>
      </w:divBdr>
    </w:div>
    <w:div w:id="427505216">
      <w:bodyDiv w:val="1"/>
      <w:marLeft w:val="0"/>
      <w:marRight w:val="0"/>
      <w:marTop w:val="0"/>
      <w:marBottom w:val="0"/>
      <w:divBdr>
        <w:top w:val="none" w:sz="0" w:space="0" w:color="auto"/>
        <w:left w:val="none" w:sz="0" w:space="0" w:color="auto"/>
        <w:bottom w:val="none" w:sz="0" w:space="0" w:color="auto"/>
        <w:right w:val="none" w:sz="0" w:space="0" w:color="auto"/>
      </w:divBdr>
    </w:div>
    <w:div w:id="436096879">
      <w:bodyDiv w:val="1"/>
      <w:marLeft w:val="0"/>
      <w:marRight w:val="0"/>
      <w:marTop w:val="0"/>
      <w:marBottom w:val="0"/>
      <w:divBdr>
        <w:top w:val="none" w:sz="0" w:space="0" w:color="auto"/>
        <w:left w:val="none" w:sz="0" w:space="0" w:color="auto"/>
        <w:bottom w:val="none" w:sz="0" w:space="0" w:color="auto"/>
        <w:right w:val="none" w:sz="0" w:space="0" w:color="auto"/>
      </w:divBdr>
    </w:div>
    <w:div w:id="449204143">
      <w:bodyDiv w:val="1"/>
      <w:marLeft w:val="0"/>
      <w:marRight w:val="0"/>
      <w:marTop w:val="0"/>
      <w:marBottom w:val="0"/>
      <w:divBdr>
        <w:top w:val="none" w:sz="0" w:space="0" w:color="auto"/>
        <w:left w:val="none" w:sz="0" w:space="0" w:color="auto"/>
        <w:bottom w:val="none" w:sz="0" w:space="0" w:color="auto"/>
        <w:right w:val="none" w:sz="0" w:space="0" w:color="auto"/>
      </w:divBdr>
    </w:div>
    <w:div w:id="449325354">
      <w:bodyDiv w:val="1"/>
      <w:marLeft w:val="0"/>
      <w:marRight w:val="0"/>
      <w:marTop w:val="0"/>
      <w:marBottom w:val="0"/>
      <w:divBdr>
        <w:top w:val="none" w:sz="0" w:space="0" w:color="auto"/>
        <w:left w:val="none" w:sz="0" w:space="0" w:color="auto"/>
        <w:bottom w:val="none" w:sz="0" w:space="0" w:color="auto"/>
        <w:right w:val="none" w:sz="0" w:space="0" w:color="auto"/>
      </w:divBdr>
    </w:div>
    <w:div w:id="460465911">
      <w:bodyDiv w:val="1"/>
      <w:marLeft w:val="0"/>
      <w:marRight w:val="0"/>
      <w:marTop w:val="0"/>
      <w:marBottom w:val="0"/>
      <w:divBdr>
        <w:top w:val="none" w:sz="0" w:space="0" w:color="auto"/>
        <w:left w:val="none" w:sz="0" w:space="0" w:color="auto"/>
        <w:bottom w:val="none" w:sz="0" w:space="0" w:color="auto"/>
        <w:right w:val="none" w:sz="0" w:space="0" w:color="auto"/>
      </w:divBdr>
    </w:div>
    <w:div w:id="469903090">
      <w:bodyDiv w:val="1"/>
      <w:marLeft w:val="0"/>
      <w:marRight w:val="0"/>
      <w:marTop w:val="0"/>
      <w:marBottom w:val="0"/>
      <w:divBdr>
        <w:top w:val="none" w:sz="0" w:space="0" w:color="auto"/>
        <w:left w:val="none" w:sz="0" w:space="0" w:color="auto"/>
        <w:bottom w:val="none" w:sz="0" w:space="0" w:color="auto"/>
        <w:right w:val="none" w:sz="0" w:space="0" w:color="auto"/>
      </w:divBdr>
    </w:div>
    <w:div w:id="474488281">
      <w:bodyDiv w:val="1"/>
      <w:marLeft w:val="0"/>
      <w:marRight w:val="0"/>
      <w:marTop w:val="0"/>
      <w:marBottom w:val="0"/>
      <w:divBdr>
        <w:top w:val="none" w:sz="0" w:space="0" w:color="auto"/>
        <w:left w:val="none" w:sz="0" w:space="0" w:color="auto"/>
        <w:bottom w:val="none" w:sz="0" w:space="0" w:color="auto"/>
        <w:right w:val="none" w:sz="0" w:space="0" w:color="auto"/>
      </w:divBdr>
    </w:div>
    <w:div w:id="484207807">
      <w:bodyDiv w:val="1"/>
      <w:marLeft w:val="0"/>
      <w:marRight w:val="0"/>
      <w:marTop w:val="0"/>
      <w:marBottom w:val="0"/>
      <w:divBdr>
        <w:top w:val="none" w:sz="0" w:space="0" w:color="auto"/>
        <w:left w:val="none" w:sz="0" w:space="0" w:color="auto"/>
        <w:bottom w:val="none" w:sz="0" w:space="0" w:color="auto"/>
        <w:right w:val="none" w:sz="0" w:space="0" w:color="auto"/>
      </w:divBdr>
    </w:div>
    <w:div w:id="485631519">
      <w:bodyDiv w:val="1"/>
      <w:marLeft w:val="0"/>
      <w:marRight w:val="0"/>
      <w:marTop w:val="0"/>
      <w:marBottom w:val="0"/>
      <w:divBdr>
        <w:top w:val="none" w:sz="0" w:space="0" w:color="auto"/>
        <w:left w:val="none" w:sz="0" w:space="0" w:color="auto"/>
        <w:bottom w:val="none" w:sz="0" w:space="0" w:color="auto"/>
        <w:right w:val="none" w:sz="0" w:space="0" w:color="auto"/>
      </w:divBdr>
    </w:div>
    <w:div w:id="497576204">
      <w:bodyDiv w:val="1"/>
      <w:marLeft w:val="0"/>
      <w:marRight w:val="0"/>
      <w:marTop w:val="0"/>
      <w:marBottom w:val="0"/>
      <w:divBdr>
        <w:top w:val="none" w:sz="0" w:space="0" w:color="auto"/>
        <w:left w:val="none" w:sz="0" w:space="0" w:color="auto"/>
        <w:bottom w:val="none" w:sz="0" w:space="0" w:color="auto"/>
        <w:right w:val="none" w:sz="0" w:space="0" w:color="auto"/>
      </w:divBdr>
    </w:div>
    <w:div w:id="503712597">
      <w:bodyDiv w:val="1"/>
      <w:marLeft w:val="0"/>
      <w:marRight w:val="0"/>
      <w:marTop w:val="0"/>
      <w:marBottom w:val="0"/>
      <w:divBdr>
        <w:top w:val="none" w:sz="0" w:space="0" w:color="auto"/>
        <w:left w:val="none" w:sz="0" w:space="0" w:color="auto"/>
        <w:bottom w:val="none" w:sz="0" w:space="0" w:color="auto"/>
        <w:right w:val="none" w:sz="0" w:space="0" w:color="auto"/>
      </w:divBdr>
    </w:div>
    <w:div w:id="513569965">
      <w:bodyDiv w:val="1"/>
      <w:marLeft w:val="0"/>
      <w:marRight w:val="0"/>
      <w:marTop w:val="0"/>
      <w:marBottom w:val="0"/>
      <w:divBdr>
        <w:top w:val="none" w:sz="0" w:space="0" w:color="auto"/>
        <w:left w:val="none" w:sz="0" w:space="0" w:color="auto"/>
        <w:bottom w:val="none" w:sz="0" w:space="0" w:color="auto"/>
        <w:right w:val="none" w:sz="0" w:space="0" w:color="auto"/>
      </w:divBdr>
    </w:div>
    <w:div w:id="527523202">
      <w:bodyDiv w:val="1"/>
      <w:marLeft w:val="0"/>
      <w:marRight w:val="0"/>
      <w:marTop w:val="0"/>
      <w:marBottom w:val="0"/>
      <w:divBdr>
        <w:top w:val="none" w:sz="0" w:space="0" w:color="auto"/>
        <w:left w:val="none" w:sz="0" w:space="0" w:color="auto"/>
        <w:bottom w:val="none" w:sz="0" w:space="0" w:color="auto"/>
        <w:right w:val="none" w:sz="0" w:space="0" w:color="auto"/>
      </w:divBdr>
    </w:div>
    <w:div w:id="530651523">
      <w:bodyDiv w:val="1"/>
      <w:marLeft w:val="0"/>
      <w:marRight w:val="0"/>
      <w:marTop w:val="0"/>
      <w:marBottom w:val="0"/>
      <w:divBdr>
        <w:top w:val="none" w:sz="0" w:space="0" w:color="auto"/>
        <w:left w:val="none" w:sz="0" w:space="0" w:color="auto"/>
        <w:bottom w:val="none" w:sz="0" w:space="0" w:color="auto"/>
        <w:right w:val="none" w:sz="0" w:space="0" w:color="auto"/>
      </w:divBdr>
    </w:div>
    <w:div w:id="539905531">
      <w:bodyDiv w:val="1"/>
      <w:marLeft w:val="0"/>
      <w:marRight w:val="0"/>
      <w:marTop w:val="0"/>
      <w:marBottom w:val="0"/>
      <w:divBdr>
        <w:top w:val="none" w:sz="0" w:space="0" w:color="auto"/>
        <w:left w:val="none" w:sz="0" w:space="0" w:color="auto"/>
        <w:bottom w:val="none" w:sz="0" w:space="0" w:color="auto"/>
        <w:right w:val="none" w:sz="0" w:space="0" w:color="auto"/>
      </w:divBdr>
    </w:div>
    <w:div w:id="542329130">
      <w:bodyDiv w:val="1"/>
      <w:marLeft w:val="0"/>
      <w:marRight w:val="0"/>
      <w:marTop w:val="0"/>
      <w:marBottom w:val="0"/>
      <w:divBdr>
        <w:top w:val="none" w:sz="0" w:space="0" w:color="auto"/>
        <w:left w:val="none" w:sz="0" w:space="0" w:color="auto"/>
        <w:bottom w:val="none" w:sz="0" w:space="0" w:color="auto"/>
        <w:right w:val="none" w:sz="0" w:space="0" w:color="auto"/>
      </w:divBdr>
    </w:div>
    <w:div w:id="550772120">
      <w:bodyDiv w:val="1"/>
      <w:marLeft w:val="0"/>
      <w:marRight w:val="0"/>
      <w:marTop w:val="0"/>
      <w:marBottom w:val="0"/>
      <w:divBdr>
        <w:top w:val="none" w:sz="0" w:space="0" w:color="auto"/>
        <w:left w:val="none" w:sz="0" w:space="0" w:color="auto"/>
        <w:bottom w:val="none" w:sz="0" w:space="0" w:color="auto"/>
        <w:right w:val="none" w:sz="0" w:space="0" w:color="auto"/>
      </w:divBdr>
    </w:div>
    <w:div w:id="569313809">
      <w:bodyDiv w:val="1"/>
      <w:marLeft w:val="0"/>
      <w:marRight w:val="0"/>
      <w:marTop w:val="0"/>
      <w:marBottom w:val="0"/>
      <w:divBdr>
        <w:top w:val="none" w:sz="0" w:space="0" w:color="auto"/>
        <w:left w:val="none" w:sz="0" w:space="0" w:color="auto"/>
        <w:bottom w:val="none" w:sz="0" w:space="0" w:color="auto"/>
        <w:right w:val="none" w:sz="0" w:space="0" w:color="auto"/>
      </w:divBdr>
    </w:div>
    <w:div w:id="581767356">
      <w:bodyDiv w:val="1"/>
      <w:marLeft w:val="0"/>
      <w:marRight w:val="0"/>
      <w:marTop w:val="0"/>
      <w:marBottom w:val="0"/>
      <w:divBdr>
        <w:top w:val="none" w:sz="0" w:space="0" w:color="auto"/>
        <w:left w:val="none" w:sz="0" w:space="0" w:color="auto"/>
        <w:bottom w:val="none" w:sz="0" w:space="0" w:color="auto"/>
        <w:right w:val="none" w:sz="0" w:space="0" w:color="auto"/>
      </w:divBdr>
    </w:div>
    <w:div w:id="582642126">
      <w:bodyDiv w:val="1"/>
      <w:marLeft w:val="0"/>
      <w:marRight w:val="0"/>
      <w:marTop w:val="0"/>
      <w:marBottom w:val="0"/>
      <w:divBdr>
        <w:top w:val="none" w:sz="0" w:space="0" w:color="auto"/>
        <w:left w:val="none" w:sz="0" w:space="0" w:color="auto"/>
        <w:bottom w:val="none" w:sz="0" w:space="0" w:color="auto"/>
        <w:right w:val="none" w:sz="0" w:space="0" w:color="auto"/>
      </w:divBdr>
    </w:div>
    <w:div w:id="597372584">
      <w:bodyDiv w:val="1"/>
      <w:marLeft w:val="0"/>
      <w:marRight w:val="0"/>
      <w:marTop w:val="0"/>
      <w:marBottom w:val="0"/>
      <w:divBdr>
        <w:top w:val="none" w:sz="0" w:space="0" w:color="auto"/>
        <w:left w:val="none" w:sz="0" w:space="0" w:color="auto"/>
        <w:bottom w:val="none" w:sz="0" w:space="0" w:color="auto"/>
        <w:right w:val="none" w:sz="0" w:space="0" w:color="auto"/>
      </w:divBdr>
    </w:div>
    <w:div w:id="605767309">
      <w:bodyDiv w:val="1"/>
      <w:marLeft w:val="0"/>
      <w:marRight w:val="0"/>
      <w:marTop w:val="0"/>
      <w:marBottom w:val="0"/>
      <w:divBdr>
        <w:top w:val="none" w:sz="0" w:space="0" w:color="auto"/>
        <w:left w:val="none" w:sz="0" w:space="0" w:color="auto"/>
        <w:bottom w:val="none" w:sz="0" w:space="0" w:color="auto"/>
        <w:right w:val="none" w:sz="0" w:space="0" w:color="auto"/>
      </w:divBdr>
    </w:div>
    <w:div w:id="610821430">
      <w:bodyDiv w:val="1"/>
      <w:marLeft w:val="0"/>
      <w:marRight w:val="0"/>
      <w:marTop w:val="0"/>
      <w:marBottom w:val="0"/>
      <w:divBdr>
        <w:top w:val="none" w:sz="0" w:space="0" w:color="auto"/>
        <w:left w:val="none" w:sz="0" w:space="0" w:color="auto"/>
        <w:bottom w:val="none" w:sz="0" w:space="0" w:color="auto"/>
        <w:right w:val="none" w:sz="0" w:space="0" w:color="auto"/>
      </w:divBdr>
    </w:div>
    <w:div w:id="627901750">
      <w:bodyDiv w:val="1"/>
      <w:marLeft w:val="0"/>
      <w:marRight w:val="0"/>
      <w:marTop w:val="0"/>
      <w:marBottom w:val="0"/>
      <w:divBdr>
        <w:top w:val="none" w:sz="0" w:space="0" w:color="auto"/>
        <w:left w:val="none" w:sz="0" w:space="0" w:color="auto"/>
        <w:bottom w:val="none" w:sz="0" w:space="0" w:color="auto"/>
        <w:right w:val="none" w:sz="0" w:space="0" w:color="auto"/>
      </w:divBdr>
    </w:div>
    <w:div w:id="629240715">
      <w:bodyDiv w:val="1"/>
      <w:marLeft w:val="0"/>
      <w:marRight w:val="0"/>
      <w:marTop w:val="0"/>
      <w:marBottom w:val="0"/>
      <w:divBdr>
        <w:top w:val="none" w:sz="0" w:space="0" w:color="auto"/>
        <w:left w:val="none" w:sz="0" w:space="0" w:color="auto"/>
        <w:bottom w:val="none" w:sz="0" w:space="0" w:color="auto"/>
        <w:right w:val="none" w:sz="0" w:space="0" w:color="auto"/>
      </w:divBdr>
    </w:div>
    <w:div w:id="635334222">
      <w:bodyDiv w:val="1"/>
      <w:marLeft w:val="0"/>
      <w:marRight w:val="0"/>
      <w:marTop w:val="0"/>
      <w:marBottom w:val="0"/>
      <w:divBdr>
        <w:top w:val="none" w:sz="0" w:space="0" w:color="auto"/>
        <w:left w:val="none" w:sz="0" w:space="0" w:color="auto"/>
        <w:bottom w:val="none" w:sz="0" w:space="0" w:color="auto"/>
        <w:right w:val="none" w:sz="0" w:space="0" w:color="auto"/>
      </w:divBdr>
    </w:div>
    <w:div w:id="637539612">
      <w:bodyDiv w:val="1"/>
      <w:marLeft w:val="0"/>
      <w:marRight w:val="0"/>
      <w:marTop w:val="0"/>
      <w:marBottom w:val="0"/>
      <w:divBdr>
        <w:top w:val="none" w:sz="0" w:space="0" w:color="auto"/>
        <w:left w:val="none" w:sz="0" w:space="0" w:color="auto"/>
        <w:bottom w:val="none" w:sz="0" w:space="0" w:color="auto"/>
        <w:right w:val="none" w:sz="0" w:space="0" w:color="auto"/>
      </w:divBdr>
    </w:div>
    <w:div w:id="643699013">
      <w:bodyDiv w:val="1"/>
      <w:marLeft w:val="0"/>
      <w:marRight w:val="0"/>
      <w:marTop w:val="0"/>
      <w:marBottom w:val="0"/>
      <w:divBdr>
        <w:top w:val="none" w:sz="0" w:space="0" w:color="auto"/>
        <w:left w:val="none" w:sz="0" w:space="0" w:color="auto"/>
        <w:bottom w:val="none" w:sz="0" w:space="0" w:color="auto"/>
        <w:right w:val="none" w:sz="0" w:space="0" w:color="auto"/>
      </w:divBdr>
    </w:div>
    <w:div w:id="648750548">
      <w:bodyDiv w:val="1"/>
      <w:marLeft w:val="0"/>
      <w:marRight w:val="0"/>
      <w:marTop w:val="0"/>
      <w:marBottom w:val="0"/>
      <w:divBdr>
        <w:top w:val="none" w:sz="0" w:space="0" w:color="auto"/>
        <w:left w:val="none" w:sz="0" w:space="0" w:color="auto"/>
        <w:bottom w:val="none" w:sz="0" w:space="0" w:color="auto"/>
        <w:right w:val="none" w:sz="0" w:space="0" w:color="auto"/>
      </w:divBdr>
    </w:div>
    <w:div w:id="685205609">
      <w:bodyDiv w:val="1"/>
      <w:marLeft w:val="0"/>
      <w:marRight w:val="0"/>
      <w:marTop w:val="0"/>
      <w:marBottom w:val="0"/>
      <w:divBdr>
        <w:top w:val="none" w:sz="0" w:space="0" w:color="auto"/>
        <w:left w:val="none" w:sz="0" w:space="0" w:color="auto"/>
        <w:bottom w:val="none" w:sz="0" w:space="0" w:color="auto"/>
        <w:right w:val="none" w:sz="0" w:space="0" w:color="auto"/>
      </w:divBdr>
    </w:div>
    <w:div w:id="685907002">
      <w:bodyDiv w:val="1"/>
      <w:marLeft w:val="0"/>
      <w:marRight w:val="0"/>
      <w:marTop w:val="0"/>
      <w:marBottom w:val="0"/>
      <w:divBdr>
        <w:top w:val="none" w:sz="0" w:space="0" w:color="auto"/>
        <w:left w:val="none" w:sz="0" w:space="0" w:color="auto"/>
        <w:bottom w:val="none" w:sz="0" w:space="0" w:color="auto"/>
        <w:right w:val="none" w:sz="0" w:space="0" w:color="auto"/>
      </w:divBdr>
    </w:div>
    <w:div w:id="735785449">
      <w:bodyDiv w:val="1"/>
      <w:marLeft w:val="0"/>
      <w:marRight w:val="0"/>
      <w:marTop w:val="0"/>
      <w:marBottom w:val="0"/>
      <w:divBdr>
        <w:top w:val="none" w:sz="0" w:space="0" w:color="auto"/>
        <w:left w:val="none" w:sz="0" w:space="0" w:color="auto"/>
        <w:bottom w:val="none" w:sz="0" w:space="0" w:color="auto"/>
        <w:right w:val="none" w:sz="0" w:space="0" w:color="auto"/>
      </w:divBdr>
    </w:div>
    <w:div w:id="750585796">
      <w:bodyDiv w:val="1"/>
      <w:marLeft w:val="0"/>
      <w:marRight w:val="0"/>
      <w:marTop w:val="0"/>
      <w:marBottom w:val="0"/>
      <w:divBdr>
        <w:top w:val="none" w:sz="0" w:space="0" w:color="auto"/>
        <w:left w:val="none" w:sz="0" w:space="0" w:color="auto"/>
        <w:bottom w:val="none" w:sz="0" w:space="0" w:color="auto"/>
        <w:right w:val="none" w:sz="0" w:space="0" w:color="auto"/>
      </w:divBdr>
    </w:div>
    <w:div w:id="793602329">
      <w:bodyDiv w:val="1"/>
      <w:marLeft w:val="0"/>
      <w:marRight w:val="0"/>
      <w:marTop w:val="0"/>
      <w:marBottom w:val="0"/>
      <w:divBdr>
        <w:top w:val="none" w:sz="0" w:space="0" w:color="auto"/>
        <w:left w:val="none" w:sz="0" w:space="0" w:color="auto"/>
        <w:bottom w:val="none" w:sz="0" w:space="0" w:color="auto"/>
        <w:right w:val="none" w:sz="0" w:space="0" w:color="auto"/>
      </w:divBdr>
    </w:div>
    <w:div w:id="806094555">
      <w:bodyDiv w:val="1"/>
      <w:marLeft w:val="0"/>
      <w:marRight w:val="0"/>
      <w:marTop w:val="0"/>
      <w:marBottom w:val="0"/>
      <w:divBdr>
        <w:top w:val="none" w:sz="0" w:space="0" w:color="auto"/>
        <w:left w:val="none" w:sz="0" w:space="0" w:color="auto"/>
        <w:bottom w:val="none" w:sz="0" w:space="0" w:color="auto"/>
        <w:right w:val="none" w:sz="0" w:space="0" w:color="auto"/>
      </w:divBdr>
    </w:div>
    <w:div w:id="807165395">
      <w:bodyDiv w:val="1"/>
      <w:marLeft w:val="0"/>
      <w:marRight w:val="0"/>
      <w:marTop w:val="0"/>
      <w:marBottom w:val="0"/>
      <w:divBdr>
        <w:top w:val="none" w:sz="0" w:space="0" w:color="auto"/>
        <w:left w:val="none" w:sz="0" w:space="0" w:color="auto"/>
        <w:bottom w:val="none" w:sz="0" w:space="0" w:color="auto"/>
        <w:right w:val="none" w:sz="0" w:space="0" w:color="auto"/>
      </w:divBdr>
    </w:div>
    <w:div w:id="811606457">
      <w:bodyDiv w:val="1"/>
      <w:marLeft w:val="0"/>
      <w:marRight w:val="0"/>
      <w:marTop w:val="0"/>
      <w:marBottom w:val="0"/>
      <w:divBdr>
        <w:top w:val="none" w:sz="0" w:space="0" w:color="auto"/>
        <w:left w:val="none" w:sz="0" w:space="0" w:color="auto"/>
        <w:bottom w:val="none" w:sz="0" w:space="0" w:color="auto"/>
        <w:right w:val="none" w:sz="0" w:space="0" w:color="auto"/>
      </w:divBdr>
    </w:div>
    <w:div w:id="827860820">
      <w:bodyDiv w:val="1"/>
      <w:marLeft w:val="0"/>
      <w:marRight w:val="0"/>
      <w:marTop w:val="0"/>
      <w:marBottom w:val="0"/>
      <w:divBdr>
        <w:top w:val="none" w:sz="0" w:space="0" w:color="auto"/>
        <w:left w:val="none" w:sz="0" w:space="0" w:color="auto"/>
        <w:bottom w:val="none" w:sz="0" w:space="0" w:color="auto"/>
        <w:right w:val="none" w:sz="0" w:space="0" w:color="auto"/>
      </w:divBdr>
    </w:div>
    <w:div w:id="839734038">
      <w:bodyDiv w:val="1"/>
      <w:marLeft w:val="0"/>
      <w:marRight w:val="0"/>
      <w:marTop w:val="0"/>
      <w:marBottom w:val="0"/>
      <w:divBdr>
        <w:top w:val="none" w:sz="0" w:space="0" w:color="auto"/>
        <w:left w:val="none" w:sz="0" w:space="0" w:color="auto"/>
        <w:bottom w:val="none" w:sz="0" w:space="0" w:color="auto"/>
        <w:right w:val="none" w:sz="0" w:space="0" w:color="auto"/>
      </w:divBdr>
    </w:div>
    <w:div w:id="839927727">
      <w:bodyDiv w:val="1"/>
      <w:marLeft w:val="0"/>
      <w:marRight w:val="0"/>
      <w:marTop w:val="0"/>
      <w:marBottom w:val="0"/>
      <w:divBdr>
        <w:top w:val="none" w:sz="0" w:space="0" w:color="auto"/>
        <w:left w:val="none" w:sz="0" w:space="0" w:color="auto"/>
        <w:bottom w:val="none" w:sz="0" w:space="0" w:color="auto"/>
        <w:right w:val="none" w:sz="0" w:space="0" w:color="auto"/>
      </w:divBdr>
    </w:div>
    <w:div w:id="853764301">
      <w:bodyDiv w:val="1"/>
      <w:marLeft w:val="0"/>
      <w:marRight w:val="0"/>
      <w:marTop w:val="0"/>
      <w:marBottom w:val="0"/>
      <w:divBdr>
        <w:top w:val="none" w:sz="0" w:space="0" w:color="auto"/>
        <w:left w:val="none" w:sz="0" w:space="0" w:color="auto"/>
        <w:bottom w:val="none" w:sz="0" w:space="0" w:color="auto"/>
        <w:right w:val="none" w:sz="0" w:space="0" w:color="auto"/>
      </w:divBdr>
    </w:div>
    <w:div w:id="869759068">
      <w:bodyDiv w:val="1"/>
      <w:marLeft w:val="0"/>
      <w:marRight w:val="0"/>
      <w:marTop w:val="0"/>
      <w:marBottom w:val="0"/>
      <w:divBdr>
        <w:top w:val="none" w:sz="0" w:space="0" w:color="auto"/>
        <w:left w:val="none" w:sz="0" w:space="0" w:color="auto"/>
        <w:bottom w:val="none" w:sz="0" w:space="0" w:color="auto"/>
        <w:right w:val="none" w:sz="0" w:space="0" w:color="auto"/>
      </w:divBdr>
    </w:div>
    <w:div w:id="886796957">
      <w:bodyDiv w:val="1"/>
      <w:marLeft w:val="0"/>
      <w:marRight w:val="0"/>
      <w:marTop w:val="0"/>
      <w:marBottom w:val="0"/>
      <w:divBdr>
        <w:top w:val="none" w:sz="0" w:space="0" w:color="auto"/>
        <w:left w:val="none" w:sz="0" w:space="0" w:color="auto"/>
        <w:bottom w:val="none" w:sz="0" w:space="0" w:color="auto"/>
        <w:right w:val="none" w:sz="0" w:space="0" w:color="auto"/>
      </w:divBdr>
    </w:div>
    <w:div w:id="900556198">
      <w:bodyDiv w:val="1"/>
      <w:marLeft w:val="0"/>
      <w:marRight w:val="0"/>
      <w:marTop w:val="0"/>
      <w:marBottom w:val="0"/>
      <w:divBdr>
        <w:top w:val="none" w:sz="0" w:space="0" w:color="auto"/>
        <w:left w:val="none" w:sz="0" w:space="0" w:color="auto"/>
        <w:bottom w:val="none" w:sz="0" w:space="0" w:color="auto"/>
        <w:right w:val="none" w:sz="0" w:space="0" w:color="auto"/>
      </w:divBdr>
    </w:div>
    <w:div w:id="923345585">
      <w:bodyDiv w:val="1"/>
      <w:marLeft w:val="0"/>
      <w:marRight w:val="0"/>
      <w:marTop w:val="0"/>
      <w:marBottom w:val="0"/>
      <w:divBdr>
        <w:top w:val="none" w:sz="0" w:space="0" w:color="auto"/>
        <w:left w:val="none" w:sz="0" w:space="0" w:color="auto"/>
        <w:bottom w:val="none" w:sz="0" w:space="0" w:color="auto"/>
        <w:right w:val="none" w:sz="0" w:space="0" w:color="auto"/>
      </w:divBdr>
    </w:div>
    <w:div w:id="927419870">
      <w:bodyDiv w:val="1"/>
      <w:marLeft w:val="0"/>
      <w:marRight w:val="0"/>
      <w:marTop w:val="0"/>
      <w:marBottom w:val="0"/>
      <w:divBdr>
        <w:top w:val="none" w:sz="0" w:space="0" w:color="auto"/>
        <w:left w:val="none" w:sz="0" w:space="0" w:color="auto"/>
        <w:bottom w:val="none" w:sz="0" w:space="0" w:color="auto"/>
        <w:right w:val="none" w:sz="0" w:space="0" w:color="auto"/>
      </w:divBdr>
    </w:div>
    <w:div w:id="931356216">
      <w:bodyDiv w:val="1"/>
      <w:marLeft w:val="0"/>
      <w:marRight w:val="0"/>
      <w:marTop w:val="0"/>
      <w:marBottom w:val="0"/>
      <w:divBdr>
        <w:top w:val="none" w:sz="0" w:space="0" w:color="auto"/>
        <w:left w:val="none" w:sz="0" w:space="0" w:color="auto"/>
        <w:bottom w:val="none" w:sz="0" w:space="0" w:color="auto"/>
        <w:right w:val="none" w:sz="0" w:space="0" w:color="auto"/>
      </w:divBdr>
    </w:div>
    <w:div w:id="938685009">
      <w:bodyDiv w:val="1"/>
      <w:marLeft w:val="0"/>
      <w:marRight w:val="0"/>
      <w:marTop w:val="0"/>
      <w:marBottom w:val="0"/>
      <w:divBdr>
        <w:top w:val="none" w:sz="0" w:space="0" w:color="auto"/>
        <w:left w:val="none" w:sz="0" w:space="0" w:color="auto"/>
        <w:bottom w:val="none" w:sz="0" w:space="0" w:color="auto"/>
        <w:right w:val="none" w:sz="0" w:space="0" w:color="auto"/>
      </w:divBdr>
    </w:div>
    <w:div w:id="955721890">
      <w:bodyDiv w:val="1"/>
      <w:marLeft w:val="0"/>
      <w:marRight w:val="0"/>
      <w:marTop w:val="0"/>
      <w:marBottom w:val="0"/>
      <w:divBdr>
        <w:top w:val="none" w:sz="0" w:space="0" w:color="auto"/>
        <w:left w:val="none" w:sz="0" w:space="0" w:color="auto"/>
        <w:bottom w:val="none" w:sz="0" w:space="0" w:color="auto"/>
        <w:right w:val="none" w:sz="0" w:space="0" w:color="auto"/>
      </w:divBdr>
    </w:div>
    <w:div w:id="967055748">
      <w:bodyDiv w:val="1"/>
      <w:marLeft w:val="0"/>
      <w:marRight w:val="0"/>
      <w:marTop w:val="0"/>
      <w:marBottom w:val="0"/>
      <w:divBdr>
        <w:top w:val="none" w:sz="0" w:space="0" w:color="auto"/>
        <w:left w:val="none" w:sz="0" w:space="0" w:color="auto"/>
        <w:bottom w:val="none" w:sz="0" w:space="0" w:color="auto"/>
        <w:right w:val="none" w:sz="0" w:space="0" w:color="auto"/>
      </w:divBdr>
    </w:div>
    <w:div w:id="971210740">
      <w:bodyDiv w:val="1"/>
      <w:marLeft w:val="0"/>
      <w:marRight w:val="0"/>
      <w:marTop w:val="0"/>
      <w:marBottom w:val="0"/>
      <w:divBdr>
        <w:top w:val="none" w:sz="0" w:space="0" w:color="auto"/>
        <w:left w:val="none" w:sz="0" w:space="0" w:color="auto"/>
        <w:bottom w:val="none" w:sz="0" w:space="0" w:color="auto"/>
        <w:right w:val="none" w:sz="0" w:space="0" w:color="auto"/>
      </w:divBdr>
    </w:div>
    <w:div w:id="980501367">
      <w:bodyDiv w:val="1"/>
      <w:marLeft w:val="0"/>
      <w:marRight w:val="0"/>
      <w:marTop w:val="0"/>
      <w:marBottom w:val="0"/>
      <w:divBdr>
        <w:top w:val="none" w:sz="0" w:space="0" w:color="auto"/>
        <w:left w:val="none" w:sz="0" w:space="0" w:color="auto"/>
        <w:bottom w:val="none" w:sz="0" w:space="0" w:color="auto"/>
        <w:right w:val="none" w:sz="0" w:space="0" w:color="auto"/>
      </w:divBdr>
    </w:div>
    <w:div w:id="997073385">
      <w:bodyDiv w:val="1"/>
      <w:marLeft w:val="0"/>
      <w:marRight w:val="0"/>
      <w:marTop w:val="0"/>
      <w:marBottom w:val="0"/>
      <w:divBdr>
        <w:top w:val="none" w:sz="0" w:space="0" w:color="auto"/>
        <w:left w:val="none" w:sz="0" w:space="0" w:color="auto"/>
        <w:bottom w:val="none" w:sz="0" w:space="0" w:color="auto"/>
        <w:right w:val="none" w:sz="0" w:space="0" w:color="auto"/>
      </w:divBdr>
    </w:div>
    <w:div w:id="1002009784">
      <w:bodyDiv w:val="1"/>
      <w:marLeft w:val="0"/>
      <w:marRight w:val="0"/>
      <w:marTop w:val="0"/>
      <w:marBottom w:val="0"/>
      <w:divBdr>
        <w:top w:val="none" w:sz="0" w:space="0" w:color="auto"/>
        <w:left w:val="none" w:sz="0" w:space="0" w:color="auto"/>
        <w:bottom w:val="none" w:sz="0" w:space="0" w:color="auto"/>
        <w:right w:val="none" w:sz="0" w:space="0" w:color="auto"/>
      </w:divBdr>
    </w:div>
    <w:div w:id="1005205173">
      <w:bodyDiv w:val="1"/>
      <w:marLeft w:val="0"/>
      <w:marRight w:val="0"/>
      <w:marTop w:val="0"/>
      <w:marBottom w:val="0"/>
      <w:divBdr>
        <w:top w:val="none" w:sz="0" w:space="0" w:color="auto"/>
        <w:left w:val="none" w:sz="0" w:space="0" w:color="auto"/>
        <w:bottom w:val="none" w:sz="0" w:space="0" w:color="auto"/>
        <w:right w:val="none" w:sz="0" w:space="0" w:color="auto"/>
      </w:divBdr>
    </w:div>
    <w:div w:id="1017777534">
      <w:bodyDiv w:val="1"/>
      <w:marLeft w:val="0"/>
      <w:marRight w:val="0"/>
      <w:marTop w:val="0"/>
      <w:marBottom w:val="0"/>
      <w:divBdr>
        <w:top w:val="none" w:sz="0" w:space="0" w:color="auto"/>
        <w:left w:val="none" w:sz="0" w:space="0" w:color="auto"/>
        <w:bottom w:val="none" w:sz="0" w:space="0" w:color="auto"/>
        <w:right w:val="none" w:sz="0" w:space="0" w:color="auto"/>
      </w:divBdr>
    </w:div>
    <w:div w:id="1023558133">
      <w:bodyDiv w:val="1"/>
      <w:marLeft w:val="0"/>
      <w:marRight w:val="0"/>
      <w:marTop w:val="0"/>
      <w:marBottom w:val="0"/>
      <w:divBdr>
        <w:top w:val="none" w:sz="0" w:space="0" w:color="auto"/>
        <w:left w:val="none" w:sz="0" w:space="0" w:color="auto"/>
        <w:bottom w:val="none" w:sz="0" w:space="0" w:color="auto"/>
        <w:right w:val="none" w:sz="0" w:space="0" w:color="auto"/>
      </w:divBdr>
    </w:div>
    <w:div w:id="1057242987">
      <w:bodyDiv w:val="1"/>
      <w:marLeft w:val="0"/>
      <w:marRight w:val="0"/>
      <w:marTop w:val="0"/>
      <w:marBottom w:val="0"/>
      <w:divBdr>
        <w:top w:val="none" w:sz="0" w:space="0" w:color="auto"/>
        <w:left w:val="none" w:sz="0" w:space="0" w:color="auto"/>
        <w:bottom w:val="none" w:sz="0" w:space="0" w:color="auto"/>
        <w:right w:val="none" w:sz="0" w:space="0" w:color="auto"/>
      </w:divBdr>
    </w:div>
    <w:div w:id="1061364206">
      <w:bodyDiv w:val="1"/>
      <w:marLeft w:val="0"/>
      <w:marRight w:val="0"/>
      <w:marTop w:val="0"/>
      <w:marBottom w:val="0"/>
      <w:divBdr>
        <w:top w:val="none" w:sz="0" w:space="0" w:color="auto"/>
        <w:left w:val="none" w:sz="0" w:space="0" w:color="auto"/>
        <w:bottom w:val="none" w:sz="0" w:space="0" w:color="auto"/>
        <w:right w:val="none" w:sz="0" w:space="0" w:color="auto"/>
      </w:divBdr>
    </w:div>
    <w:div w:id="1084493254">
      <w:bodyDiv w:val="1"/>
      <w:marLeft w:val="0"/>
      <w:marRight w:val="0"/>
      <w:marTop w:val="0"/>
      <w:marBottom w:val="0"/>
      <w:divBdr>
        <w:top w:val="none" w:sz="0" w:space="0" w:color="auto"/>
        <w:left w:val="none" w:sz="0" w:space="0" w:color="auto"/>
        <w:bottom w:val="none" w:sz="0" w:space="0" w:color="auto"/>
        <w:right w:val="none" w:sz="0" w:space="0" w:color="auto"/>
      </w:divBdr>
    </w:div>
    <w:div w:id="1091657341">
      <w:bodyDiv w:val="1"/>
      <w:marLeft w:val="0"/>
      <w:marRight w:val="0"/>
      <w:marTop w:val="0"/>
      <w:marBottom w:val="0"/>
      <w:divBdr>
        <w:top w:val="none" w:sz="0" w:space="0" w:color="auto"/>
        <w:left w:val="none" w:sz="0" w:space="0" w:color="auto"/>
        <w:bottom w:val="none" w:sz="0" w:space="0" w:color="auto"/>
        <w:right w:val="none" w:sz="0" w:space="0" w:color="auto"/>
      </w:divBdr>
    </w:div>
    <w:div w:id="1093161341">
      <w:bodyDiv w:val="1"/>
      <w:marLeft w:val="0"/>
      <w:marRight w:val="0"/>
      <w:marTop w:val="0"/>
      <w:marBottom w:val="0"/>
      <w:divBdr>
        <w:top w:val="none" w:sz="0" w:space="0" w:color="auto"/>
        <w:left w:val="none" w:sz="0" w:space="0" w:color="auto"/>
        <w:bottom w:val="none" w:sz="0" w:space="0" w:color="auto"/>
        <w:right w:val="none" w:sz="0" w:space="0" w:color="auto"/>
      </w:divBdr>
    </w:div>
    <w:div w:id="1102609624">
      <w:bodyDiv w:val="1"/>
      <w:marLeft w:val="0"/>
      <w:marRight w:val="0"/>
      <w:marTop w:val="0"/>
      <w:marBottom w:val="0"/>
      <w:divBdr>
        <w:top w:val="none" w:sz="0" w:space="0" w:color="auto"/>
        <w:left w:val="none" w:sz="0" w:space="0" w:color="auto"/>
        <w:bottom w:val="none" w:sz="0" w:space="0" w:color="auto"/>
        <w:right w:val="none" w:sz="0" w:space="0" w:color="auto"/>
      </w:divBdr>
    </w:div>
    <w:div w:id="1132745289">
      <w:bodyDiv w:val="1"/>
      <w:marLeft w:val="0"/>
      <w:marRight w:val="0"/>
      <w:marTop w:val="0"/>
      <w:marBottom w:val="0"/>
      <w:divBdr>
        <w:top w:val="none" w:sz="0" w:space="0" w:color="auto"/>
        <w:left w:val="none" w:sz="0" w:space="0" w:color="auto"/>
        <w:bottom w:val="none" w:sz="0" w:space="0" w:color="auto"/>
        <w:right w:val="none" w:sz="0" w:space="0" w:color="auto"/>
      </w:divBdr>
    </w:div>
    <w:div w:id="1156149324">
      <w:bodyDiv w:val="1"/>
      <w:marLeft w:val="0"/>
      <w:marRight w:val="0"/>
      <w:marTop w:val="0"/>
      <w:marBottom w:val="0"/>
      <w:divBdr>
        <w:top w:val="none" w:sz="0" w:space="0" w:color="auto"/>
        <w:left w:val="none" w:sz="0" w:space="0" w:color="auto"/>
        <w:bottom w:val="none" w:sz="0" w:space="0" w:color="auto"/>
        <w:right w:val="none" w:sz="0" w:space="0" w:color="auto"/>
      </w:divBdr>
    </w:div>
    <w:div w:id="1169103393">
      <w:bodyDiv w:val="1"/>
      <w:marLeft w:val="0"/>
      <w:marRight w:val="0"/>
      <w:marTop w:val="0"/>
      <w:marBottom w:val="0"/>
      <w:divBdr>
        <w:top w:val="none" w:sz="0" w:space="0" w:color="auto"/>
        <w:left w:val="none" w:sz="0" w:space="0" w:color="auto"/>
        <w:bottom w:val="none" w:sz="0" w:space="0" w:color="auto"/>
        <w:right w:val="none" w:sz="0" w:space="0" w:color="auto"/>
      </w:divBdr>
    </w:div>
    <w:div w:id="1191801755">
      <w:bodyDiv w:val="1"/>
      <w:marLeft w:val="0"/>
      <w:marRight w:val="0"/>
      <w:marTop w:val="0"/>
      <w:marBottom w:val="0"/>
      <w:divBdr>
        <w:top w:val="none" w:sz="0" w:space="0" w:color="auto"/>
        <w:left w:val="none" w:sz="0" w:space="0" w:color="auto"/>
        <w:bottom w:val="none" w:sz="0" w:space="0" w:color="auto"/>
        <w:right w:val="none" w:sz="0" w:space="0" w:color="auto"/>
      </w:divBdr>
    </w:div>
    <w:div w:id="1197357034">
      <w:bodyDiv w:val="1"/>
      <w:marLeft w:val="0"/>
      <w:marRight w:val="0"/>
      <w:marTop w:val="0"/>
      <w:marBottom w:val="0"/>
      <w:divBdr>
        <w:top w:val="none" w:sz="0" w:space="0" w:color="auto"/>
        <w:left w:val="none" w:sz="0" w:space="0" w:color="auto"/>
        <w:bottom w:val="none" w:sz="0" w:space="0" w:color="auto"/>
        <w:right w:val="none" w:sz="0" w:space="0" w:color="auto"/>
      </w:divBdr>
    </w:div>
    <w:div w:id="1202523741">
      <w:bodyDiv w:val="1"/>
      <w:marLeft w:val="0"/>
      <w:marRight w:val="0"/>
      <w:marTop w:val="0"/>
      <w:marBottom w:val="0"/>
      <w:divBdr>
        <w:top w:val="none" w:sz="0" w:space="0" w:color="auto"/>
        <w:left w:val="none" w:sz="0" w:space="0" w:color="auto"/>
        <w:bottom w:val="none" w:sz="0" w:space="0" w:color="auto"/>
        <w:right w:val="none" w:sz="0" w:space="0" w:color="auto"/>
      </w:divBdr>
    </w:div>
    <w:div w:id="1204362180">
      <w:bodyDiv w:val="1"/>
      <w:marLeft w:val="0"/>
      <w:marRight w:val="0"/>
      <w:marTop w:val="0"/>
      <w:marBottom w:val="0"/>
      <w:divBdr>
        <w:top w:val="none" w:sz="0" w:space="0" w:color="auto"/>
        <w:left w:val="none" w:sz="0" w:space="0" w:color="auto"/>
        <w:bottom w:val="none" w:sz="0" w:space="0" w:color="auto"/>
        <w:right w:val="none" w:sz="0" w:space="0" w:color="auto"/>
      </w:divBdr>
    </w:div>
    <w:div w:id="1205406301">
      <w:bodyDiv w:val="1"/>
      <w:marLeft w:val="0"/>
      <w:marRight w:val="0"/>
      <w:marTop w:val="0"/>
      <w:marBottom w:val="0"/>
      <w:divBdr>
        <w:top w:val="none" w:sz="0" w:space="0" w:color="auto"/>
        <w:left w:val="none" w:sz="0" w:space="0" w:color="auto"/>
        <w:bottom w:val="none" w:sz="0" w:space="0" w:color="auto"/>
        <w:right w:val="none" w:sz="0" w:space="0" w:color="auto"/>
      </w:divBdr>
    </w:div>
    <w:div w:id="1206479818">
      <w:bodyDiv w:val="1"/>
      <w:marLeft w:val="0"/>
      <w:marRight w:val="0"/>
      <w:marTop w:val="0"/>
      <w:marBottom w:val="0"/>
      <w:divBdr>
        <w:top w:val="none" w:sz="0" w:space="0" w:color="auto"/>
        <w:left w:val="none" w:sz="0" w:space="0" w:color="auto"/>
        <w:bottom w:val="none" w:sz="0" w:space="0" w:color="auto"/>
        <w:right w:val="none" w:sz="0" w:space="0" w:color="auto"/>
      </w:divBdr>
    </w:div>
    <w:div w:id="1219777531">
      <w:bodyDiv w:val="1"/>
      <w:marLeft w:val="0"/>
      <w:marRight w:val="0"/>
      <w:marTop w:val="0"/>
      <w:marBottom w:val="0"/>
      <w:divBdr>
        <w:top w:val="none" w:sz="0" w:space="0" w:color="auto"/>
        <w:left w:val="none" w:sz="0" w:space="0" w:color="auto"/>
        <w:bottom w:val="none" w:sz="0" w:space="0" w:color="auto"/>
        <w:right w:val="none" w:sz="0" w:space="0" w:color="auto"/>
      </w:divBdr>
    </w:div>
    <w:div w:id="1222865682">
      <w:bodyDiv w:val="1"/>
      <w:marLeft w:val="0"/>
      <w:marRight w:val="0"/>
      <w:marTop w:val="0"/>
      <w:marBottom w:val="0"/>
      <w:divBdr>
        <w:top w:val="none" w:sz="0" w:space="0" w:color="auto"/>
        <w:left w:val="none" w:sz="0" w:space="0" w:color="auto"/>
        <w:bottom w:val="none" w:sz="0" w:space="0" w:color="auto"/>
        <w:right w:val="none" w:sz="0" w:space="0" w:color="auto"/>
      </w:divBdr>
    </w:div>
    <w:div w:id="1226188734">
      <w:bodyDiv w:val="1"/>
      <w:marLeft w:val="0"/>
      <w:marRight w:val="0"/>
      <w:marTop w:val="0"/>
      <w:marBottom w:val="0"/>
      <w:divBdr>
        <w:top w:val="none" w:sz="0" w:space="0" w:color="auto"/>
        <w:left w:val="none" w:sz="0" w:space="0" w:color="auto"/>
        <w:bottom w:val="none" w:sz="0" w:space="0" w:color="auto"/>
        <w:right w:val="none" w:sz="0" w:space="0" w:color="auto"/>
      </w:divBdr>
    </w:div>
    <w:div w:id="1247884195">
      <w:bodyDiv w:val="1"/>
      <w:marLeft w:val="0"/>
      <w:marRight w:val="0"/>
      <w:marTop w:val="0"/>
      <w:marBottom w:val="0"/>
      <w:divBdr>
        <w:top w:val="none" w:sz="0" w:space="0" w:color="auto"/>
        <w:left w:val="none" w:sz="0" w:space="0" w:color="auto"/>
        <w:bottom w:val="none" w:sz="0" w:space="0" w:color="auto"/>
        <w:right w:val="none" w:sz="0" w:space="0" w:color="auto"/>
      </w:divBdr>
    </w:div>
    <w:div w:id="1249122886">
      <w:bodyDiv w:val="1"/>
      <w:marLeft w:val="0"/>
      <w:marRight w:val="0"/>
      <w:marTop w:val="0"/>
      <w:marBottom w:val="0"/>
      <w:divBdr>
        <w:top w:val="none" w:sz="0" w:space="0" w:color="auto"/>
        <w:left w:val="none" w:sz="0" w:space="0" w:color="auto"/>
        <w:bottom w:val="none" w:sz="0" w:space="0" w:color="auto"/>
        <w:right w:val="none" w:sz="0" w:space="0" w:color="auto"/>
      </w:divBdr>
    </w:div>
    <w:div w:id="1250239899">
      <w:bodyDiv w:val="1"/>
      <w:marLeft w:val="0"/>
      <w:marRight w:val="0"/>
      <w:marTop w:val="0"/>
      <w:marBottom w:val="0"/>
      <w:divBdr>
        <w:top w:val="none" w:sz="0" w:space="0" w:color="auto"/>
        <w:left w:val="none" w:sz="0" w:space="0" w:color="auto"/>
        <w:bottom w:val="none" w:sz="0" w:space="0" w:color="auto"/>
        <w:right w:val="none" w:sz="0" w:space="0" w:color="auto"/>
      </w:divBdr>
    </w:div>
    <w:div w:id="1252660130">
      <w:bodyDiv w:val="1"/>
      <w:marLeft w:val="0"/>
      <w:marRight w:val="0"/>
      <w:marTop w:val="0"/>
      <w:marBottom w:val="0"/>
      <w:divBdr>
        <w:top w:val="none" w:sz="0" w:space="0" w:color="auto"/>
        <w:left w:val="none" w:sz="0" w:space="0" w:color="auto"/>
        <w:bottom w:val="none" w:sz="0" w:space="0" w:color="auto"/>
        <w:right w:val="none" w:sz="0" w:space="0" w:color="auto"/>
      </w:divBdr>
    </w:div>
    <w:div w:id="1267929285">
      <w:bodyDiv w:val="1"/>
      <w:marLeft w:val="0"/>
      <w:marRight w:val="0"/>
      <w:marTop w:val="0"/>
      <w:marBottom w:val="0"/>
      <w:divBdr>
        <w:top w:val="none" w:sz="0" w:space="0" w:color="auto"/>
        <w:left w:val="none" w:sz="0" w:space="0" w:color="auto"/>
        <w:bottom w:val="none" w:sz="0" w:space="0" w:color="auto"/>
        <w:right w:val="none" w:sz="0" w:space="0" w:color="auto"/>
      </w:divBdr>
    </w:div>
    <w:div w:id="1274242450">
      <w:bodyDiv w:val="1"/>
      <w:marLeft w:val="0"/>
      <w:marRight w:val="0"/>
      <w:marTop w:val="0"/>
      <w:marBottom w:val="0"/>
      <w:divBdr>
        <w:top w:val="none" w:sz="0" w:space="0" w:color="auto"/>
        <w:left w:val="none" w:sz="0" w:space="0" w:color="auto"/>
        <w:bottom w:val="none" w:sz="0" w:space="0" w:color="auto"/>
        <w:right w:val="none" w:sz="0" w:space="0" w:color="auto"/>
      </w:divBdr>
    </w:div>
    <w:div w:id="1279025075">
      <w:bodyDiv w:val="1"/>
      <w:marLeft w:val="0"/>
      <w:marRight w:val="0"/>
      <w:marTop w:val="0"/>
      <w:marBottom w:val="0"/>
      <w:divBdr>
        <w:top w:val="none" w:sz="0" w:space="0" w:color="auto"/>
        <w:left w:val="none" w:sz="0" w:space="0" w:color="auto"/>
        <w:bottom w:val="none" w:sz="0" w:space="0" w:color="auto"/>
        <w:right w:val="none" w:sz="0" w:space="0" w:color="auto"/>
      </w:divBdr>
    </w:div>
    <w:div w:id="1283800573">
      <w:bodyDiv w:val="1"/>
      <w:marLeft w:val="0"/>
      <w:marRight w:val="0"/>
      <w:marTop w:val="0"/>
      <w:marBottom w:val="0"/>
      <w:divBdr>
        <w:top w:val="none" w:sz="0" w:space="0" w:color="auto"/>
        <w:left w:val="none" w:sz="0" w:space="0" w:color="auto"/>
        <w:bottom w:val="none" w:sz="0" w:space="0" w:color="auto"/>
        <w:right w:val="none" w:sz="0" w:space="0" w:color="auto"/>
      </w:divBdr>
    </w:div>
    <w:div w:id="1312514899">
      <w:bodyDiv w:val="1"/>
      <w:marLeft w:val="0"/>
      <w:marRight w:val="0"/>
      <w:marTop w:val="0"/>
      <w:marBottom w:val="0"/>
      <w:divBdr>
        <w:top w:val="none" w:sz="0" w:space="0" w:color="auto"/>
        <w:left w:val="none" w:sz="0" w:space="0" w:color="auto"/>
        <w:bottom w:val="none" w:sz="0" w:space="0" w:color="auto"/>
        <w:right w:val="none" w:sz="0" w:space="0" w:color="auto"/>
      </w:divBdr>
    </w:div>
    <w:div w:id="1314142598">
      <w:bodyDiv w:val="1"/>
      <w:marLeft w:val="0"/>
      <w:marRight w:val="0"/>
      <w:marTop w:val="0"/>
      <w:marBottom w:val="0"/>
      <w:divBdr>
        <w:top w:val="none" w:sz="0" w:space="0" w:color="auto"/>
        <w:left w:val="none" w:sz="0" w:space="0" w:color="auto"/>
        <w:bottom w:val="none" w:sz="0" w:space="0" w:color="auto"/>
        <w:right w:val="none" w:sz="0" w:space="0" w:color="auto"/>
      </w:divBdr>
    </w:div>
    <w:div w:id="1357273789">
      <w:bodyDiv w:val="1"/>
      <w:marLeft w:val="0"/>
      <w:marRight w:val="0"/>
      <w:marTop w:val="0"/>
      <w:marBottom w:val="0"/>
      <w:divBdr>
        <w:top w:val="none" w:sz="0" w:space="0" w:color="auto"/>
        <w:left w:val="none" w:sz="0" w:space="0" w:color="auto"/>
        <w:bottom w:val="none" w:sz="0" w:space="0" w:color="auto"/>
        <w:right w:val="none" w:sz="0" w:space="0" w:color="auto"/>
      </w:divBdr>
    </w:div>
    <w:div w:id="1395423446">
      <w:bodyDiv w:val="1"/>
      <w:marLeft w:val="0"/>
      <w:marRight w:val="0"/>
      <w:marTop w:val="0"/>
      <w:marBottom w:val="0"/>
      <w:divBdr>
        <w:top w:val="none" w:sz="0" w:space="0" w:color="auto"/>
        <w:left w:val="none" w:sz="0" w:space="0" w:color="auto"/>
        <w:bottom w:val="none" w:sz="0" w:space="0" w:color="auto"/>
        <w:right w:val="none" w:sz="0" w:space="0" w:color="auto"/>
      </w:divBdr>
    </w:div>
    <w:div w:id="1400320293">
      <w:bodyDiv w:val="1"/>
      <w:marLeft w:val="0"/>
      <w:marRight w:val="0"/>
      <w:marTop w:val="0"/>
      <w:marBottom w:val="0"/>
      <w:divBdr>
        <w:top w:val="none" w:sz="0" w:space="0" w:color="auto"/>
        <w:left w:val="none" w:sz="0" w:space="0" w:color="auto"/>
        <w:bottom w:val="none" w:sz="0" w:space="0" w:color="auto"/>
        <w:right w:val="none" w:sz="0" w:space="0" w:color="auto"/>
      </w:divBdr>
    </w:div>
    <w:div w:id="1463109621">
      <w:bodyDiv w:val="1"/>
      <w:marLeft w:val="0"/>
      <w:marRight w:val="0"/>
      <w:marTop w:val="0"/>
      <w:marBottom w:val="0"/>
      <w:divBdr>
        <w:top w:val="none" w:sz="0" w:space="0" w:color="auto"/>
        <w:left w:val="none" w:sz="0" w:space="0" w:color="auto"/>
        <w:bottom w:val="none" w:sz="0" w:space="0" w:color="auto"/>
        <w:right w:val="none" w:sz="0" w:space="0" w:color="auto"/>
      </w:divBdr>
    </w:div>
    <w:div w:id="1469468921">
      <w:bodyDiv w:val="1"/>
      <w:marLeft w:val="0"/>
      <w:marRight w:val="0"/>
      <w:marTop w:val="0"/>
      <w:marBottom w:val="0"/>
      <w:divBdr>
        <w:top w:val="none" w:sz="0" w:space="0" w:color="auto"/>
        <w:left w:val="none" w:sz="0" w:space="0" w:color="auto"/>
        <w:bottom w:val="none" w:sz="0" w:space="0" w:color="auto"/>
        <w:right w:val="none" w:sz="0" w:space="0" w:color="auto"/>
      </w:divBdr>
    </w:div>
    <w:div w:id="1487211612">
      <w:bodyDiv w:val="1"/>
      <w:marLeft w:val="0"/>
      <w:marRight w:val="0"/>
      <w:marTop w:val="0"/>
      <w:marBottom w:val="0"/>
      <w:divBdr>
        <w:top w:val="none" w:sz="0" w:space="0" w:color="auto"/>
        <w:left w:val="none" w:sz="0" w:space="0" w:color="auto"/>
        <w:bottom w:val="none" w:sz="0" w:space="0" w:color="auto"/>
        <w:right w:val="none" w:sz="0" w:space="0" w:color="auto"/>
      </w:divBdr>
    </w:div>
    <w:div w:id="1500462786">
      <w:bodyDiv w:val="1"/>
      <w:marLeft w:val="0"/>
      <w:marRight w:val="0"/>
      <w:marTop w:val="0"/>
      <w:marBottom w:val="0"/>
      <w:divBdr>
        <w:top w:val="none" w:sz="0" w:space="0" w:color="auto"/>
        <w:left w:val="none" w:sz="0" w:space="0" w:color="auto"/>
        <w:bottom w:val="none" w:sz="0" w:space="0" w:color="auto"/>
        <w:right w:val="none" w:sz="0" w:space="0" w:color="auto"/>
      </w:divBdr>
    </w:div>
    <w:div w:id="1505050584">
      <w:bodyDiv w:val="1"/>
      <w:marLeft w:val="0"/>
      <w:marRight w:val="0"/>
      <w:marTop w:val="0"/>
      <w:marBottom w:val="0"/>
      <w:divBdr>
        <w:top w:val="none" w:sz="0" w:space="0" w:color="auto"/>
        <w:left w:val="none" w:sz="0" w:space="0" w:color="auto"/>
        <w:bottom w:val="none" w:sz="0" w:space="0" w:color="auto"/>
        <w:right w:val="none" w:sz="0" w:space="0" w:color="auto"/>
      </w:divBdr>
    </w:div>
    <w:div w:id="1513572963">
      <w:bodyDiv w:val="1"/>
      <w:marLeft w:val="0"/>
      <w:marRight w:val="0"/>
      <w:marTop w:val="0"/>
      <w:marBottom w:val="0"/>
      <w:divBdr>
        <w:top w:val="none" w:sz="0" w:space="0" w:color="auto"/>
        <w:left w:val="none" w:sz="0" w:space="0" w:color="auto"/>
        <w:bottom w:val="none" w:sz="0" w:space="0" w:color="auto"/>
        <w:right w:val="none" w:sz="0" w:space="0" w:color="auto"/>
      </w:divBdr>
    </w:div>
    <w:div w:id="1539588372">
      <w:bodyDiv w:val="1"/>
      <w:marLeft w:val="0"/>
      <w:marRight w:val="0"/>
      <w:marTop w:val="0"/>
      <w:marBottom w:val="0"/>
      <w:divBdr>
        <w:top w:val="none" w:sz="0" w:space="0" w:color="auto"/>
        <w:left w:val="none" w:sz="0" w:space="0" w:color="auto"/>
        <w:bottom w:val="none" w:sz="0" w:space="0" w:color="auto"/>
        <w:right w:val="none" w:sz="0" w:space="0" w:color="auto"/>
      </w:divBdr>
    </w:div>
    <w:div w:id="1556813953">
      <w:bodyDiv w:val="1"/>
      <w:marLeft w:val="0"/>
      <w:marRight w:val="0"/>
      <w:marTop w:val="0"/>
      <w:marBottom w:val="0"/>
      <w:divBdr>
        <w:top w:val="none" w:sz="0" w:space="0" w:color="auto"/>
        <w:left w:val="none" w:sz="0" w:space="0" w:color="auto"/>
        <w:bottom w:val="none" w:sz="0" w:space="0" w:color="auto"/>
        <w:right w:val="none" w:sz="0" w:space="0" w:color="auto"/>
      </w:divBdr>
    </w:div>
    <w:div w:id="1557356629">
      <w:bodyDiv w:val="1"/>
      <w:marLeft w:val="0"/>
      <w:marRight w:val="0"/>
      <w:marTop w:val="0"/>
      <w:marBottom w:val="0"/>
      <w:divBdr>
        <w:top w:val="none" w:sz="0" w:space="0" w:color="auto"/>
        <w:left w:val="none" w:sz="0" w:space="0" w:color="auto"/>
        <w:bottom w:val="none" w:sz="0" w:space="0" w:color="auto"/>
        <w:right w:val="none" w:sz="0" w:space="0" w:color="auto"/>
      </w:divBdr>
    </w:div>
    <w:div w:id="1558006643">
      <w:bodyDiv w:val="1"/>
      <w:marLeft w:val="0"/>
      <w:marRight w:val="0"/>
      <w:marTop w:val="0"/>
      <w:marBottom w:val="0"/>
      <w:divBdr>
        <w:top w:val="none" w:sz="0" w:space="0" w:color="auto"/>
        <w:left w:val="none" w:sz="0" w:space="0" w:color="auto"/>
        <w:bottom w:val="none" w:sz="0" w:space="0" w:color="auto"/>
        <w:right w:val="none" w:sz="0" w:space="0" w:color="auto"/>
      </w:divBdr>
    </w:div>
    <w:div w:id="1561135321">
      <w:bodyDiv w:val="1"/>
      <w:marLeft w:val="0"/>
      <w:marRight w:val="0"/>
      <w:marTop w:val="0"/>
      <w:marBottom w:val="0"/>
      <w:divBdr>
        <w:top w:val="none" w:sz="0" w:space="0" w:color="auto"/>
        <w:left w:val="none" w:sz="0" w:space="0" w:color="auto"/>
        <w:bottom w:val="none" w:sz="0" w:space="0" w:color="auto"/>
        <w:right w:val="none" w:sz="0" w:space="0" w:color="auto"/>
      </w:divBdr>
    </w:div>
    <w:div w:id="1571695163">
      <w:bodyDiv w:val="1"/>
      <w:marLeft w:val="0"/>
      <w:marRight w:val="0"/>
      <w:marTop w:val="0"/>
      <w:marBottom w:val="0"/>
      <w:divBdr>
        <w:top w:val="none" w:sz="0" w:space="0" w:color="auto"/>
        <w:left w:val="none" w:sz="0" w:space="0" w:color="auto"/>
        <w:bottom w:val="none" w:sz="0" w:space="0" w:color="auto"/>
        <w:right w:val="none" w:sz="0" w:space="0" w:color="auto"/>
      </w:divBdr>
    </w:div>
    <w:div w:id="1583022636">
      <w:bodyDiv w:val="1"/>
      <w:marLeft w:val="0"/>
      <w:marRight w:val="0"/>
      <w:marTop w:val="0"/>
      <w:marBottom w:val="0"/>
      <w:divBdr>
        <w:top w:val="none" w:sz="0" w:space="0" w:color="auto"/>
        <w:left w:val="none" w:sz="0" w:space="0" w:color="auto"/>
        <w:bottom w:val="none" w:sz="0" w:space="0" w:color="auto"/>
        <w:right w:val="none" w:sz="0" w:space="0" w:color="auto"/>
      </w:divBdr>
    </w:div>
    <w:div w:id="1606302876">
      <w:bodyDiv w:val="1"/>
      <w:marLeft w:val="0"/>
      <w:marRight w:val="0"/>
      <w:marTop w:val="0"/>
      <w:marBottom w:val="0"/>
      <w:divBdr>
        <w:top w:val="none" w:sz="0" w:space="0" w:color="auto"/>
        <w:left w:val="none" w:sz="0" w:space="0" w:color="auto"/>
        <w:bottom w:val="none" w:sz="0" w:space="0" w:color="auto"/>
        <w:right w:val="none" w:sz="0" w:space="0" w:color="auto"/>
      </w:divBdr>
    </w:div>
    <w:div w:id="1607686582">
      <w:bodyDiv w:val="1"/>
      <w:marLeft w:val="0"/>
      <w:marRight w:val="0"/>
      <w:marTop w:val="0"/>
      <w:marBottom w:val="0"/>
      <w:divBdr>
        <w:top w:val="none" w:sz="0" w:space="0" w:color="auto"/>
        <w:left w:val="none" w:sz="0" w:space="0" w:color="auto"/>
        <w:bottom w:val="none" w:sz="0" w:space="0" w:color="auto"/>
        <w:right w:val="none" w:sz="0" w:space="0" w:color="auto"/>
      </w:divBdr>
    </w:div>
    <w:div w:id="1632246936">
      <w:bodyDiv w:val="1"/>
      <w:marLeft w:val="0"/>
      <w:marRight w:val="0"/>
      <w:marTop w:val="0"/>
      <w:marBottom w:val="0"/>
      <w:divBdr>
        <w:top w:val="none" w:sz="0" w:space="0" w:color="auto"/>
        <w:left w:val="none" w:sz="0" w:space="0" w:color="auto"/>
        <w:bottom w:val="none" w:sz="0" w:space="0" w:color="auto"/>
        <w:right w:val="none" w:sz="0" w:space="0" w:color="auto"/>
      </w:divBdr>
    </w:div>
    <w:div w:id="1654331466">
      <w:bodyDiv w:val="1"/>
      <w:marLeft w:val="0"/>
      <w:marRight w:val="0"/>
      <w:marTop w:val="0"/>
      <w:marBottom w:val="0"/>
      <w:divBdr>
        <w:top w:val="none" w:sz="0" w:space="0" w:color="auto"/>
        <w:left w:val="none" w:sz="0" w:space="0" w:color="auto"/>
        <w:bottom w:val="none" w:sz="0" w:space="0" w:color="auto"/>
        <w:right w:val="none" w:sz="0" w:space="0" w:color="auto"/>
      </w:divBdr>
    </w:div>
    <w:div w:id="1661930398">
      <w:bodyDiv w:val="1"/>
      <w:marLeft w:val="0"/>
      <w:marRight w:val="0"/>
      <w:marTop w:val="0"/>
      <w:marBottom w:val="0"/>
      <w:divBdr>
        <w:top w:val="none" w:sz="0" w:space="0" w:color="auto"/>
        <w:left w:val="none" w:sz="0" w:space="0" w:color="auto"/>
        <w:bottom w:val="none" w:sz="0" w:space="0" w:color="auto"/>
        <w:right w:val="none" w:sz="0" w:space="0" w:color="auto"/>
      </w:divBdr>
    </w:div>
    <w:div w:id="1677998367">
      <w:bodyDiv w:val="1"/>
      <w:marLeft w:val="0"/>
      <w:marRight w:val="0"/>
      <w:marTop w:val="0"/>
      <w:marBottom w:val="0"/>
      <w:divBdr>
        <w:top w:val="none" w:sz="0" w:space="0" w:color="auto"/>
        <w:left w:val="none" w:sz="0" w:space="0" w:color="auto"/>
        <w:bottom w:val="none" w:sz="0" w:space="0" w:color="auto"/>
        <w:right w:val="none" w:sz="0" w:space="0" w:color="auto"/>
      </w:divBdr>
    </w:div>
    <w:div w:id="1683311406">
      <w:bodyDiv w:val="1"/>
      <w:marLeft w:val="0"/>
      <w:marRight w:val="0"/>
      <w:marTop w:val="0"/>
      <w:marBottom w:val="0"/>
      <w:divBdr>
        <w:top w:val="none" w:sz="0" w:space="0" w:color="auto"/>
        <w:left w:val="none" w:sz="0" w:space="0" w:color="auto"/>
        <w:bottom w:val="none" w:sz="0" w:space="0" w:color="auto"/>
        <w:right w:val="none" w:sz="0" w:space="0" w:color="auto"/>
      </w:divBdr>
    </w:div>
    <w:div w:id="1687825313">
      <w:bodyDiv w:val="1"/>
      <w:marLeft w:val="0"/>
      <w:marRight w:val="0"/>
      <w:marTop w:val="0"/>
      <w:marBottom w:val="0"/>
      <w:divBdr>
        <w:top w:val="none" w:sz="0" w:space="0" w:color="auto"/>
        <w:left w:val="none" w:sz="0" w:space="0" w:color="auto"/>
        <w:bottom w:val="none" w:sz="0" w:space="0" w:color="auto"/>
        <w:right w:val="none" w:sz="0" w:space="0" w:color="auto"/>
      </w:divBdr>
    </w:div>
    <w:div w:id="1692760839">
      <w:bodyDiv w:val="1"/>
      <w:marLeft w:val="0"/>
      <w:marRight w:val="0"/>
      <w:marTop w:val="0"/>
      <w:marBottom w:val="0"/>
      <w:divBdr>
        <w:top w:val="none" w:sz="0" w:space="0" w:color="auto"/>
        <w:left w:val="none" w:sz="0" w:space="0" w:color="auto"/>
        <w:bottom w:val="none" w:sz="0" w:space="0" w:color="auto"/>
        <w:right w:val="none" w:sz="0" w:space="0" w:color="auto"/>
      </w:divBdr>
    </w:div>
    <w:div w:id="1699431622">
      <w:bodyDiv w:val="1"/>
      <w:marLeft w:val="0"/>
      <w:marRight w:val="0"/>
      <w:marTop w:val="0"/>
      <w:marBottom w:val="0"/>
      <w:divBdr>
        <w:top w:val="none" w:sz="0" w:space="0" w:color="auto"/>
        <w:left w:val="none" w:sz="0" w:space="0" w:color="auto"/>
        <w:bottom w:val="none" w:sz="0" w:space="0" w:color="auto"/>
        <w:right w:val="none" w:sz="0" w:space="0" w:color="auto"/>
      </w:divBdr>
    </w:div>
    <w:div w:id="1705640431">
      <w:bodyDiv w:val="1"/>
      <w:marLeft w:val="0"/>
      <w:marRight w:val="0"/>
      <w:marTop w:val="0"/>
      <w:marBottom w:val="0"/>
      <w:divBdr>
        <w:top w:val="none" w:sz="0" w:space="0" w:color="auto"/>
        <w:left w:val="none" w:sz="0" w:space="0" w:color="auto"/>
        <w:bottom w:val="none" w:sz="0" w:space="0" w:color="auto"/>
        <w:right w:val="none" w:sz="0" w:space="0" w:color="auto"/>
      </w:divBdr>
    </w:div>
    <w:div w:id="1725526600">
      <w:bodyDiv w:val="1"/>
      <w:marLeft w:val="0"/>
      <w:marRight w:val="0"/>
      <w:marTop w:val="0"/>
      <w:marBottom w:val="0"/>
      <w:divBdr>
        <w:top w:val="none" w:sz="0" w:space="0" w:color="auto"/>
        <w:left w:val="none" w:sz="0" w:space="0" w:color="auto"/>
        <w:bottom w:val="none" w:sz="0" w:space="0" w:color="auto"/>
        <w:right w:val="none" w:sz="0" w:space="0" w:color="auto"/>
      </w:divBdr>
    </w:div>
    <w:div w:id="1727989943">
      <w:bodyDiv w:val="1"/>
      <w:marLeft w:val="0"/>
      <w:marRight w:val="0"/>
      <w:marTop w:val="0"/>
      <w:marBottom w:val="0"/>
      <w:divBdr>
        <w:top w:val="none" w:sz="0" w:space="0" w:color="auto"/>
        <w:left w:val="none" w:sz="0" w:space="0" w:color="auto"/>
        <w:bottom w:val="none" w:sz="0" w:space="0" w:color="auto"/>
        <w:right w:val="none" w:sz="0" w:space="0" w:color="auto"/>
      </w:divBdr>
    </w:div>
    <w:div w:id="1741829928">
      <w:bodyDiv w:val="1"/>
      <w:marLeft w:val="0"/>
      <w:marRight w:val="0"/>
      <w:marTop w:val="0"/>
      <w:marBottom w:val="0"/>
      <w:divBdr>
        <w:top w:val="none" w:sz="0" w:space="0" w:color="auto"/>
        <w:left w:val="none" w:sz="0" w:space="0" w:color="auto"/>
        <w:bottom w:val="none" w:sz="0" w:space="0" w:color="auto"/>
        <w:right w:val="none" w:sz="0" w:space="0" w:color="auto"/>
      </w:divBdr>
    </w:div>
    <w:div w:id="1744646897">
      <w:bodyDiv w:val="1"/>
      <w:marLeft w:val="0"/>
      <w:marRight w:val="0"/>
      <w:marTop w:val="0"/>
      <w:marBottom w:val="0"/>
      <w:divBdr>
        <w:top w:val="none" w:sz="0" w:space="0" w:color="auto"/>
        <w:left w:val="none" w:sz="0" w:space="0" w:color="auto"/>
        <w:bottom w:val="none" w:sz="0" w:space="0" w:color="auto"/>
        <w:right w:val="none" w:sz="0" w:space="0" w:color="auto"/>
      </w:divBdr>
    </w:div>
    <w:div w:id="1755666563">
      <w:bodyDiv w:val="1"/>
      <w:marLeft w:val="0"/>
      <w:marRight w:val="0"/>
      <w:marTop w:val="0"/>
      <w:marBottom w:val="0"/>
      <w:divBdr>
        <w:top w:val="none" w:sz="0" w:space="0" w:color="auto"/>
        <w:left w:val="none" w:sz="0" w:space="0" w:color="auto"/>
        <w:bottom w:val="none" w:sz="0" w:space="0" w:color="auto"/>
        <w:right w:val="none" w:sz="0" w:space="0" w:color="auto"/>
      </w:divBdr>
    </w:div>
    <w:div w:id="1758601332">
      <w:bodyDiv w:val="1"/>
      <w:marLeft w:val="0"/>
      <w:marRight w:val="0"/>
      <w:marTop w:val="0"/>
      <w:marBottom w:val="0"/>
      <w:divBdr>
        <w:top w:val="none" w:sz="0" w:space="0" w:color="auto"/>
        <w:left w:val="none" w:sz="0" w:space="0" w:color="auto"/>
        <w:bottom w:val="none" w:sz="0" w:space="0" w:color="auto"/>
        <w:right w:val="none" w:sz="0" w:space="0" w:color="auto"/>
      </w:divBdr>
    </w:div>
    <w:div w:id="1785493681">
      <w:bodyDiv w:val="1"/>
      <w:marLeft w:val="0"/>
      <w:marRight w:val="0"/>
      <w:marTop w:val="0"/>
      <w:marBottom w:val="0"/>
      <w:divBdr>
        <w:top w:val="none" w:sz="0" w:space="0" w:color="auto"/>
        <w:left w:val="none" w:sz="0" w:space="0" w:color="auto"/>
        <w:bottom w:val="none" w:sz="0" w:space="0" w:color="auto"/>
        <w:right w:val="none" w:sz="0" w:space="0" w:color="auto"/>
      </w:divBdr>
    </w:div>
    <w:div w:id="1790051943">
      <w:bodyDiv w:val="1"/>
      <w:marLeft w:val="0"/>
      <w:marRight w:val="0"/>
      <w:marTop w:val="0"/>
      <w:marBottom w:val="0"/>
      <w:divBdr>
        <w:top w:val="none" w:sz="0" w:space="0" w:color="auto"/>
        <w:left w:val="none" w:sz="0" w:space="0" w:color="auto"/>
        <w:bottom w:val="none" w:sz="0" w:space="0" w:color="auto"/>
        <w:right w:val="none" w:sz="0" w:space="0" w:color="auto"/>
      </w:divBdr>
    </w:div>
    <w:div w:id="1792899757">
      <w:bodyDiv w:val="1"/>
      <w:marLeft w:val="0"/>
      <w:marRight w:val="0"/>
      <w:marTop w:val="0"/>
      <w:marBottom w:val="0"/>
      <w:divBdr>
        <w:top w:val="none" w:sz="0" w:space="0" w:color="auto"/>
        <w:left w:val="none" w:sz="0" w:space="0" w:color="auto"/>
        <w:bottom w:val="none" w:sz="0" w:space="0" w:color="auto"/>
        <w:right w:val="none" w:sz="0" w:space="0" w:color="auto"/>
      </w:divBdr>
    </w:div>
    <w:div w:id="1799562778">
      <w:bodyDiv w:val="1"/>
      <w:marLeft w:val="0"/>
      <w:marRight w:val="0"/>
      <w:marTop w:val="0"/>
      <w:marBottom w:val="0"/>
      <w:divBdr>
        <w:top w:val="none" w:sz="0" w:space="0" w:color="auto"/>
        <w:left w:val="none" w:sz="0" w:space="0" w:color="auto"/>
        <w:bottom w:val="none" w:sz="0" w:space="0" w:color="auto"/>
        <w:right w:val="none" w:sz="0" w:space="0" w:color="auto"/>
      </w:divBdr>
    </w:div>
    <w:div w:id="1821581556">
      <w:bodyDiv w:val="1"/>
      <w:marLeft w:val="0"/>
      <w:marRight w:val="0"/>
      <w:marTop w:val="0"/>
      <w:marBottom w:val="0"/>
      <w:divBdr>
        <w:top w:val="none" w:sz="0" w:space="0" w:color="auto"/>
        <w:left w:val="none" w:sz="0" w:space="0" w:color="auto"/>
        <w:bottom w:val="none" w:sz="0" w:space="0" w:color="auto"/>
        <w:right w:val="none" w:sz="0" w:space="0" w:color="auto"/>
      </w:divBdr>
    </w:div>
    <w:div w:id="1837839991">
      <w:bodyDiv w:val="1"/>
      <w:marLeft w:val="0"/>
      <w:marRight w:val="0"/>
      <w:marTop w:val="0"/>
      <w:marBottom w:val="0"/>
      <w:divBdr>
        <w:top w:val="none" w:sz="0" w:space="0" w:color="auto"/>
        <w:left w:val="none" w:sz="0" w:space="0" w:color="auto"/>
        <w:bottom w:val="none" w:sz="0" w:space="0" w:color="auto"/>
        <w:right w:val="none" w:sz="0" w:space="0" w:color="auto"/>
      </w:divBdr>
    </w:div>
    <w:div w:id="1887642577">
      <w:bodyDiv w:val="1"/>
      <w:marLeft w:val="0"/>
      <w:marRight w:val="0"/>
      <w:marTop w:val="0"/>
      <w:marBottom w:val="0"/>
      <w:divBdr>
        <w:top w:val="none" w:sz="0" w:space="0" w:color="auto"/>
        <w:left w:val="none" w:sz="0" w:space="0" w:color="auto"/>
        <w:bottom w:val="none" w:sz="0" w:space="0" w:color="auto"/>
        <w:right w:val="none" w:sz="0" w:space="0" w:color="auto"/>
      </w:divBdr>
    </w:div>
    <w:div w:id="1900742876">
      <w:bodyDiv w:val="1"/>
      <w:marLeft w:val="0"/>
      <w:marRight w:val="0"/>
      <w:marTop w:val="0"/>
      <w:marBottom w:val="0"/>
      <w:divBdr>
        <w:top w:val="none" w:sz="0" w:space="0" w:color="auto"/>
        <w:left w:val="none" w:sz="0" w:space="0" w:color="auto"/>
        <w:bottom w:val="none" w:sz="0" w:space="0" w:color="auto"/>
        <w:right w:val="none" w:sz="0" w:space="0" w:color="auto"/>
      </w:divBdr>
    </w:div>
    <w:div w:id="1910262111">
      <w:bodyDiv w:val="1"/>
      <w:marLeft w:val="0"/>
      <w:marRight w:val="0"/>
      <w:marTop w:val="0"/>
      <w:marBottom w:val="0"/>
      <w:divBdr>
        <w:top w:val="none" w:sz="0" w:space="0" w:color="auto"/>
        <w:left w:val="none" w:sz="0" w:space="0" w:color="auto"/>
        <w:bottom w:val="none" w:sz="0" w:space="0" w:color="auto"/>
        <w:right w:val="none" w:sz="0" w:space="0" w:color="auto"/>
      </w:divBdr>
    </w:div>
    <w:div w:id="1964800255">
      <w:bodyDiv w:val="1"/>
      <w:marLeft w:val="0"/>
      <w:marRight w:val="0"/>
      <w:marTop w:val="0"/>
      <w:marBottom w:val="0"/>
      <w:divBdr>
        <w:top w:val="none" w:sz="0" w:space="0" w:color="auto"/>
        <w:left w:val="none" w:sz="0" w:space="0" w:color="auto"/>
        <w:bottom w:val="none" w:sz="0" w:space="0" w:color="auto"/>
        <w:right w:val="none" w:sz="0" w:space="0" w:color="auto"/>
      </w:divBdr>
    </w:div>
    <w:div w:id="1974014855">
      <w:bodyDiv w:val="1"/>
      <w:marLeft w:val="0"/>
      <w:marRight w:val="0"/>
      <w:marTop w:val="0"/>
      <w:marBottom w:val="0"/>
      <w:divBdr>
        <w:top w:val="none" w:sz="0" w:space="0" w:color="auto"/>
        <w:left w:val="none" w:sz="0" w:space="0" w:color="auto"/>
        <w:bottom w:val="none" w:sz="0" w:space="0" w:color="auto"/>
        <w:right w:val="none" w:sz="0" w:space="0" w:color="auto"/>
      </w:divBdr>
    </w:div>
    <w:div w:id="1979187829">
      <w:bodyDiv w:val="1"/>
      <w:marLeft w:val="0"/>
      <w:marRight w:val="0"/>
      <w:marTop w:val="0"/>
      <w:marBottom w:val="0"/>
      <w:divBdr>
        <w:top w:val="none" w:sz="0" w:space="0" w:color="auto"/>
        <w:left w:val="none" w:sz="0" w:space="0" w:color="auto"/>
        <w:bottom w:val="none" w:sz="0" w:space="0" w:color="auto"/>
        <w:right w:val="none" w:sz="0" w:space="0" w:color="auto"/>
      </w:divBdr>
    </w:div>
    <w:div w:id="2029789432">
      <w:bodyDiv w:val="1"/>
      <w:marLeft w:val="0"/>
      <w:marRight w:val="0"/>
      <w:marTop w:val="0"/>
      <w:marBottom w:val="0"/>
      <w:divBdr>
        <w:top w:val="none" w:sz="0" w:space="0" w:color="auto"/>
        <w:left w:val="none" w:sz="0" w:space="0" w:color="auto"/>
        <w:bottom w:val="none" w:sz="0" w:space="0" w:color="auto"/>
        <w:right w:val="none" w:sz="0" w:space="0" w:color="auto"/>
      </w:divBdr>
    </w:div>
    <w:div w:id="2035425972">
      <w:bodyDiv w:val="1"/>
      <w:marLeft w:val="0"/>
      <w:marRight w:val="0"/>
      <w:marTop w:val="0"/>
      <w:marBottom w:val="0"/>
      <w:divBdr>
        <w:top w:val="none" w:sz="0" w:space="0" w:color="auto"/>
        <w:left w:val="none" w:sz="0" w:space="0" w:color="auto"/>
        <w:bottom w:val="none" w:sz="0" w:space="0" w:color="auto"/>
        <w:right w:val="none" w:sz="0" w:space="0" w:color="auto"/>
      </w:divBdr>
    </w:div>
    <w:div w:id="2037728745">
      <w:bodyDiv w:val="1"/>
      <w:marLeft w:val="0"/>
      <w:marRight w:val="0"/>
      <w:marTop w:val="0"/>
      <w:marBottom w:val="0"/>
      <w:divBdr>
        <w:top w:val="none" w:sz="0" w:space="0" w:color="auto"/>
        <w:left w:val="none" w:sz="0" w:space="0" w:color="auto"/>
        <w:bottom w:val="none" w:sz="0" w:space="0" w:color="auto"/>
        <w:right w:val="none" w:sz="0" w:space="0" w:color="auto"/>
      </w:divBdr>
    </w:div>
    <w:div w:id="2040163112">
      <w:bodyDiv w:val="1"/>
      <w:marLeft w:val="0"/>
      <w:marRight w:val="0"/>
      <w:marTop w:val="0"/>
      <w:marBottom w:val="0"/>
      <w:divBdr>
        <w:top w:val="none" w:sz="0" w:space="0" w:color="auto"/>
        <w:left w:val="none" w:sz="0" w:space="0" w:color="auto"/>
        <w:bottom w:val="none" w:sz="0" w:space="0" w:color="auto"/>
        <w:right w:val="none" w:sz="0" w:space="0" w:color="auto"/>
      </w:divBdr>
    </w:div>
    <w:div w:id="2052723842">
      <w:bodyDiv w:val="1"/>
      <w:marLeft w:val="0"/>
      <w:marRight w:val="0"/>
      <w:marTop w:val="0"/>
      <w:marBottom w:val="0"/>
      <w:divBdr>
        <w:top w:val="none" w:sz="0" w:space="0" w:color="auto"/>
        <w:left w:val="none" w:sz="0" w:space="0" w:color="auto"/>
        <w:bottom w:val="none" w:sz="0" w:space="0" w:color="auto"/>
        <w:right w:val="none" w:sz="0" w:space="0" w:color="auto"/>
      </w:divBdr>
    </w:div>
    <w:div w:id="2053113153">
      <w:bodyDiv w:val="1"/>
      <w:marLeft w:val="0"/>
      <w:marRight w:val="0"/>
      <w:marTop w:val="0"/>
      <w:marBottom w:val="0"/>
      <w:divBdr>
        <w:top w:val="none" w:sz="0" w:space="0" w:color="auto"/>
        <w:left w:val="none" w:sz="0" w:space="0" w:color="auto"/>
        <w:bottom w:val="none" w:sz="0" w:space="0" w:color="auto"/>
        <w:right w:val="none" w:sz="0" w:space="0" w:color="auto"/>
      </w:divBdr>
    </w:div>
    <w:div w:id="2055235173">
      <w:bodyDiv w:val="1"/>
      <w:marLeft w:val="0"/>
      <w:marRight w:val="0"/>
      <w:marTop w:val="0"/>
      <w:marBottom w:val="0"/>
      <w:divBdr>
        <w:top w:val="none" w:sz="0" w:space="0" w:color="auto"/>
        <w:left w:val="none" w:sz="0" w:space="0" w:color="auto"/>
        <w:bottom w:val="none" w:sz="0" w:space="0" w:color="auto"/>
        <w:right w:val="none" w:sz="0" w:space="0" w:color="auto"/>
      </w:divBdr>
    </w:div>
    <w:div w:id="2055613854">
      <w:bodyDiv w:val="1"/>
      <w:marLeft w:val="0"/>
      <w:marRight w:val="0"/>
      <w:marTop w:val="0"/>
      <w:marBottom w:val="0"/>
      <w:divBdr>
        <w:top w:val="none" w:sz="0" w:space="0" w:color="auto"/>
        <w:left w:val="none" w:sz="0" w:space="0" w:color="auto"/>
        <w:bottom w:val="none" w:sz="0" w:space="0" w:color="auto"/>
        <w:right w:val="none" w:sz="0" w:space="0" w:color="auto"/>
      </w:divBdr>
    </w:div>
    <w:div w:id="2081557725">
      <w:bodyDiv w:val="1"/>
      <w:marLeft w:val="0"/>
      <w:marRight w:val="0"/>
      <w:marTop w:val="0"/>
      <w:marBottom w:val="0"/>
      <w:divBdr>
        <w:top w:val="none" w:sz="0" w:space="0" w:color="auto"/>
        <w:left w:val="none" w:sz="0" w:space="0" w:color="auto"/>
        <w:bottom w:val="none" w:sz="0" w:space="0" w:color="auto"/>
        <w:right w:val="none" w:sz="0" w:space="0" w:color="auto"/>
      </w:divBdr>
    </w:div>
    <w:div w:id="2104254482">
      <w:bodyDiv w:val="1"/>
      <w:marLeft w:val="0"/>
      <w:marRight w:val="0"/>
      <w:marTop w:val="0"/>
      <w:marBottom w:val="0"/>
      <w:divBdr>
        <w:top w:val="none" w:sz="0" w:space="0" w:color="auto"/>
        <w:left w:val="none" w:sz="0" w:space="0" w:color="auto"/>
        <w:bottom w:val="none" w:sz="0" w:space="0" w:color="auto"/>
        <w:right w:val="none" w:sz="0" w:space="0" w:color="auto"/>
      </w:divBdr>
    </w:div>
    <w:div w:id="2125072898">
      <w:bodyDiv w:val="1"/>
      <w:marLeft w:val="0"/>
      <w:marRight w:val="0"/>
      <w:marTop w:val="0"/>
      <w:marBottom w:val="0"/>
      <w:divBdr>
        <w:top w:val="none" w:sz="0" w:space="0" w:color="auto"/>
        <w:left w:val="none" w:sz="0" w:space="0" w:color="auto"/>
        <w:bottom w:val="none" w:sz="0" w:space="0" w:color="auto"/>
        <w:right w:val="none" w:sz="0" w:space="0" w:color="auto"/>
      </w:divBdr>
    </w:div>
    <w:div w:id="213439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For02</b:Tag>
    <b:SourceType>JournalArticle</b:SourceType>
    <b:Guid>{33EDC085-247F-46B2-ADF7-44A006538B98}</b:Guid>
    <b:Title>No Contagion, Only Interdependence: Measuring Stock Market Comovements</b:Title>
    <b:JournalName>The Journal of Finance</b:JournalName>
    <b:Year>2002</b:Year>
    <b:Pages>2223-2261</b:Pages>
    <b:Author>
      <b:Author>
        <b:NameList>
          <b:Person>
            <b:Last>Forbes</b:Last>
            <b:Middle>J.</b:Middle>
            <b:First>Kristin</b:First>
          </b:Person>
          <b:Person>
            <b:Last>Rigobon</b:Last>
            <b:First>Roberto</b:First>
          </b:Person>
        </b:NameList>
      </b:Author>
    </b:Author>
    <b:Month>December</b:Month>
    <b:Day>17</b:Day>
    <b:DOI> https://doi.org/10.1111/0022-1082.00494</b:DOI>
    <b:RefOrder>1</b:RefOrder>
  </b:Source>
  <b:Source>
    <b:Tag>Chi07</b:Tag>
    <b:SourceType>JournalArticle</b:SourceType>
    <b:Guid>{5F4245BF-4BE2-4753-985F-67D28A08BBD1}</b:Guid>
    <b:Title>Dynamic Correkation analysis of Financial Contagion: Evidence from Asian Markets</b:Title>
    <b:JournalName>Jornal of International Money and Finance</b:JournalName>
    <b:Year>2007</b:Year>
    <b:Pages>1206-1228</b:Pages>
    <b:Author>
      <b:Author>
        <b:NameList>
          <b:Person>
            <b:Last>Chiang</b:Last>
            <b:Middle>C.</b:Middle>
            <b:First>Thomas</b:First>
          </b:Person>
          <b:Person>
            <b:Last>Jeon</b:Last>
            <b:Middle>Nam</b:Middle>
            <b:First>Bang</b:First>
          </b:Person>
          <b:Person>
            <b:Last>Li</b:Last>
            <b:First>Huimin</b:First>
          </b:Person>
        </b:NameList>
      </b:Author>
    </b:Author>
    <b:Volume>26</b:Volume>
    <b:Issue>7</b:Issue>
    <b:YearAccessed>2026</b:YearAccessed>
    <b:MonthAccessed>March</b:MonthAccessed>
    <b:DayAccessed>22</b:DayAccessed>
    <b:DOI>https://doi.org/10.1016/j.jimonfin.2007.06.005</b:DOI>
    <b:RefOrder>29</b:RefOrder>
  </b:Source>
  <b:Source>
    <b:Tag>Bek14</b:Tag>
    <b:SourceType>JournalArticle</b:SourceType>
    <b:Guid>{BF855A58-6B0A-4771-932A-423B233FD9F8}</b:Guid>
    <b:Title>The Global Crisis and Equity Market Contagion</b:Title>
    <b:JournalName>The Journal of Finance</b:JournalName>
    <b:Year>2014</b:Year>
    <b:Pages>2597-2649</b:Pages>
    <b:Author>
      <b:Author>
        <b:NameList>
          <b:Person>
            <b:Last>Bekaert</b:Last>
            <b:First>Geert</b:First>
          </b:Person>
          <b:Person>
            <b:Last>Ehrmann</b:Last>
            <b:First>Michael</b:First>
          </b:Person>
          <b:Person>
            <b:Last>Fratzscher</b:Last>
            <b:First>Marcel</b:First>
          </b:Person>
          <b:Person>
            <b:Last>Mehl</b:Last>
            <b:First>Arnaud</b:First>
          </b:Person>
        </b:NameList>
      </b:Author>
    </b:Author>
    <b:Month>August</b:Month>
    <b:Day>11</b:Day>
    <b:Volume>69</b:Volume>
    <b:Issue>6</b:Issue>
    <b:YearAccessed>2026</b:YearAccessed>
    <b:MonthAccessed>March</b:MonthAccessed>
    <b:DayAccessed>22</b:DayAccessed>
    <b:DOI>https://doi.org/10.1111/jofi.12203</b:DOI>
    <b:RefOrder>30</b:RefOrder>
  </b:Source>
  <b:Source>
    <b:Tag>Bei13</b:Tag>
    <b:SourceType>JournalArticle</b:SourceType>
    <b:Guid>{BEC59375-0FC9-469A-B470-1FE05276ED13}</b:Guid>
    <b:Title>The pricing of sovereign risk and contagion during the European sovereign debt crisis</b:Title>
    <b:JournalName>The Journal of International Money and Finance</b:JournalName>
    <b:Year>2013</b:Year>
    <b:Pages>60-82</b:Pages>
    <b:Author>
      <b:Author>
        <b:NameList>
          <b:Person>
            <b:Last>Beirne</b:Last>
            <b:First>John</b:First>
          </b:Person>
          <b:Person>
            <b:Last>Fratzscher</b:Last>
            <b:First>Marcel</b:First>
          </b:Person>
        </b:NameList>
      </b:Author>
    </b:Author>
    <b:Month>April</b:Month>
    <b:Volume>34</b:Volume>
    <b:YearAccessed>2026</b:YearAccessed>
    <b:MonthAccessed>March</b:MonthAccessed>
    <b:DayAccessed>22</b:DayAccessed>
    <b:DOI>https://doi.org/10.1016/j.jimonfin.2012.11.004</b:DOI>
    <b:RefOrder>31</b:RefOrder>
  </b:Source>
  <b:Source>
    <b:Tag>Ham89</b:Tag>
    <b:SourceType>JournalArticle</b:SourceType>
    <b:Guid>{BE3608FE-8286-46EE-A2CB-DA3277624F01}</b:Guid>
    <b:Title>A New Approach to the Economic Analysis of Nonstationary Time Series and the Business Cycle</b:Title>
    <b:JournalName>Econometrica</b:JournalName>
    <b:Year>1989</b:Year>
    <b:Pages>357-384</b:Pages>
    <b:Author>
      <b:Author>
        <b:NameList>
          <b:Person>
            <b:Last>Hamilton</b:Last>
            <b:Middle>D.</b:Middle>
            <b:First>James</b:First>
          </b:Person>
        </b:NameList>
      </b:Author>
    </b:Author>
    <b:Month>March</b:Month>
    <b:Volume>57</b:Volume>
    <b:Issue>2</b:Issue>
    <b:DOI>https://doi.org/10.2307/1912559</b:DOI>
    <b:RefOrder>32</b:RefOrder>
  </b:Source>
  <b:Source>
    <b:Tag>Gra96</b:Tag>
    <b:SourceType>JournalArticle</b:SourceType>
    <b:Guid>{96EF5013-934B-4C73-8BEC-CB2DC59A116E}</b:Guid>
    <b:Title>Modeling the conditional distribution of interest rates as a regime-switching process</b:Title>
    <b:JournalName>Journal of Financial Economics</b:JournalName>
    <b:Year>1996</b:Year>
    <b:Pages>27-62</b:Pages>
    <b:Author>
      <b:Author>
        <b:NameList>
          <b:Person>
            <b:Last>Gray</b:Last>
            <b:Middle>F.</b:Middle>
            <b:First>Stephen</b:First>
          </b:Person>
        </b:NameList>
      </b:Author>
    </b:Author>
    <b:Month>September</b:Month>
    <b:Volume>42</b:Volume>
    <b:Issue>1</b:Issue>
    <b:DOI>https://doi.org/10.1016/0304-405X(96)00875-6</b:DOI>
    <b:RefOrder>33</b:RefOrder>
  </b:Source>
  <b:Source>
    <b:Tag>Wal11</b:Tag>
    <b:SourceType>JournalArticle</b:SourceType>
    <b:Guid>{DB5BD702-E03C-4373-8A29-8C0685A4DB24}</b:Guid>
    <b:Title>Stock market volatility and exchange rates in emerging countries: A Markov-state switching approach</b:Title>
    <b:JournalName>Emerging Markets Review</b:JournalName>
    <b:Year>2011</b:Year>
    <b:Pages>272-292</b:Pages>
    <b:Author>
      <b:Author>
        <b:NameList>
          <b:Person>
            <b:Last>Walid</b:Last>
            <b:First>Chkili</b:First>
          </b:Person>
          <b:Person>
            <b:Last>Chaker</b:Last>
            <b:First>Aloui</b:First>
          </b:Person>
          <b:Person>
            <b:Last>Masood</b:Last>
            <b:First>Omar</b:First>
          </b:Person>
          <b:Person>
            <b:Last>Fry</b:Last>
            <b:First>John</b:First>
          </b:Person>
        </b:NameList>
      </b:Author>
    </b:Author>
    <b:Month>September</b:Month>
    <b:Volume>12</b:Volume>
    <b:Issue>3</b:Issue>
    <b:DOI>https://doi.org/10.1016/j.ememar.2011.04.003</b:DOI>
    <b:RefOrder>34</b:RefOrder>
  </b:Source>
  <b:Source>
    <b:Tag>Ken11</b:Tag>
    <b:SourceType>JournalArticle</b:SourceType>
    <b:Guid>{AB12437C-C9E5-4F20-AF5D-3B02D85623A4}</b:Guid>
    <b:Title>Financial crises and stock market contagion in a multivariate time-varying asymmetric framework</b:Title>
    <b:JournalName>Journal of International Financial Markets, Institutions and Money</b:JournalName>
    <b:Year>2011</b:Year>
    <b:Pages>92-106</b:Pages>
    <b:Author>
      <b:Author>
        <b:NameList>
          <b:Person>
            <b:Last>Kenourgios</b:Last>
            <b:First>Dimitris</b:First>
          </b:Person>
          <b:Person>
            <b:Last>Samitas</b:Last>
            <b:First>Aristeidis</b:First>
          </b:Person>
          <b:Person>
            <b:Last>Paltalidis</b:Last>
            <b:First>Nikos</b:First>
          </b:Person>
        </b:NameList>
      </b:Author>
    </b:Author>
    <b:Month>February</b:Month>
    <b:Volume>21</b:Volume>
    <b:Issue>1</b:Issue>
    <b:DOI>https://doi.org/10.1016/j.intfin.2010.08.005</b:DOI>
    <b:RefOrder>35</b:RefOrder>
  </b:Source>
  <b:Source>
    <b:Tag>Agy24</b:Tag>
    <b:SourceType>JournalArticle</b:SourceType>
    <b:Guid>{3E0C1277-93B0-42E3-AEA9-F9B3CD68E6C6}</b:Guid>
    <b:Title>Conditional Macroeconomic and Stock Market Volatility Under Regime Switching: Empirical Evidence from Africa</b:Title>
    <b:JournalName>Quantitative Finance and Economics</b:JournalName>
    <b:Year>2024</b:Year>
    <b:Pages>255-285</b:Pages>
    <b:Author>
      <b:Author>
        <b:NameList>
          <b:Person>
            <b:Last>Agyemang-Badu</b:Last>
            <b:Middle>A.</b:Middle>
            <b:First>Albert</b:First>
          </b:Person>
          <b:Person>
            <b:Last>Olmedo</b:Last>
            <b:Middle>Gallardo</b:Middle>
            <b:First>Fernando</b:First>
          </b:Person>
          <b:Person>
            <b:Last>Mella-Marquez</b:Last>
            <b:Middle>Maria</b:Middle>
            <b:First>Jose</b:First>
          </b:Person>
        </b:NameList>
      </b:Author>
    </b:Author>
    <b:Month>June</b:Month>
    <b:Day>10</b:Day>
    <b:Volume>8</b:Volume>
    <b:Issue>2</b:Issue>
    <b:DOI>10.3934/QFE.2024010</b:DOI>
    <b:RefOrder>36</b:RefOrder>
  </b:Source>
  <b:Source>
    <b:Tag>Muz22</b:Tag>
    <b:SourceType>JournalArticle</b:SourceType>
    <b:Guid>{F3EF11F3-5A8E-4E23-9A48-5DB96AFDB88B}</b:Guid>
    <b:Title>Contagion Risk in Equity Markets During Financial Crises and COVID-19: A Comparison of Developed and Emerging Markets</b:Title>
    <b:JournalName>Scientific Annals of Economics And Business</b:JournalName>
    <b:Year>2022</b:Year>
    <b:Pages>615-629</b:Pages>
    <b:Author>
      <b:Author>
        <b:NameList>
          <b:Person>
            <b:Last>Muzindutsi</b:Last>
            <b:First>Paul-Francois</b:First>
          </b:Person>
          <b:Person>
            <b:Last>Sheodin</b:Last>
            <b:First>Akita</b:First>
          </b:Person>
          <b:Person>
            <b:Last>Moodley</b:Last>
            <b:First>Joshua</b:First>
          </b:Person>
          <b:Person>
            <b:Last>Moodley</b:Last>
            <b:First>Khmera</b:First>
          </b:Person>
          <b:Person>
            <b:Last>Naidoo</b:Last>
            <b:First>Mayuri</b:First>
          </b:Person>
          <b:Person>
            <b:Last>Ramjiyavan</b:Last>
            <b:First>Purusha </b:First>
          </b:Person>
          <b:Person>
            <b:Last>Moonsamy</b:Last>
            <b:First>Rinay </b:First>
          </b:Person>
          <b:Person>
            <b:Last>Pillay</b:Last>
            <b:Middle>A.</b:Middle>
            <b:First>Tiffany</b:First>
          </b:Person>
          <b:Person>
            <b:Last>Dube</b:Last>
            <b:First>Fikile</b:First>
          </b:Person>
        </b:NameList>
      </b:Author>
    </b:Author>
    <b:Volume>69</b:Volume>
    <b:Issue>4</b:Issue>
    <b:DOI>10.47743/saeb-2022-0026</b:DOI>
    <b:RefOrder>37</b:RefOrder>
  </b:Source>
  <b:Source>
    <b:Tag>Sid22</b:Tag>
    <b:SourceType>JournalArticle</b:SourceType>
    <b:Guid>{42656A65-5D8B-4604-B179-EFAC3E3190B9}</b:Guid>
    <b:Title>Cross-Market Correlations and Financial Contagion from Developed to Emerging Economies: A Case of COVID-19 Pandemic</b:Title>
    <b:JournalName>Economies</b:JournalName>
    <b:Year>2022</b:Year>
    <b:Pages>147-159</b:Pages>
    <b:Author>
      <b:Author>
        <b:NameList>
          <b:Person>
            <b:Last>Siddiqui </b:Last>
            <b:Middle>Ahmad </b:Middle>
            <b:First>Taufeeque </b:First>
          </b:Person>
          <b:Person>
            <b:Last>Khan </b:Last>
            <b:Middle>Fatima</b:Middle>
            <b:First>Mazia </b:First>
          </b:Person>
          <b:Person>
            <b:Last>Naushad </b:Last>
            <b:First>Mohammad </b:First>
          </b:Person>
          <b:Person>
            <b:Last>Syed </b:Last>
            <b:Middle>Malik </b:Middle>
            <b:First>Abdul</b:First>
          </b:Person>
        </b:NameList>
      </b:Author>
    </b:Author>
    <b:Month>June</b:Month>
    <b:Day>16</b:Day>
    <b:Volume>10</b:Volume>
    <b:Issue>6</b:Issue>
    <b:DOI> https://doi.org/10.3390/economies10060147</b:DOI>
    <b:RefOrder>38</b:RefOrder>
  </b:Source>
  <b:Source>
    <b:Tag>Gun22</b:Tag>
    <b:SourceType>JournalArticle</b:SourceType>
    <b:Guid>{C6844317-111E-45E0-AAE6-A004AF227695}</b:Guid>
    <b:Title>Thesource offinancial contagion andSpillovers: An evaluation of the Covid-19 pandemic and the global financial crises</b:Title>
    <b:JournalName>PLoS ONE </b:JournalName>
    <b:Year>2022</b:Year>
    <b:Pages>e0261835</b:Pages>
    <b:Author>
      <b:Author>
        <b:NameList>
          <b:Person>
            <b:Last>Gunay </b:Last>
            <b:First>Samet</b:First>
          </b:Person>
          <b:Person>
            <b:Last>Can</b:Last>
            <b:First>Gokberk</b:First>
          </b:Person>
        </b:NameList>
      </b:Author>
    </b:Author>
    <b:Month>January</b:Month>
    <b:Day>14</b:Day>
    <b:Volume>17</b:Volume>
    <b:Issue>1</b:Issue>
    <b:DOI>https://doi.org/10.1371/journal.pone.0261835</b:DOI>
    <b:RefOrder>39</b:RefOrder>
  </b:Source>
  <b:Source>
    <b:Tag>BEK14</b:Tag>
    <b:SourceType>JournalArticle</b:SourceType>
    <b:Guid>{A34304E6-365E-4603-92F2-9F1894E05BF8}</b:Guid>
    <b:Title>The Global Crisis and Equity Market Contagion</b:Title>
    <b:JournalName>The Journal of Finance</b:JournalName>
    <b:Year>2014</b:Year>
    <b:Pages>The Global Crisis and Equity Market Contagion</b:Pages>
    <b:Author>
      <b:Author>
        <b:NameList>
          <b:Person>
            <b:Last>BEKAERT</b:Last>
            <b:First>GEERT </b:First>
          </b:Person>
          <b:Person>
            <b:Last>EHRMANN</b:Last>
            <b:First>MICHAEL </b:First>
          </b:Person>
          <b:Person>
            <b:Last>FRATZSCHER</b:Last>
            <b:First>MARCEL </b:First>
          </b:Person>
          <b:Person>
            <b:Last>MEHL</b:Last>
            <b:First>ARNAUD</b:First>
          </b:Person>
        </b:NameList>
      </b:Author>
    </b:Author>
    <b:Month>August</b:Month>
    <b:Day>11</b:Day>
    <b:Volume>69</b:Volume>
    <b:Issue>6</b:Issue>
    <b:YearAccessed>2026</b:YearAccessed>
    <b:MonthAccessed>March</b:MonthAccessed>
    <b:DOI>https://doi.org/10.1111/jofi.12203</b:DOI>
    <b:RefOrder>40</b:RefOrder>
  </b:Source>
  <b:Source>
    <b:Tag>Bak20</b:Tag>
    <b:SourceType>JournalArticle</b:SourceType>
    <b:Guid>{850FBE43-526C-491C-B3EA-D8095634E977}</b:Guid>
    <b:Title>The Unprecedented Stock Market Reaction to COVID-19</b:Title>
    <b:JournalName>The Review of Asset Pricing Studies</b:JournalName>
    <b:Year>2020</b:Year>
    <b:Pages>742–758</b:Pages>
    <b:Author>
      <b:Author>
        <b:NameList>
          <b:Person>
            <b:Last>Baker</b:Last>
            <b:Middle>R </b:Middle>
            <b:First>Scott </b:First>
          </b:Person>
          <b:Person>
            <b:Last>Bloom</b:Last>
            <b:First> Nicholas </b:First>
          </b:Person>
          <b:Person>
            <b:Last>Davis</b:Last>
            <b:Middle>J </b:Middle>
            <b:First>Steven </b:First>
          </b:Person>
          <b:Person>
            <b:Last>Kost</b:Last>
            <b:First>Kyle </b:First>
          </b:Person>
          <b:Person>
            <b:Last>Sammon </b:Last>
            <b:First>Marco </b:First>
          </b:Person>
          <b:Person>
            <b:Last>Viratyosin</b:Last>
            <b:First>Tasaneeya </b:First>
          </b:Person>
        </b:NameList>
      </b:Author>
    </b:Author>
    <b:Month>July</b:Month>
    <b:Day>18</b:Day>
    <b:Volume>10</b:Volume>
    <b:Issue>4</b:Issue>
    <b:DOI>https://doi.org/10.1093/rapstu/raaa008</b:DOI>
    <b:RefOrder>41</b:RefOrder>
  </b:Source>
  <b:Source>
    <b:Tag>Log24</b:Tag>
    <b:SourceType>JournalArticle</b:SourceType>
    <b:Guid>{2C7E350D-17EB-4059-AD94-A3537DA1218B}</b:Guid>
    <b:Title>Regional and global shock spillovers to Africa’s equity markets: evidence from the global financial crisis and COVID‑19 pandemic</b:Title>
    <b:JournalName>SN Business and Economics</b:JournalName>
    <b:Year>2024</b:Year>
    <b:Pages>2024</b:Pages>
    <b:Author>
      <b:Author>
        <b:NameList>
          <b:Person>
            <b:Last>Logogye</b:Last>
            <b:First>Louis </b:First>
          </b:Person>
          <b:Person>
            <b:Last>Aawaar</b:Last>
            <b:First>Godfred </b:First>
          </b:Person>
          <b:Person>
            <b:Last>Poku</b:Last>
            <b:First>Kwasi </b:First>
          </b:Person>
        </b:NameList>
      </b:Author>
    </b:Author>
    <b:Month>November</b:Month>
    <b:Day>29</b:Day>
    <b:Volume>4</b:Volume>
    <b:Issue>166</b:Issue>
    <b:DOI>https://doi.org/10.1007/s43546-024-00764-w</b:DOI>
    <b:RefOrder>42</b:RefOrder>
  </b:Source>
  <b:Source>
    <b:Tag>Mud23</b:Tag>
    <b:SourceType>JournalArticle</b:SourceType>
    <b:Guid>{071874D0-E7C5-426A-90EC-2599A2894D5D}</b:Guid>
    <b:Title>Impacts of U.S. Stock Market Crash on South African Top Sector Indices, Volatility, and Market Linkages: Evidence of Copula-Based BEKK-GARCH Models</b:Title>
    <b:JournalName>International Journal of Financial Studies</b:JournalName>
    <b:Year>2023</b:Year>
    <b:Pages>77</b:Pages>
    <b:Author>
      <b:Author>
        <b:NameList>
          <b:Person>
            <b:Last>Mudiangombe</b:Last>
            <b:Middle>Mudiangombe </b:Middle>
            <b:First>Benjamin </b:First>
          </b:Person>
          <b:Person>
            <b:Last>Mwamba</b:Last>
            <b:Middle>Weirstrass Muteba</b:Middle>
            <b:First>John </b:First>
          </b:Person>
        </b:NameList>
      </b:Author>
    </b:Author>
    <b:Month>June</b:Month>
    <b:Day>10</b:Day>
    <b:Volume>11</b:Volume>
    <b:Issue>2</b:Issue>
    <b:DOI>https://doi.org/10.3390/ijfs11020077</b:DOI>
    <b:RefOrder>9</b:RefOrder>
  </b:Source>
  <b:Source>
    <b:Tag>Yar22</b:Tag>
    <b:SourceType>JournalArticle</b:SourceType>
    <b:Guid>{1D56C3E1-AE3B-4974-BDCE-A6D874330BDD}</b:Guid>
    <b:Title>Rethinking financial contagion: Information transmission mechanism during the COVID-19 pandemic</b:Title>
    <b:JournalName>Journal of International Financial Markets, Institutions and Money</b:JournalName>
    <b:Year>2022</b:Year>
    <b:Pages>101589</b:Pages>
    <b:Author>
      <b:Author>
        <b:NameList>
          <b:Person>
            <b:Last>Yarovaya</b:Last>
            <b:First>Larisa </b:First>
          </b:Person>
          <b:Person>
            <b:Last>Brzeszczyński </b:Last>
            <b:First>Janusz </b:First>
          </b:Person>
          <b:Person>
            <b:Last>Goodell </b:Last>
            <b:Middle>W. </b:Middle>
            <b:First>John </b:First>
          </b:Person>
          <b:Person>
            <b:Last>Lucey</b:Last>
            <b:First>Brian </b:First>
          </b:Person>
          <b:Person>
            <b:Last>Marco Lau</b:Last>
            <b:Middle>Keung </b:Middle>
            <b:First>Chi </b:First>
          </b:Person>
        </b:NameList>
      </b:Author>
    </b:Author>
    <b:Month>July</b:Month>
    <b:Volume>79</b:Volume>
    <b:DOI>https://doi.org/10.1016/j.intfin.2022.101589</b:DOI>
    <b:RefOrder>2</b:RefOrder>
  </b:Source>
  <b:Source>
    <b:Tag>Har20</b:Tag>
    <b:SourceType>JournalArticle</b:SourceType>
    <b:Guid>{04A7FCCA-E7C6-48A4-BC04-EECE85E208ED}</b:Guid>
    <b:Title>COVID-19: Media coverage and financial markets behavior—A sectoral inquiry</b:Title>
    <b:JournalName>Journal of Behavioral and Experimental Finance</b:JournalName>
    <b:Year>2020</b:Year>
    <b:Pages>100343</b:Pages>
    <b:Author>
      <b:Author>
        <b:NameList>
          <b:Person>
            <b:Last>Haroon</b:Last>
            <b:First>Omair </b:First>
          </b:Person>
          <b:Person>
            <b:Last>Rizvi</b:Last>
            <b:Middle>Aun R. </b:Middle>
            <b:First>Syed </b:First>
          </b:Person>
        </b:NameList>
      </b:Author>
    </b:Author>
    <b:Month>September</b:Month>
    <b:Volume>27</b:Volume>
    <b:DOI>https://doi.org/10.1016/j.jbef.2020.100343</b:DOI>
    <b:RefOrder>43</b:RefOrder>
  </b:Source>
  <b:Source>
    <b:Tag>Cep20</b:Tag>
    <b:SourceType>JournalArticle</b:SourceType>
    <b:Guid>{EDF55627-6F98-47FF-BA60-770765A5A23C}</b:Guid>
    <b:Title>Asymmetric dependence between stock market returns and news during COVID-19 financial turmoil</b:Title>
    <b:JournalName>Finance Research Letters</b:JournalName>
    <b:Year>2020</b:Year>
    <b:Pages>101658</b:Pages>
    <b:Author>
      <b:Author>
        <b:NameList>
          <b:Person>
            <b:Last>Cepoi</b:Last>
            <b:First>Cosmin-Octavian </b:First>
          </b:Person>
        </b:NameList>
      </b:Author>
    </b:Author>
    <b:Month>October</b:Month>
    <b:Volume>36</b:Volume>
    <b:DOI>https://doi.org/10.1016/j.frl.2020.101658</b:DOI>
    <b:RefOrder>44</b:RefOrder>
  </b:Source>
  <b:Source>
    <b:Tag>Lyó20</b:Tag>
    <b:SourceType>JournalArticle</b:SourceType>
    <b:Guid>{D8FC364F-3ADF-4DE5-8BD8-1509E8102BCA}</b:Guid>
    <b:Title>Fear of the coronavirus and the stock markets</b:Title>
    <b:JournalName>Finance Research Letters</b:JournalName>
    <b:Year>2020</b:Year>
    <b:Pages>101735</b:Pages>
    <b:Author>
      <b:Author>
        <b:NameList>
          <b:Person>
            <b:Last>Lyócsa</b:Last>
            <b:First>Štefan </b:First>
          </b:Person>
          <b:Person>
            <b:Last>Baumöhl</b:Last>
            <b:First>Eduard </b:First>
          </b:Person>
          <b:Person>
            <b:Last>Výrost </b:Last>
            <b:First>Tomáš </b:First>
          </b:Person>
          <b:Person>
            <b:Last>Molnár</b:Last>
            <b:First>Peter </b:First>
          </b:Person>
        </b:NameList>
      </b:Author>
    </b:Author>
    <b:Month>October</b:Month>
    <b:Volume>36</b:Volume>
    <b:DOI>https://doi.org/10.1016/j.frl.2020.101735</b:DOI>
    <b:RefOrder>45</b:RefOrder>
  </b:Source>
  <b:Source>
    <b:Tag>VAN22</b:Tag>
    <b:SourceType>JournalArticle</b:SourceType>
    <b:Guid>{97A2A15B-16D4-48FF-ADCE-FBEEDCE089F1}</b:Guid>
    <b:Title>CONTAGION ACROSS FINANCIAL MARKETS DURING COVID-19: A LOOK AT VOLATILITY SPILLOVERS BETWEEN THE STOCK AND FOREIGN EXCHANGE MARKETS IN SOUTH AFRICA</b:Title>
    <b:JournalName>Annals of Financial Economics</b:JournalName>
    <b:Year>2022</b:Year>
    <b:Pages>2250002</b:Pages>
    <b:Author>
      <b:Author>
        <b:NameList>
          <b:Person>
            <b:Last>Van Eyden</b:Last>
            <b:First>Renee</b:First>
          </b:Person>
          <b:Person>
            <b:Last>Van der Westhuizen</b:Last>
            <b:First>Chevaughn</b:First>
          </b:Person>
          <b:Person>
            <b:Last>Aye</b:Last>
            <b:Middle>C.</b:Middle>
            <b:First>Goodness</b:First>
          </b:Person>
        </b:NameList>
      </b:Author>
    </b:Author>
    <b:Volume>17</b:Volume>
    <b:Issue>1</b:Issue>
    <b:DOI>https://doi.org/10.1142/S2010495222500026</b:DOI>
    <b:RefOrder>46</b:RefOrder>
  </b:Source>
  <b:Source>
    <b:Tag>Sib14</b:Tag>
    <b:SourceType>JournalArticle</b:SourceType>
    <b:Guid>{369D7AB9-2765-4520-B0AA-2F8D096E66AA}</b:Guid>
    <b:Title>The Impact of Oil Prices on the Exchange Rate in South Africa</b:Title>
    <b:JournalName>Journal of Economics</b:JournalName>
    <b:Year>2014</b:Year>
    <b:Pages>193-199</b:Pages>
    <b:Author>
      <b:Author>
        <b:NameList>
          <b:Person>
            <b:Last>Sibanda</b:Last>
            <b:First>Kin </b:First>
          </b:Person>
          <b:Person>
            <b:Last>Mlambo</b:Last>
            <b:First>Courage </b:First>
          </b:Person>
        </b:NameList>
      </b:Author>
    </b:Author>
    <b:Month>August</b:Month>
    <b:Volume>5</b:Volume>
    <b:Issue>2</b:Issue>
    <b:DOI>10.1080/09765239.2014.11884996</b:DOI>
    <b:RefOrder>47</b:RefOrder>
  </b:Source>
  <b:Source>
    <b:Tag>Upp26</b:Tag>
    <b:SourceType>JournalArticle</b:SourceType>
    <b:Guid>{23D12E92-A108-4C19-A307-3E3AE7A3E295}</b:Guid>
    <b:Title>What happens to emerging market economies when US yields go up?</b:Title>
    <b:JournalName>Journal of International Money and Finance</b:JournalName>
    <b:Year>2026</b:Year>
    <b:Pages>103442</b:Pages>
    <b:Month>January</b:Month>
    <b:Volume>160</b:Volume>
    <b:DOI>https://doi.org/10.1016/j.jimonfin.2025.103442</b:DOI>
    <b:Author>
      <b:Author>
        <b:NameList>
          <b:Person>
            <b:Last>Caballero</b:Last>
            <b:First>Julian</b:First>
          </b:Person>
          <b:Person>
            <b:Last>Upper</b:Last>
            <b:First>Christian</b:First>
          </b:Person>
        </b:NameList>
      </b:Author>
    </b:Author>
    <b:RefOrder>6</b:RefOrder>
  </b:Source>
  <b:Source>
    <b:Tag>Miy15</b:Tag>
    <b:SourceType>JournalArticle</b:SourceType>
    <b:Guid>{D12C3900-DFB7-458D-836A-8F5D1A1B671E}</b:Guid>
    <b:Title>Emerging market local currency bonds: Diversification and stability</b:Title>
    <b:JournalName>Emerging market local currency bonds: Diversification and stability</b:JournalName>
    <b:Year>2015</b:Year>
    <b:Pages> 126-139</b:Pages>
    <b:Author>
      <b:Author>
        <b:NameList>
          <b:Person>
            <b:Last>Miyajima</b:Last>
            <b:First>Ken </b:First>
          </b:Person>
          <b:Person>
            <b:Last>Mohanty</b:Last>
            <b:First>M.S. </b:First>
          </b:Person>
          <b:Person>
            <b:Last>Chan</b:Last>
            <b:First>Tracy </b:First>
          </b:Person>
        </b:NameList>
      </b:Author>
    </b:Author>
    <b:Month>March </b:Month>
    <b:Volume>22</b:Volume>
    <b:DOI>https://doi.org/10.1016/j.ememar.2014.09.006</b:DOI>
    <b:RefOrder>48</b:RefOrder>
  </b:Source>
  <b:Source>
    <b:Tag>Mar52</b:Tag>
    <b:SourceType>JournalArticle</b:SourceType>
    <b:Guid>{2E3CB809-F2CE-49B8-AE8C-AF249ED371EF}</b:Guid>
    <b:Title>Portfolio Selection</b:Title>
    <b:JournalName>Journal of Finance, American Finance Association</b:JournalName>
    <b:Year>1952</b:Year>
    <b:Pages>77-91</b:Pages>
    <b:Author>
      <b:Author>
        <b:NameList>
          <b:Person>
            <b:Last>Markowitz</b:Last>
            <b:First>Harry </b:First>
          </b:Person>
        </b:NameList>
      </b:Author>
    </b:Author>
    <b:Volume>7</b:Volume>
    <b:Issue>1</b:Issue>
    <b:DOI>j.1540-6261.1952.tb01525.x</b:DOI>
    <b:RefOrder>20</b:RefOrder>
  </b:Source>
  <b:Source>
    <b:Tag>Mar59</b:Tag>
    <b:SourceType>Book</b:SourceType>
    <b:Guid>{C8DB2E4D-BCC9-4163-8D3F-14B928AFD6BC}</b:Guid>
    <b:Title>Portfolio Selection: Efficient Diversification of Investments</b:Title>
    <b:Year>1959</b:Year>
    <b:City>New York</b:City>
    <b:Publisher>John Wiley &amp; Sons</b:Publisher>
    <b:Author>
      <b:Author>
        <b:NameList>
          <b:Person>
            <b:Last>Markowitz </b:Last>
            <b:Middle>M.</b:Middle>
            <b:First>Harry </b:First>
          </b:Person>
        </b:NameList>
      </b:Author>
    </b:Author>
    <b:DOI>ISBN: 978-1-557-86108-5</b:DOI>
    <b:RefOrder>21</b:RefOrder>
  </b:Source>
  <b:Source>
    <b:Tag>Dor00</b:Tag>
    <b:SourceType>JournalArticle</b:SourceType>
    <b:Guid>{F04EA069-D21F-4EA0-9A27-8916F6654877}</b:Guid>
    <b:Title>Contagion: Understanding How It Spreads</b:Title>
    <b:Year>2000</b:Year>
    <b:JournalName>The World Bank Research Observer</b:JournalName>
    <b:Pages>177–197</b:Pages>
    <b:Month>August</b:Month>
    <b:DOI>https://doi.org/10.1093/wbro/15.2.177</b:DOI>
    <b:Author>
      <b:Author>
        <b:NameList>
          <b:Person>
            <b:Last>Dornbusch</b:Last>
            <b:First>Rudiger </b:First>
          </b:Person>
          <b:Person>
            <b:Last>Park</b:Last>
            <b:Middle>Chul </b:Middle>
            <b:First>Yung </b:First>
          </b:Person>
          <b:Person>
            <b:Last>Claessens</b:Last>
            <b:First>Stijn</b:First>
          </b:Person>
        </b:NameList>
      </b:Author>
    </b:Author>
    <b:RefOrder>22</b:RefOrder>
  </b:Source>
  <b:Source>
    <b:Tag>Pre02</b:Tag>
    <b:SourceType>JournalArticle</b:SourceType>
    <b:Guid>{8FDFC46E-61CA-4A96-B627-7CDC41D7732E}</b:Guid>
    <b:Title>Economic determinants of emerging stock market interdependence</b:Title>
    <b:JournalName>Emerging Markets Review</b:JournalName>
    <b:Year>2002</b:Year>
    <b:Pages>84-105</b:Pages>
    <b:Author>
      <b:Author>
        <b:NameList>
          <b:Person>
            <b:Last>Pretorius</b:Last>
            <b:First>Elna </b:First>
          </b:Person>
        </b:NameList>
      </b:Author>
    </b:Author>
    <b:Month>March</b:Month>
    <b:Day>1</b:Day>
    <b:Volume>3</b:Volume>
    <b:Issue>1</b:Issue>
    <b:DOI>https://doi.org/10.1016/S1566-0141(01)00032-2</b:DOI>
    <b:RefOrder>23</b:RefOrder>
  </b:Source>
  <b:Source>
    <b:Tag>AKE78</b:Tag>
    <b:SourceType>JournalArticle</b:SourceType>
    <b:Guid>{72DAB61F-D9F9-488C-A16E-1DF1D90B9FBA}</b:Guid>
    <b:Title>THE MARKET FOR “LEMONS”: QUALITY UNCERTAINTY AND THE MARKET MECHANISM</b:Title>
    <b:JournalName>Uncertainty in Economics</b:JournalName>
    <b:Year>1978</b:Year>
    <b:Pages> 237-251</b:Pages>
    <b:Author>
      <b:Author>
        <b:NameList>
          <b:Person>
            <b:Last>AKERLOF</b:Last>
            <b:Middle>A. </b:Middle>
            <b:First>GEORGE </b:First>
          </b:Person>
        </b:NameList>
      </b:Author>
    </b:Author>
    <b:DOI>https://doi.org/10.1016/B978-0-12-214850-7.50022-X</b:DOI>
    <b:RefOrder>24</b:RefOrder>
  </b:Source>
  <b:Source>
    <b:Tag>Ban92</b:Tag>
    <b:SourceType>JournalArticle</b:SourceType>
    <b:Guid>{4B6C23EE-521D-4333-94F5-1D0470C9CC0D}</b:Guid>
    <b:Title>A Simple Model of Herd Behavior</b:Title>
    <b:JournalName>The Quarterly Journal of Economics</b:JournalName>
    <b:Year>1992</b:Year>
    <b:Pages>797–817</b:Pages>
    <b:Author>
      <b:Author>
        <b:NameList>
          <b:Person>
            <b:Last>Banerjee</b:Last>
            <b:Middle>V. </b:Middle>
            <b:First>Abhijit </b:First>
          </b:Person>
        </b:NameList>
      </b:Author>
    </b:Author>
    <b:Volume>107</b:Volume>
    <b:DOI>https://doi.org/10.2307/2118364</b:DOI>
    <b:RefOrder>25</b:RefOrder>
  </b:Source>
  <b:Source>
    <b:Tag>Bik92</b:Tag>
    <b:SourceType>JournalArticle</b:SourceType>
    <b:Guid>{F2C03B59-F3A6-4656-8BB2-C77C846BBD4B}</b:Guid>
    <b:Title>A Theory of Fads, Fashion, Custom, and Cultural Change as Informational Cascades</b:Title>
    <b:JournalName>Journal of Political Economy</b:JournalName>
    <b:Year>1992</b:Year>
    <b:Author>
      <b:Author>
        <b:NameList>
          <b:Person>
            <b:Last>Bikhchandani</b:Last>
            <b:First>Sushil </b:First>
          </b:Person>
          <b:Person>
            <b:Last>Hirshleifer</b:Last>
            <b:First>David </b:First>
          </b:Person>
          <b:Person>
            <b:Last>Welch</b:Last>
            <b:First>Ivo </b:First>
          </b:Person>
        </b:NameList>
      </b:Author>
    </b:Author>
    <b:Month>October</b:Month>
    <b:Volume>100</b:Volume>
    <b:Issue>5</b:Issue>
    <b:DOI>https://doi.org/10.1086/261849</b:DOI>
    <b:RefOrder>26</b:RefOrder>
  </b:Source>
  <b:Source>
    <b:Tag>Kin90</b:Tag>
    <b:SourceType>JournalArticle</b:SourceType>
    <b:Guid>{8700BDE0-0BA4-4ADD-8808-E425D4D4A643}</b:Guid>
    <b:Title>Transmission of Volatility between Stock Markets</b:Title>
    <b:JournalName>The Review of Financial Studies</b:JournalName>
    <b:Year>1990</b:Year>
    <b:Pages>5–33</b:Pages>
    <b:Author>
      <b:Author>
        <b:NameList>
          <b:Person>
            <b:Last>King </b:Last>
            <b:Middle>A. </b:Middle>
            <b:First>Mervyn </b:First>
          </b:Person>
          <b:Person>
            <b:Last>Wadhwani</b:Last>
            <b:First>Sushil </b:First>
          </b:Person>
        </b:NameList>
      </b:Author>
    </b:Author>
    <b:Volume>3</b:Volume>
    <b:Issue>1</b:Issue>
    <b:DOI>https://doi.org/10.1093/rfs/3.1.5</b:DOI>
    <b:RefOrder>27</b:RefOrder>
  </b:Source>
  <b:Source>
    <b:Tag>Cal00</b:Tag>
    <b:SourceType>JournalArticle</b:SourceType>
    <b:Guid>{C690A222-4633-4A4A-8882-C7CFE077E649}</b:Guid>
    <b:Title>Rational contagion and the globalization of securities markets</b:Title>
    <b:JournalName>Journal of International Economics</b:JournalName>
    <b:Year>2000</b:Year>
    <b:Pages>79-113</b:Pages>
    <b:Author>
      <b:Author>
        <b:NameList>
          <b:Person>
            <b:Last>Calvo</b:Last>
            <b:Middle>A. </b:Middle>
            <b:First>Guillermo </b:First>
          </b:Person>
          <b:Person>
            <b:Last>Mendoza</b:Last>
            <b:Middle>G. </b:Middle>
            <b:First>Enrique </b:First>
          </b:Person>
        </b:NameList>
      </b:Author>
    </b:Author>
    <b:Month>June</b:Month>
    <b:Volume>51</b:Volume>
    <b:Issue>1</b:Issue>
    <b:DOI>https://doi.org/10.1016/S0022-1996(99)00038-0</b:DOI>
    <b:RefOrder>28</b:RefOrder>
  </b:Source>
  <b:Source>
    <b:Tag>Har201</b:Tag>
    <b:SourceType>JournalArticle</b:SourceType>
    <b:Guid>{885FA5F8-94EA-4AF1-87EE-A4BF70CB811C}</b:Guid>
    <b:Title>COVID-19: Media coverage and financial markets behavior—A sectoral inquiry</b:Title>
    <b:JournalName>Journal of Behavioral and Experimental Finance</b:JournalName>
    <b:Year>2020</b:Year>
    <b:Pages>100343</b:Pages>
    <b:Author>
      <b:Author>
        <b:NameList>
          <b:Person>
            <b:Last>Haroon</b:Last>
            <b:First>Omair </b:First>
          </b:Person>
          <b:Person>
            <b:Last>Rizvi</b:Last>
            <b:Middle>R. </b:Middle>
            <b:First>Syed Aun </b:First>
          </b:Person>
        </b:NameList>
      </b:Author>
    </b:Author>
    <b:Month>September</b:Month>
    <b:Volume>27</b:Volume>
    <b:Issue>1</b:Issue>
    <b:DOI>https://doi.org/10.1016/j.jbef.2020.100343</b:DOI>
    <b:RefOrder>3</b:RefOrder>
  </b:Source>
  <b:Source>
    <b:Tag>Placeholder1</b:Tag>
    <b:SourceType>JournalArticle</b:SourceType>
    <b:Guid>{1D111873-75A3-4352-82FC-93081B441B1D}</b:Guid>
    <b:Title>CONTAGION ACROSS FINANCIAL MARKETS DURING COVID-19: A LOOK AT VOLATILITY SPILLOVERS BETWEEN THE STOCK AND FOREIGN EXCHANGE MARKETS IN SOUTH AFRICA</b:Title>
    <b:JournalName>Annals of Financial Economics</b:JournalName>
    <b:Year>2022</b:Year>
    <b:Pages>2250002</b:Pages>
    <b:Author>
      <b:Author>
        <b:NameList>
          <b:Person>
            <b:Last>Van der Westhuizen</b:Last>
            <b:First>Chevaughn</b:First>
          </b:Person>
          <b:Person>
            <b:Last>Van Eyden</b:Last>
            <b:First>Renee</b:First>
          </b:Person>
          <b:Person>
            <b:Last>Aye</b:Last>
            <b:Middle>C.</b:Middle>
            <b:First>Goodness</b:First>
          </b:Person>
        </b:NameList>
      </b:Author>
    </b:Author>
    <b:Volume>17</b:Volume>
    <b:Issue>1</b:Issue>
    <b:DOI>https://doi.org/10.1142/S2010495222500026</b:DOI>
    <b:RefOrder>4</b:RefOrder>
  </b:Source>
  <b:Source>
    <b:Tag>Kin901</b:Tag>
    <b:SourceType>JournalArticle</b:SourceType>
    <b:Guid>{8774AC81-BE4B-46BF-9C21-D71AF68C049C}</b:Guid>
    <b:Title>Transmission of Volatility between Stock Markets</b:Title>
    <b:JournalName>The Review of Financial Studies</b:JournalName>
    <b:Year>1990</b:Year>
    <b:Pages>5-33</b:Pages>
    <b:Author>
      <b:Author>
        <b:NameList>
          <b:Person>
            <b:Last>King </b:Last>
            <b:Middle>A. </b:Middle>
            <b:First>Mervyn </b:First>
          </b:Person>
          <b:Person>
            <b:Last>Wadhwani</b:Last>
            <b:First>Sushil </b:First>
          </b:Person>
        </b:NameList>
      </b:Author>
    </b:Author>
    <b:Month>April</b:Month>
    <b:Day>15</b:Day>
    <b:Volume>3</b:Volume>
    <b:Issue>1</b:Issue>
    <b:DOI>https://doi.org/10.1093/rfs/3.1.5</b:DOI>
    <b:RefOrder>5</b:RefOrder>
  </b:Source>
  <b:Source>
    <b:Tag>Abo15</b:Tag>
    <b:SourceType>JournalArticle</b:SourceType>
    <b:Guid>{5675782A-7169-4767-9A22-25CBC36D4E58}</b:Guid>
    <b:Title>Monetary policy, exchange rates and stock prices in the Middle East region</b:Title>
    <b:JournalName>International Review of Financial Analysis,</b:JournalName>
    <b:Year>2015</b:Year>
    <b:Pages>14-28</b:Pages>
    <b:Author>
      <b:Author>
        <b:NameList>
          <b:Person>
            <b:Last>Abouwafia</b:Last>
            <b:Middle>E.</b:Middle>
            <b:First>Hashem </b:First>
          </b:Person>
          <b:Person>
            <b:Last>Chambers</b:Last>
            <b:Middle>J. </b:Middle>
            <b:First>Marcus </b:First>
          </b:Person>
        </b:NameList>
      </b:Author>
    </b:Author>
    <b:Volume>37</b:Volume>
    <b:DOI>10.1016/j.irfa.2014.11.001</b:DOI>
    <b:RefOrder>7</b:RefOrder>
  </b:Source>
  <b:Source>
    <b:Tag>Eme21</b:Tag>
    <b:SourceType>JournalArticle</b:SourceType>
    <b:Guid>{3EBB5429-AE41-4F0A-A78A-BC31694D8714}</b:Guid>
    <b:Title>Interdependence among West African stock markets: A dimension of regional financial integration</b:Title>
    <b:JournalName>African Development Review</b:JournalName>
    <b:Year>2021</b:Year>
    <b:Pages>288-299</b:Pages>
    <b:Author>
      <b:Author>
        <b:NameList>
          <b:Person>
            <b:Last>Emenike</b:Last>
            <b:Middle>O. </b:Middle>
            <b:First>Kalu </b:First>
          </b:Person>
        </b:NameList>
      </b:Author>
    </b:Author>
    <b:Month>June </b:Month>
    <b:Volume>33</b:Volume>
    <b:Issue>4</b:Issue>
    <b:DOI>10.1111/1467-8268.12575</b:DOI>
    <b:RefOrder>8</b:RefOrder>
  </b:Source>
  <b:Source>
    <b:Tag>Bra18</b:Tag>
    <b:SourceType>JournalArticle</b:SourceType>
    <b:Guid>{67231CD8-4F8E-4886-89EB-99860ACB85A4}</b:Guid>
    <b:Title>Country transparency and the global transmission of financial shocks</b:Title>
    <b:JournalName>Journal of Banking &amp; Finance</b:JournalName>
    <b:Year>2018</b:Year>
    <b:Pages>56-72</b:Pages>
    <b:Author>
      <b:Author>
        <b:NameList>
          <b:Person>
            <b:Last>Brandao-Marques</b:Last>
            <b:First>Luis </b:First>
          </b:Person>
          <b:Person>
            <b:Last>Gelos</b:Last>
            <b:First>Gaston </b:First>
          </b:Person>
          <b:Person>
            <b:Last>Melgar </b:Last>
            <b:First>Natalia </b:First>
          </b:Person>
        </b:NameList>
      </b:Author>
    </b:Author>
    <b:Month>November</b:Month>
    <b:Volume>96</b:Volume>
    <b:DOI>https://doi.org/10.1016/j.jbankfin.2018.07.015</b:DOI>
    <b:RefOrder>10</b:RefOrder>
  </b:Source>
  <b:Source>
    <b:Tag>Cor05</b:Tag>
    <b:SourceType>JournalArticle</b:SourceType>
    <b:Guid>{F53FC709-90A5-484A-BAF5-621F5B9B07C9}</b:Guid>
    <b:Title>‘Some contagion, some interdependence’: More pitfalls in tests of financial contagion</b:Title>
    <b:JournalName>Journal of International Money and Finance</b:JournalName>
    <b:Year>2005</b:Year>
    <b:Pages>1177-1199</b:Pages>
    <b:Author>
      <b:Author>
        <b:NameList>
          <b:Person>
            <b:Last>Corsetti </b:Last>
            <b:First>Giancarlo </b:First>
          </b:Person>
          <b:Person>
            <b:Last>Pericoli</b:Last>
            <b:First>Marcello </b:First>
          </b:Person>
          <b:Person>
            <b:Last>Sbracia</b:Last>
            <b:First>Massimo</b:First>
          </b:Person>
        </b:NameList>
      </b:Author>
    </b:Author>
    <b:Month>December</b:Month>
    <b:Volume>24</b:Volume>
    <b:Issue>8</b:Issue>
    <b:DOI>https://doi.org/10.1016/j.jimonfin.2005.08.012</b:DOI>
    <b:RefOrder>11</b:RefOrder>
  </b:Source>
  <b:Source>
    <b:Tag>Zha20</b:Tag>
    <b:SourceType>JournalArticle</b:SourceType>
    <b:Guid>{1EE51248-87A3-42C0-B365-A71C923AD8FD}</b:Guid>
    <b:Title>Financial markets under the global pandemic of COVID-19</b:Title>
    <b:JournalName>Finance Research Letters</b:JournalName>
    <b:Year>2020</b:Year>
    <b:Pages>101528</b:Pages>
    <b:Author>
      <b:Author>
        <b:NameList>
          <b:Person>
            <b:Last>Zhang</b:Last>
            <b:First>Dayong </b:First>
          </b:Person>
          <b:Person>
            <b:Last>Hu</b:Last>
            <b:First>Min </b:First>
          </b:Person>
          <b:Person>
            <b:Last>Ji</b:Last>
            <b:First>Qiang </b:First>
          </b:Person>
        </b:NameList>
      </b:Author>
    </b:Author>
    <b:Month>October</b:Month>
    <b:Volume>36</b:Volume>
    <b:DOI>https://doi.org/10.1016/j.frl.2020.101528</b:DOI>
    <b:RefOrder>12</b:RefOrder>
  </b:Source>
  <b:Source>
    <b:Tag>Ben18</b:Tag>
    <b:SourceType>JournalArticle</b:SourceType>
    <b:Guid>{7439AF78-E1BA-44D9-A12E-063173E607E6}</b:Guid>
    <b:Title>Volatility spillover shifts in global financial markets</b:Title>
    <b:JournalName>Economic Modelling</b:JournalName>
    <b:Year>2018</b:Year>
    <b:Pages>343-353</b:Pages>
    <b:Author>
      <b:Author>
        <b:NameList>
          <b:Person>
            <b:Last>Bensaïda</b:Last>
            <b:First>Ahmed </b:First>
          </b:Person>
          <b:Person>
            <b:Last>Litimi</b:Last>
            <b:First>Houda </b:First>
          </b:Person>
          <b:Person>
            <b:Last>Abdallah</b:Last>
            <b:First>Oussama </b:First>
          </b:Person>
        </b:NameList>
      </b:Author>
    </b:Author>
    <b:Month>June</b:Month>
    <b:Volume>73</b:Volume>
    <b:DOI>10.1016/j.econmod.2018.04.011</b:DOI>
    <b:RefOrder>13</b:RefOrder>
  </b:Source>
  <b:Source>
    <b:Tag>Ade21</b:Tag>
    <b:SourceType>JournalArticle</b:SourceType>
    <b:Guid>{0B23189C-B55A-438F-856D-24C494A9650F}</b:Guid>
    <b:Title>Analysis of financial contagion in influential African stock markets</b:Title>
    <b:JournalName>Future Business Journal</b:JournalName>
    <b:Year>2021</b:Year>
    <b:Pages>209-220</b:Pages>
    <b:Month>February</b:Month>
    <b:Volume>7</b:Volume>
    <b:Issue>9</b:Issue>
    <b:DOI>https://doi.org/10.1186/s43093-021-00054-z</b:DOI>
    <b:Author>
      <b:Author>
        <b:NameList>
          <b:Person>
            <b:Last>Aderajo</b:Last>
            <b:Middle>Mary </b:Middle>
            <b:First>Oluwatosin </b:First>
          </b:Person>
          <b:Person>
            <b:Last>Olaniran</b:Last>
            <b:Middle>Daniel </b:Middle>
            <b:First>Oladotun </b:First>
          </b:Person>
        </b:NameList>
      </b:Author>
    </b:Author>
    <b:RefOrder>14</b:RefOrder>
  </b:Source>
  <b:Source>
    <b:Tag>Ham891</b:Tag>
    <b:SourceType>JournalArticle</b:SourceType>
    <b:Guid>{0085DAA4-18AF-434A-BAF3-840D2131340E}</b:Guid>
    <b:Title>A New Approach to the Economic Analysis of Nonstationary Time Series and the Business Cycle</b:Title>
    <b:JournalName>Econometrica</b:JournalName>
    <b:Year>1989</b:Year>
    <b:Pages>357-384</b:Pages>
    <b:Author>
      <b:Author>
        <b:NameList>
          <b:Person>
            <b:Last>Hamilton</b:Last>
            <b:Middle>D. </b:Middle>
            <b:First>James </b:First>
          </b:Person>
        </b:NameList>
      </b:Author>
    </b:Author>
    <b:Month>March</b:Month>
    <b:Volume>57</b:Volume>
    <b:Issue>2</b:Issue>
    <b:DOI>https://doi.org/10.2307/1912559</b:DOI>
    <b:RefOrder>15</b:RefOrder>
  </b:Source>
  <b:Source>
    <b:Tag>Eng02</b:Tag>
    <b:SourceType>JournalArticle</b:SourceType>
    <b:Guid>{1A4F7C70-2902-4361-9948-0AAE346645D8}</b:Guid>
    <b:Title>Dynamic Conditional Correlation: A Simple Class of Multivariate Generalized Autoregressive Conditional Heteroskedasticity Models</b:Title>
    <b:JournalName>Journal of Business &amp; Economic Statistics</b:JournalName>
    <b:Year>2002</b:Year>
    <b:Pages>339-350</b:Pages>
    <b:Author>
      <b:Author>
        <b:NameList>
          <b:Person>
            <b:Last>Engle</b:Last>
            <b:First>Robert </b:First>
          </b:Person>
        </b:NameList>
      </b:Author>
    </b:Author>
    <b:Month>January</b:Month>
    <b:Volume>20</b:Volume>
    <b:Issue>3</b:Issue>
    <b:DOI>https://doi.org/10.1198/073500102288618487</b:DOI>
    <b:RefOrder>16</b:RefOrder>
  </b:Source>
  <b:Source>
    <b:Tag>Cor051</b:Tag>
    <b:SourceType>JournalArticle</b:SourceType>
    <b:Guid>{C5AF17F2-8656-4D23-95C6-8B5F7F3A0C82}</b:Guid>
    <b:Title>‘Some contagion, some interdependence’: More pitfalls in tests of financial contagion</b:Title>
    <b:JournalName>Journal of International Money and Finance</b:JournalName>
    <b:Year>2005</b:Year>
    <b:Pages>1177-1199</b:Pages>
    <b:Month>December</b:Month>
    <b:Volume>24</b:Volume>
    <b:Issue>8</b:Issue>
    <b:DOI>https://doi.org/10.1016/j.jimonfin.2005.08.012</b:DOI>
    <b:Author>
      <b:Author>
        <b:NameList>
          <b:Person>
            <b:Last>Corsetti </b:Last>
            <b:First>Giancarlo </b:First>
          </b:Person>
          <b:Person>
            <b:Last>Pericoli </b:Last>
            <b:First>Marcello </b:First>
          </b:Person>
          <b:Person>
            <b:Last>Sbracia</b:Last>
            <b:First>Massimo </b:First>
          </b:Person>
        </b:NameList>
      </b:Author>
    </b:Author>
    <b:RefOrder>17</b:RefOrder>
  </b:Source>
  <b:Source>
    <b:Tag>Die12</b:Tag>
    <b:SourceType>JournalArticle</b:SourceType>
    <b:Guid>{B85432E7-03AB-4316-8E65-C121C26E9A87}</b:Guid>
    <b:Title>Comparing Predictive Accuracy</b:Title>
    <b:JournalName>Journal of Business &amp; Economic Statistics</b:JournalName>
    <b:Year>2012</b:Year>
    <b:Pages>134-144</b:Pages>
    <b:Author>
      <b:Author>
        <b:NameList>
          <b:Person>
            <b:Last>Diebold</b:Last>
            <b:Middle>X </b:Middle>
            <b:First>Francis </b:First>
          </b:Person>
          <b:Person>
            <b:Last>Mariano</b:Last>
            <b:Middle>S </b:Middle>
            <b:First>Robert </b:First>
          </b:Person>
        </b:NameList>
      </b:Author>
    </b:Author>
    <b:Month>January</b:Month>
    <b:Day>1</b:Day>
    <b:Volume>20</b:Volume>
    <b:Issue>1</b:Issue>
    <b:DOI>https://doi.org/10.1198/073500102753410444</b:DOI>
    <b:RefOrder>18</b:RefOrder>
  </b:Source>
  <b:Source>
    <b:Tag>Han11</b:Tag>
    <b:SourceType>JournalArticle</b:SourceType>
    <b:Guid>{65C27C97-0BC1-43BB-92C3-7526D703CC95}</b:Guid>
    <b:Title>The Model Confidence Set</b:Title>
    <b:JournalName>Econometrica</b:JournalName>
    <b:Year>2011</b:Year>
    <b:Pages>453-497</b:Pages>
    <b:Volume>79</b:Volume>
    <b:Issue>2</b:Issue>
    <b:Author>
      <b:Author>
        <b:NameList>
          <b:Person>
            <b:Last>Hansen</b:Last>
            <b:Middle>R. </b:Middle>
            <b:First>Peter </b:First>
          </b:Person>
          <b:Person>
            <b:Last>Lunde</b:Last>
            <b:First>Asger </b:First>
          </b:Person>
          <b:Person>
            <b:Last>Nason</b:Last>
            <b:Middle>M.</b:Middle>
            <b:First>James </b:First>
          </b:Person>
        </b:NameList>
      </b:Author>
    </b:Author>
    <b:Month>February</b:Month>
    <b:Day>14</b:Day>
    <b:DOI> https://doi.org/10.3982/ECTA5771</b:DOI>
    <b:RefOrder>19</b:RefOrder>
  </b:Source>
</b:Sources>
</file>

<file path=customXml/itemProps1.xml><?xml version="1.0" encoding="utf-8"?>
<ds:datastoreItem xmlns:ds="http://schemas.openxmlformats.org/officeDocument/2006/customXml" ds:itemID="{48C51054-9213-4B86-9873-D49054CEF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5939</Words>
  <Characters>33857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photha080399@outlook.com</dc:creator>
  <cp:keywords/>
  <dc:description/>
  <cp:lastModifiedBy>photha080399@outlook.com</cp:lastModifiedBy>
  <cp:revision>3</cp:revision>
  <dcterms:created xsi:type="dcterms:W3CDTF">2026-03-29T07:19:00Z</dcterms:created>
  <dcterms:modified xsi:type="dcterms:W3CDTF">2026-03-29T07:20:00Z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9c49b29f-c3ea-4771-8e9f-fc6c36d7025e</vt:lpwstr>
  </property>
</Properties>
</file>