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20"/>
      </w:pPr>
      <w:r>
        <w:rPr>
          <w:rFonts w:ascii="Calibri" w:hAnsi="Calibri"/>
          <w:b/>
          <w:i w:val="0"/>
          <w:color w:val="12635A"/>
          <w:sz w:val="19"/>
        </w:rPr>
        <w:t>NIGHTINGALE 72HR BUILD</w:t>
      </w:r>
    </w:p>
    <w:p>
      <w:pPr>
        <w:spacing w:after="60"/>
      </w:pPr>
      <w:r>
        <w:rPr>
          <w:rFonts w:ascii="Calibri" w:hAnsi="Calibri"/>
          <w:b/>
          <w:i w:val="0"/>
          <w:color w:val="17252A"/>
          <w:sz w:val="46"/>
        </w:rPr>
        <w:t>Nightingale Care Note</w:t>
      </w:r>
    </w:p>
    <w:p>
      <w:pPr>
        <w:spacing w:after="160"/>
      </w:pPr>
      <w:r>
        <w:rPr>
          <w:rFonts w:ascii="Calibri" w:hAnsi="Calibri"/>
          <w:b w:val="0"/>
          <w:i w:val="0"/>
          <w:color w:val="5C6970"/>
          <w:sz w:val="27"/>
        </w:rPr>
        <w:t>A trust-first longitudinal workspace for clinic collaboration</w:t>
      </w:r>
    </w:p>
    <w:p>
      <w:pPr>
        <w:spacing w:after="30"/>
      </w:pPr>
      <w:r>
        <w:rPr>
          <w:rFonts w:ascii="Calibri" w:hAnsi="Calibri"/>
          <w:b/>
          <w:i w:val="0"/>
          <w:color w:val="17252A"/>
          <w:sz w:val="19"/>
        </w:rPr>
        <w:t xml:space="preserve">Prepared by: </w:t>
      </w:r>
      <w:r>
        <w:rPr>
          <w:rFonts w:ascii="Calibri" w:hAnsi="Calibri"/>
          <w:b w:val="0"/>
          <w:i w:val="0"/>
          <w:color w:val="5C6970"/>
          <w:sz w:val="19"/>
        </w:rPr>
        <w:t>WANG QIUFENG • candidate submission</w:t>
      </w:r>
    </w:p>
    <w:p>
      <w:pPr>
        <w:spacing w:after="30"/>
      </w:pPr>
      <w:r>
        <w:rPr>
          <w:rFonts w:ascii="Calibri" w:hAnsi="Calibri"/>
          <w:b/>
          <w:i w:val="0"/>
          <w:color w:val="17252A"/>
          <w:sz w:val="19"/>
        </w:rPr>
        <w:t xml:space="preserve">Prototype: </w:t>
      </w:r>
      <w:r>
        <w:rPr>
          <w:rFonts w:ascii="Calibri" w:hAnsi="Calibri"/>
          <w:b w:val="0"/>
          <w:i w:val="0"/>
          <w:color w:val="5C6970"/>
          <w:sz w:val="19"/>
        </w:rPr>
        <w:t>Synthetic data only • Python + SQLite + browser-native UI</w:t>
      </w:r>
    </w:p>
    <w:p>
      <w:pPr>
        <w:spacing w:after="30"/>
      </w:pPr>
      <w:r>
        <w:rPr>
          <w:rFonts w:ascii="Calibri" w:hAnsi="Calibri"/>
          <w:b/>
          <w:i w:val="0"/>
          <w:color w:val="17252A"/>
          <w:sz w:val="19"/>
        </w:rPr>
        <w:t xml:space="preserve">Performance: </w:t>
      </w:r>
      <w:r>
        <w:rPr>
          <w:rFonts w:ascii="Calibri" w:hAnsi="Calibri"/>
          <w:b w:val="0"/>
          <w:i w:val="0"/>
          <w:color w:val="5C6970"/>
          <w:sz w:val="19"/>
        </w:rPr>
        <w:t>Authenticated Docker HTTP P95 4.721 ms (target ≤300 ms)</w:t>
      </w:r>
    </w:p>
    <w:p>
      <w:pPr>
        <w:spacing w:after="60"/>
        <w:pBdr>
          <w:bottom w:val="single" w:sz="12" w:space="5" w:color="12635A"/>
        </w:pBdr>
      </w:pPr>
    </w:p>
    <w:p>
      <w:pPr>
        <w:pStyle w:val="Heading1"/>
      </w:pPr>
      <w:r>
        <w:t>Product thesis</w:t>
      </w:r>
    </w:p>
    <w:p>
      <w:pPr>
        <w:spacing w:after="100" w:line="264" w:lineRule="auto"/>
      </w:pPr>
      <w:r>
        <w:rPr>
          <w:rFonts w:ascii="Calibri" w:hAnsi="Calibri"/>
          <w:b w:val="0"/>
          <w:i w:val="0"/>
          <w:color w:val="17252A"/>
          <w:sz w:val="22"/>
        </w:rPr>
        <w:t>The Care Note is a communication and trust layer beside the EHR - not another shared free-form document. Glance stays at three cards; Review is bounded at seven. A deterministic Consistency Watcher cites both immutable sources, while the Trust Passport requires evidence witnessing before any AI decision. Patient teach-back closes the understanding loop; access transparency and a tamper-evident audit chain make trust inspectable. Role-owned entries preserve authority and never silently merge clinician, staff, patient, or AI claims.</w:t>
      </w:r>
    </w:p>
    <w:p>
      <w:pPr>
        <w:pStyle w:val="Heading1"/>
      </w:pPr>
      <w:r>
        <w:t>Architecture and request flow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1834896"/>
            <wp:docPr id="1" name="Picture 1" title="Trust-centric request flow" descr="Care Note browser calls a signed HTTP API. Policy and service use SQLite, while AI text passes through a no-PHI gateway before an approved mode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834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52A"/>
          <w:sz w:val="22"/>
        </w:rPr>
        <w:t>Every API call resolves a short-lived signed actor, then enforces patient binding or clinic scope server-side.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52A"/>
          <w:sz w:val="22"/>
        </w:rPr>
        <w:t>SQLite supplies ACID writes and optimistic locking in the prototype; the schema maps directly to PostgreSQL/RLS.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52A"/>
          <w:sz w:val="22"/>
        </w:rPr>
        <w:t>AI text passes only through the visible redaction gateway; the Trust Passport retains source, verification, decision, bounded learning impact, and retention evidence.</w:t>
      </w:r>
    </w:p>
    <w:p>
      <w:r>
        <w:br w:type="page"/>
      </w:r>
    </w:p>
    <w:p>
      <w:pPr>
        <w:pStyle w:val="Heading1"/>
      </w:pPr>
      <w:r>
        <w:t>Data model and provenance</w:t>
      </w:r>
    </w:p>
    <w:p>
      <w:pPr>
        <w:spacing w:after="80" w:line="264" w:lineRule="auto"/>
      </w:pPr>
      <w:r>
        <w:rPr>
          <w:rFonts w:ascii="Calibri" w:hAnsi="Calibri"/>
          <w:b w:val="0"/>
          <w:i w:val="0"/>
          <w:color w:val="17252A"/>
          <w:sz w:val="21"/>
        </w:rPr>
        <w:t>A highlight is the trust anchor: entry_id + immutable entry_version + character offsets + quote. Resolution verifies the quote against that version. A short-lived evidence token binds actor, version, offsets, and quote digest before a decision is accepted. Verification is likewise an append-only event tied to one exact version, never a mutable timestamp. The same immutable versions power a Time Machine that reconstructs the exact note view and ten-second Glance at any past moment, honestly labelling learned priority and task state as current-only.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5D9"/>
          <w:left w:val="single" w:sz="6" w:space="0" w:color="CDD5D9"/>
          <w:bottom w:val="single" w:sz="6" w:space="0" w:color="CDD5D9"/>
          <w:right w:val="single" w:sz="6" w:space="0" w:color="CDD5D9"/>
          <w:insideH w:val="single" w:sz="6" w:space="0" w:color="CDD5D9"/>
          <w:insideV w:val="single" w:sz="6" w:space="0" w:color="CDD5D9"/>
        </w:tblBorders>
      </w:tblPr>
      <w:tblGrid>
        <w:gridCol w:w="1700"/>
        <w:gridCol w:w="4350"/>
        <w:gridCol w:w="331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183D4E"/>
                <w:sz w:val="17"/>
              </w:rPr>
              <w:t>Entity</w:t>
            </w:r>
          </w:p>
        </w:tc>
        <w:tc>
          <w:tcPr>
            <w:tcW w:type="dxa" w:w="4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183D4E"/>
                <w:sz w:val="17"/>
              </w:rPr>
              <w:t>Core fields</w:t>
            </w:r>
          </w:p>
        </w:tc>
        <w:tc>
          <w:tcPr>
            <w:tcW w:type="dxa" w:w="3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183D4E"/>
                <w:sz w:val="17"/>
              </w:rPr>
              <w:t>Trust role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Entry</w:t>
            </w:r>
          </w:p>
        </w:tc>
        <w:tc>
          <w:tcPr>
            <w:tcW w:type="dxa" w:w="43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7252A"/>
                <w:sz w:val="16"/>
              </w:rPr>
              <w:t>patient, role, type, visibility, section, current version</w:t>
            </w:r>
          </w:p>
        </w:tc>
        <w:tc>
          <w:tcPr>
            <w:tcW w:type="dxa" w:w="33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7252A"/>
                <w:sz w:val="16"/>
              </w:rPr>
              <w:t>Role-owned timeline unit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EntryVersion</w:t>
            </w:r>
          </w:p>
        </w:tc>
        <w:tc>
          <w:tcPr>
            <w:tcW w:type="dxa" w:w="43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7252A"/>
                <w:sz w:val="16"/>
              </w:rPr>
              <w:t>entry, version, content, entities, risk, editor, time</w:t>
            </w:r>
          </w:p>
        </w:tc>
        <w:tc>
          <w:tcPr>
            <w:tcW w:type="dxa" w:w="33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7252A"/>
                <w:sz w:val="16"/>
              </w:rPr>
              <w:t>Append-only source snapshot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Comment / Task</w:t>
            </w:r>
          </w:p>
        </w:tc>
        <w:tc>
          <w:tcPr>
            <w:tcW w:type="dxa" w:w="43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7252A"/>
                <w:sz w:val="16"/>
              </w:rPr>
              <w:t>entry, assignee, status, completion actor/time</w:t>
            </w:r>
          </w:p>
        </w:tc>
        <w:tc>
          <w:tcPr>
            <w:tcW w:type="dxa" w:w="33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7252A"/>
                <w:sz w:val="16"/>
              </w:rPr>
              <w:t>Auditable work without overwrite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Highlight</w:t>
            </w:r>
          </w:p>
        </w:tc>
        <w:tc>
          <w:tcPr>
            <w:tcW w:type="dxa" w:w="43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7252A"/>
                <w:sz w:val="16"/>
              </w:rPr>
              <w:t>entry + version + offsets + quote + decision</w:t>
            </w:r>
          </w:p>
        </w:tc>
        <w:tc>
          <w:tcPr>
            <w:tcW w:type="dxa" w:w="33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7252A"/>
                <w:sz w:val="16"/>
              </w:rPr>
              <w:t>Exact span-level provenance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Verification / conflict</w:t>
            </w:r>
          </w:p>
        </w:tc>
        <w:tc>
          <w:tcPr>
            <w:tcW w:type="dxa" w:w="43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7252A"/>
                <w:sz w:val="16"/>
              </w:rPr>
              <w:t>source version(s), verifier/decision, time</w:t>
            </w:r>
          </w:p>
        </w:tc>
        <w:tc>
          <w:tcPr>
            <w:tcW w:type="dxa" w:w="33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7252A"/>
                <w:sz w:val="16"/>
              </w:rPr>
              <w:t>Append-only evidence events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AI note</w:t>
            </w:r>
          </w:p>
        </w:tc>
        <w:tc>
          <w:tcPr>
            <w:tcW w:type="dxa" w:w="43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7252A"/>
                <w:sz w:val="16"/>
              </w:rPr>
              <w:t>typed system entry + redaction digest/counts</w:t>
            </w:r>
          </w:p>
        </w:tc>
        <w:tc>
          <w:tcPr>
            <w:tcW w:type="dxa" w:w="33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7252A"/>
                <w:sz w:val="16"/>
              </w:rPr>
              <w:t>Distinct, reviewable authority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ImportanceSignal</w:t>
            </w:r>
          </w:p>
        </w:tc>
        <w:tc>
          <w:tcPr>
            <w:tcW w:type="dxa" w:w="43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7252A"/>
                <w:sz w:val="16"/>
              </w:rPr>
              <w:t>clinic, feature, bounded weight, evidence</w:t>
            </w:r>
          </w:p>
        </w:tc>
        <w:tc>
          <w:tcPr>
            <w:tcW w:type="dxa" w:w="33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7252A"/>
                <w:sz w:val="16"/>
              </w:rPr>
              <w:t>Explainable local learning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TeachBack</w:t>
            </w:r>
          </w:p>
        </w:tc>
        <w:tc>
          <w:tcPr>
            <w:tcW w:type="dxa" w:w="43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7252A"/>
                <w:sz w:val="16"/>
              </w:rPr>
              <w:t>instruction version, patient response, coverage, decision</w:t>
            </w:r>
          </w:p>
        </w:tc>
        <w:tc>
          <w:tcPr>
            <w:tcW w:type="dxa" w:w="33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7252A"/>
                <w:sz w:val="16"/>
              </w:rPr>
              <w:t>Human-confirmed understanding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AuditLog</w:t>
            </w:r>
          </w:p>
        </w:tc>
        <w:tc>
          <w:tcPr>
            <w:tcW w:type="dxa" w:w="43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7252A"/>
                <w:sz w:val="16"/>
              </w:rPr>
              <w:t>metadata + prev_hash + event_hash</w:t>
            </w:r>
          </w:p>
        </w:tc>
        <w:tc>
          <w:tcPr>
            <w:tcW w:type="dxa" w:w="33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7252A"/>
                <w:sz w:val="16"/>
              </w:rPr>
              <w:t>Tamper-evident, content-free trace</w:t>
            </w:r>
          </w:p>
        </w:tc>
      </w:tr>
    </w:tbl>
    <w:p>
      <w:pPr>
        <w:pStyle w:val="Heading1"/>
      </w:pPr>
      <w:r>
        <w:t>RBAC, privacy, and concurrency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52A"/>
          <w:sz w:val="22"/>
        </w:rPr>
        <w:t>Patients are bound to one patient ID and receive only patient-visible instructions; raw AI entries, internal comments, tasks, highlights, and audit data are denied even when a URL is guessed.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52A"/>
          <w:sz w:val="22"/>
        </w:rPr>
        <w:t>Staff and clinicians edit only role-owned entries. Only clinicians make final AI/conflict/teach-back decisions after witnessing current-version evidence; task transitions require a clinic clinician or assigned/unassigned staff. Patients see content-free viewer metadata, never internal clinical content.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52A"/>
          <w:sz w:val="22"/>
        </w:rPr>
        <w:t>Every edit carries expected_version inside a write transaction. Different sections save independently; competing writes yield one success and one deterministic HTTP 409 - never last-write-wins loss.</w:t>
      </w:r>
    </w:p>
    <w:p>
      <w:pPr>
        <w:pStyle w:val="Heading2"/>
      </w:pPr>
      <w:r>
        <w:t>Consistency, review, and AI handling</w:t>
      </w:r>
    </w:p>
    <w:p>
      <w:pPr>
        <w:spacing w:after="60" w:line="264" w:lineRule="auto"/>
      </w:pPr>
      <w:r>
        <w:rPr>
          <w:rFonts w:ascii="Calibri" w:hAnsi="Calibri"/>
          <w:b w:val="0"/>
          <w:i w:val="0"/>
          <w:color w:val="17252A"/>
          <w:sz w:val="21"/>
        </w:rPr>
        <w:t>Consistency rules surface two immutable sources side by side and never diagnose. A source-linked pre-visit brief assembles safety, alerts, work, questions, and changes without creating new clinical conclusions. Review is capped at seven cards with a visible reason and no accept-all. Patient teach-back is bound to one instruction version; deterministic keyword coverage may flag a gap, but only a clinician confirms understanding. AI summaries remain typed system entries; the scribe preview shows raw browser memory versus the exact redacted payload before persistence, and no transcript leaves the machine.</w:t>
      </w:r>
    </w:p>
    <w:p>
      <w:r>
        <w:br w:type="page"/>
      </w:r>
    </w:p>
    <w:p>
      <w:pPr>
        <w:pStyle w:val="Heading1"/>
      </w:pPr>
      <w:r>
        <w:t>Learning, retention, and operational safety</w:t>
      </w:r>
    </w:p>
    <w:p>
      <w:pPr>
        <w:pStyle w:val="Heading2"/>
      </w:pPr>
      <w:r>
        <w:t>Explainable importance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52A"/>
          <w:sz w:val="21"/>
        </w:rPr>
        <w:t>Priority combines recency, explicit risk, unresolved work, clinical entities, and clinician authorship. Clinician interaction adjusts clinic-local feature weights, but total learned influence is clamped to ±4.0. The UI exposes used/remaining influence beside base score and rank movement. This is a ranking aid - not a diagnostic model.</w:t>
      </w:r>
    </w:p>
    <w:p>
      <w:pPr>
        <w:pStyle w:val="Heading2"/>
      </w:pPr>
      <w:r>
        <w:t>Hybrid storage and data decay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52A"/>
          <w:sz w:val="22"/>
        </w:rPr>
        <w:t>Hot (≤90 days or safety protected): full content indexed for glance and timeline access.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52A"/>
          <w:sz w:val="22"/>
        </w:rPr>
        <w:t>Warm (91-365 days): structured summary indexed; full immutable version retained.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52A"/>
          <w:sz w:val="22"/>
        </w:rPr>
        <w:t>Cold (&gt;365 days, low risk): encrypted archive; a provenance stub remains queryable.</w:t>
      </w:r>
    </w:p>
    <w:p>
      <w:pPr>
        <w:spacing w:after="60" w:line="264" w:lineRule="auto"/>
      </w:pPr>
      <w:r>
        <w:rPr>
          <w:rFonts w:ascii="Calibri" w:hAnsi="Calibri"/>
          <w:b w:val="0"/>
          <w:i w:val="0"/>
          <w:color w:val="17252A"/>
          <w:sz w:val="20"/>
        </w:rPr>
        <w:t>The clinician/admin Storage Lens exposes tier, age, protection, and policy for seeded hot/warm/cold history. High-risk, allergy, medication, and safety-net facts are never decayed solely because of age. Physical archival remains an explicit production integration.</w:t>
      </w:r>
    </w:p>
    <w:p>
      <w:pPr>
        <w:pStyle w:val="Heading2"/>
      </w:pPr>
      <w:r>
        <w:t>Security boundary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52A"/>
          <w:sz w:val="20"/>
        </w:rPr>
        <w:t>prepare_llm_payload removes known/labelled names, Singapore NRIC/FIN or labelled identifiers, and Singapore phone formats before any adapter can receive text. A no-persistence preview shows raw browser memory beside the exact redacted payload, counts, and digest. Content-free audit metadata is canonicalized into a per-clinic SHA-256 chain. A safe local sandbox demonstrates six blocked policy probes without scanning any external system. Production still requires managed ingress, PostgreSQL/object encryption, KMS keys, backups, retention, and legal hold.</w:t>
      </w:r>
    </w:p>
    <w:p>
      <w:pPr>
        <w:pStyle w:val="Heading1"/>
      </w:pPr>
      <w:r>
        <w:t>Validation and measured performance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5D9"/>
          <w:left w:val="single" w:sz="6" w:space="0" w:color="CDD5D9"/>
          <w:bottom w:val="single" w:sz="6" w:space="0" w:color="CDD5D9"/>
          <w:right w:val="single" w:sz="6" w:space="0" w:color="CDD5D9"/>
          <w:insideH w:val="single" w:sz="6" w:space="0" w:color="CDD5D9"/>
          <w:insideV w:val="single" w:sz="6" w:space="0" w:color="CDD5D9"/>
        </w:tblBorders>
      </w:tblPr>
      <w:tblGrid>
        <w:gridCol w:w="1880"/>
        <w:gridCol w:w="5860"/>
        <w:gridCol w:w="1620"/>
      </w:tblGrid>
      <w:tr>
        <w:trPr>
          <w:tblHeader w:val="true"/>
        </w:trPr>
        <w:tc>
          <w:tcPr>
            <w:tcW w:type="dxa" w:w="1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183D4E"/>
                <w:sz w:val="17"/>
              </w:rPr>
              <w:t>Evidence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183D4E"/>
                <w:sz w:val="17"/>
              </w:rPr>
              <w:t>Result</w:t>
            </w:r>
          </w:p>
        </w:tc>
        <w:tc>
          <w:tcPr>
            <w:tcW w:type="dxa" w:w="1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183D4E"/>
                <w:sz w:val="17"/>
              </w:rPr>
              <w:t>Status/target</w:t>
            </w:r>
          </w:p>
        </w:tc>
      </w:tr>
      <w:tr>
        <w:tc>
          <w:tcPr>
            <w:tcW w:type="dxa" w:w="188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Automated suite</w:t>
            </w:r>
          </w:p>
        </w:tc>
        <w:tc>
          <w:tcPr>
            <w:tcW w:type="dxa" w:w="586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7252A"/>
                <w:sz w:val="16"/>
              </w:rPr>
              <w:t>33/33: RBAC; provenance; review; teach-back; audit chain; retention; time machine</w:t>
            </w:r>
          </w:p>
        </w:tc>
        <w:tc>
          <w:tcPr>
            <w:tcW w:type="dxa" w:w="162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12635A"/>
                <w:sz w:val="16"/>
              </w:rPr>
              <w:t>Pass</w:t>
            </w:r>
          </w:p>
        </w:tc>
      </w:tr>
      <w:tr>
        <w:tc>
          <w:tcPr>
            <w:tcW w:type="dxa" w:w="188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Security tests</w:t>
            </w:r>
          </w:p>
        </w:tc>
        <w:tc>
          <w:tcPr>
            <w:tcW w:type="dxa" w:w="586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7252A"/>
                <w:sz w:val="16"/>
              </w:rPr>
              <w:t>Token/chain tamper; patient isolation; PHI preview; six safe local probes</w:t>
            </w:r>
          </w:p>
        </w:tc>
        <w:tc>
          <w:tcPr>
            <w:tcW w:type="dxa" w:w="162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12635A"/>
                <w:sz w:val="16"/>
              </w:rPr>
              <w:t>Pass</w:t>
            </w:r>
          </w:p>
        </w:tc>
      </w:tr>
      <w:tr>
        <w:tc>
          <w:tcPr>
            <w:tcW w:type="dxa" w:w="188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Service benchmark</w:t>
            </w:r>
          </w:p>
        </w:tc>
        <w:tc>
          <w:tcPr>
            <w:tcW w:type="dxa" w:w="586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7252A"/>
                <w:sz w:val="16"/>
              </w:rPr>
              <w:t>300 reads after 20 warm-ups; median 6.249 ms; P95 6.622 ms</w:t>
            </w:r>
          </w:p>
        </w:tc>
        <w:tc>
          <w:tcPr>
            <w:tcW w:type="dxa" w:w="162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12635A"/>
                <w:sz w:val="16"/>
              </w:rPr>
              <w:t>≤300 ms</w:t>
            </w:r>
          </w:p>
        </w:tc>
      </w:tr>
      <w:tr>
        <w:tc>
          <w:tcPr>
            <w:tcW w:type="dxa" w:w="188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HTTP benchmark</w:t>
            </w:r>
          </w:p>
        </w:tc>
        <w:tc>
          <w:tcPr>
            <w:tcW w:type="dxa" w:w="586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7252A"/>
                <w:sz w:val="16"/>
              </w:rPr>
              <w:t>300 Docker reads; signed session + RBAC + SQLite + JSON; median 3.575 ms; P95 4.721 ms</w:t>
            </w:r>
          </w:p>
        </w:tc>
        <w:tc>
          <w:tcPr>
            <w:tcW w:type="dxa" w:w="162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12635A"/>
                <w:sz w:val="16"/>
              </w:rPr>
              <w:t>≤300 ms</w:t>
            </w:r>
          </w:p>
        </w:tc>
      </w:tr>
    </w:tbl>
    <w:p>
      <w:pPr>
        <w:spacing w:before="80" w:after="80"/>
      </w:pPr>
      <w:r>
        <w:rPr>
          <w:rFonts w:ascii="Calibri" w:hAnsi="Calibri"/>
          <w:b w:val="0"/>
          <w:i/>
          <w:color w:val="5C6970"/>
          <w:sz w:val="17"/>
        </w:rPr>
        <w:t>Measurement scope: the HTTP figure includes local transport, signed-session verification, RBAC, SQLite, and JSON; browser rendering and production network still require deployed tracing/load tests.</w:t>
      </w:r>
    </w:p>
    <w:p>
      <w:pPr>
        <w:pStyle w:val="Heading2"/>
      </w:pPr>
      <w:r>
        <w:t>Assumptions and deliberate trade-offs</w:t>
      </w:r>
    </w:p>
    <w:p>
      <w:pPr>
        <w:spacing w:after="0" w:line="264" w:lineRule="auto"/>
      </w:pPr>
      <w:r>
        <w:rPr>
          <w:rFonts w:ascii="Calibri" w:hAnsi="Calibri"/>
          <w:b w:val="0"/>
          <w:i w:val="0"/>
          <w:color w:val="17252A"/>
          <w:sz w:val="20"/>
        </w:rPr>
        <w:t>The 72-hour build prioritizes the trust-critical collaboration path end to end. Deferred: production OIDC, live EHR/FHIR exchange, PostgreSQL RLS, CRDT rich text, terminology services, managed KMS/retention controls, and ambient voice diarization. These require clinical, security, and operational validation and are not represented as complete.</w:t>
      </w:r>
    </w:p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725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Nightingale Care Note - Technical Brief</dc:title>
  <dc:subject>Nightingale 72HR Build candidate submission</dc:subject>
  <dc:creator>WANG QIUFENG</dc:creator>
  <cp:keywords>Nightingale, care note, provenance, RBAC, clinical collaboration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