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CAFA0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int="eastAsia" w:hAnsi="宋体" w:cs="Courier New"/>
        </w:rPr>
        <w:t>移动OA系统</w:t>
      </w:r>
      <w:r>
        <w:rPr>
          <w:rStyle w:val="5"/>
          <w:rFonts w:hAnsi="宋体" w:cs="Courier New"/>
        </w:rPr>
        <w:t>可规划为一个四层的安全控制域，网络安全设计以各域的工作特点为依据进行设计。</w:t>
      </w:r>
    </w:p>
    <w:p w14:paraId="66A362B3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1.</w:t>
      </w:r>
      <w:r>
        <w:rPr>
          <w:rStyle w:val="5"/>
          <w:rFonts w:hint="eastAsia" w:hAnsi="宋体" w:cs="Courier New"/>
        </w:rPr>
        <w:t>终端用户层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作为系统向各种手机终端提供展现层，手机用户通过安装客户端程序实现移动办公，目前支持市面上各种主流终端的使用</w:t>
      </w:r>
      <w:r>
        <w:rPr>
          <w:rStyle w:val="5"/>
          <w:rFonts w:hAnsi="宋体" w:cs="Courier New"/>
        </w:rPr>
        <w:t>。</w:t>
      </w:r>
    </w:p>
    <w:p w14:paraId="6809E3C1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2.</w:t>
      </w:r>
      <w:r>
        <w:rPr>
          <w:rStyle w:val="5"/>
          <w:rFonts w:hint="eastAsia" w:hAnsi="宋体" w:cs="Courier New"/>
        </w:rPr>
        <w:t>运营商服务层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各电信运营商(移动/电信/联通)提供的无线网络环境层，支持GSM、GPRS、CDMA、WCDMA、3G、WIFI等各种无线网络环境，对于移动网络需要同时支持CMNET与CMWAP</w:t>
      </w:r>
      <w:r>
        <w:rPr>
          <w:rStyle w:val="5"/>
          <w:rFonts w:hAnsi="宋体" w:cs="Courier New"/>
        </w:rPr>
        <w:t>。</w:t>
      </w:r>
    </w:p>
    <w:p w14:paraId="3980892B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3.</w:t>
      </w:r>
      <w:r>
        <w:rPr>
          <w:rStyle w:val="5"/>
          <w:rFonts w:hint="eastAsia" w:hAnsi="宋体" w:cs="Courier New"/>
        </w:rPr>
        <w:t>业务逻辑层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系统核心业务处理层，主要支撑系统与外部业务系统、手机终端的数据请求处理，实现信息移动化，包括基础服务支撑、业务解析运行引擎、终端访问安全管理、通用组件，以及系统管理功能</w:t>
      </w:r>
      <w:r>
        <w:rPr>
          <w:rStyle w:val="5"/>
          <w:rFonts w:hAnsi="宋体" w:cs="Courier New"/>
        </w:rPr>
        <w:t>。</w:t>
      </w:r>
    </w:p>
    <w:p w14:paraId="13C0C1A2">
      <w:pPr>
        <w:ind w:left="-15" w:leftChars="-7" w:firstLine="494" w:firstLineChars="206"/>
        <w:rPr>
          <w:rStyle w:val="5"/>
          <w:rFonts w:hint="eastAsia" w:hAnsi="宋体" w:cs="Courier New"/>
        </w:rPr>
      </w:pPr>
      <w:r>
        <w:rPr>
          <w:rStyle w:val="5"/>
          <w:rFonts w:hAnsi="宋体" w:cs="Courier New"/>
        </w:rPr>
        <w:t>4.</w:t>
      </w:r>
      <w:r>
        <w:rPr>
          <w:rStyle w:val="5"/>
          <w:rFonts w:hint="eastAsia" w:hAnsi="宋体" w:cs="Courier New"/>
        </w:rPr>
        <w:t>外部系统层</w:t>
      </w:r>
      <w:r>
        <w:rPr>
          <w:rStyle w:val="5"/>
          <w:rFonts w:hAnsi="宋体" w:cs="Courier New"/>
        </w:rPr>
        <w:t>：</w:t>
      </w:r>
      <w:r>
        <w:rPr>
          <w:rStyle w:val="5"/>
          <w:rFonts w:hint="eastAsia" w:hAnsi="宋体" w:cs="Courier New"/>
        </w:rPr>
        <w:t>系统与外部接入系统的适配层，主要的外部接入系统包括办公自动化系统(OA系统)及其他IT应用系统</w:t>
      </w:r>
      <w:r>
        <w:rPr>
          <w:rStyle w:val="5"/>
          <w:rFonts w:hAnsi="宋体" w:cs="Courier New"/>
        </w:rPr>
        <w:t>。</w:t>
      </w:r>
    </w:p>
    <w:p w14:paraId="24E66615">
      <w:r>
        <w:drawing>
          <wp:inline distT="0" distB="0" distL="114300" distR="114300">
            <wp:extent cx="5658485" cy="3752850"/>
            <wp:effectExtent l="0" t="0" r="5715" b="6350"/>
            <wp:docPr id="1" name="图片 1" descr="tt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ts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49F6">
      <w:pPr>
        <w:pStyle w:val="6"/>
        <w:numPr>
          <w:ilvl w:val="0"/>
          <w:numId w:val="3"/>
        </w:numPr>
        <w:spacing w:before="0" w:after="0" w:line="360" w:lineRule="auto"/>
        <w:rPr>
          <w:rFonts w:hint="eastAsia" w:ascii="宋体" w:hAnsi="宋体"/>
          <w:b w:val="0"/>
          <w:i w:val="0"/>
          <w:sz w:val="21"/>
          <w:szCs w:val="21"/>
        </w:rPr>
      </w:pPr>
      <w:bookmarkStart w:id="0" w:name="_Toc304972939"/>
      <w:bookmarkStart w:id="1" w:name="_Toc311061288"/>
      <w:bookmarkStart w:id="2" w:name="_Toc171191821"/>
      <w:bookmarkStart w:id="3" w:name="_Toc171273278"/>
      <w:bookmarkStart w:id="4" w:name="_Toc306787629"/>
      <w:r>
        <w:rPr>
          <w:rFonts w:hint="eastAsia" w:ascii="宋体" w:hAnsi="宋体"/>
          <w:b w:val="0"/>
          <w:i w:val="0"/>
          <w:sz w:val="21"/>
          <w:szCs w:val="21"/>
        </w:rPr>
        <w:t>公文详细信息界面元素</w:t>
      </w:r>
      <w:bookmarkEnd w:id="0"/>
      <w:bookmarkEnd w:id="1"/>
      <w:bookmarkEnd w:id="2"/>
      <w:bookmarkEnd w:id="3"/>
      <w:bookmarkEnd w:id="4"/>
    </w:p>
    <w:p w14:paraId="40C7242A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收文</w:t>
      </w:r>
    </w:p>
    <w:p w14:paraId="087F2084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来文单位、紧急程度、标题、内容摘要、意见</w:t>
      </w:r>
    </w:p>
    <w:p w14:paraId="3F01C469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外发文</w:t>
      </w:r>
    </w:p>
    <w:p w14:paraId="63C314CF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主办单位、主送单位、抄送单位、事由（标题）、紧急程度、拟稿人、密级、意见</w:t>
      </w:r>
    </w:p>
    <w:p w14:paraId="60DA16F7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内办文</w:t>
      </w:r>
    </w:p>
    <w:p w14:paraId="17187022">
      <w:pPr>
        <w:pStyle w:val="7"/>
        <w:numPr>
          <w:ilvl w:val="0"/>
          <w:numId w:val="0"/>
        </w:numPr>
        <w:tabs>
          <w:tab w:val="clear" w:pos="360"/>
        </w:tabs>
        <w:ind w:firstLine="36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主办单位、主送单位、抄送单位、事由、紧急程度、拟稿人、密级、历史意见</w:t>
      </w:r>
    </w:p>
    <w:p w14:paraId="7903B9AB">
      <w:pPr>
        <w:pStyle w:val="7"/>
        <w:numPr>
          <w:ilvl w:val="0"/>
          <w:numId w:val="4"/>
        </w:numPr>
        <w:ind w:firstLine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督办</w:t>
      </w:r>
    </w:p>
    <w:p w14:paraId="1F0B3041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事项名称、承办部门、会办部门、密级、紧急程度、督字、号、督办类别、要求完成时</w:t>
      </w:r>
    </w:p>
    <w:p w14:paraId="5C0969D6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48835" cy="4112260"/>
            <wp:effectExtent l="0" t="0" r="247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07AD">
      <w:pPr>
        <w:ind w:firstLine="420"/>
        <w:rPr>
          <w:rFonts w:hint="eastAsia" w:hAnsi="宋体"/>
        </w:rPr>
      </w:pPr>
      <w:r>
        <w:rPr>
          <w:rFonts w:hAnsi="宋体"/>
        </w:rPr>
        <w:t>OA 交换：即各单位 OA 上部署的交换系统，同时也是本</w:t>
      </w:r>
      <w:r>
        <w:rPr>
          <w:rFonts w:hint="eastAsia" w:hAnsi="宋体"/>
        </w:rPr>
        <w:t>项目电子公文</w:t>
      </w:r>
      <w:r>
        <w:rPr>
          <w:rFonts w:hAnsi="宋体"/>
        </w:rPr>
        <w:t xml:space="preserve">交换系统。该系统主要负责为OA 提供电子公文交换的收发文以及相关子服务，属于OA 的子系统，通过OA 前置的Web Service 接口与自身的Web Service[7,8]接口互联以实现对交换网络挂的接，因此并不属于交换网络的核心组件。 </w:t>
      </w:r>
    </w:p>
    <w:p w14:paraId="5E8C73EE">
      <w:pPr>
        <w:ind w:firstLine="420"/>
        <w:rPr>
          <w:rFonts w:hint="eastAsia" w:hAnsi="宋体"/>
        </w:rPr>
      </w:pPr>
      <w:r>
        <w:rPr>
          <w:rFonts w:hAnsi="宋体"/>
        </w:rPr>
        <w:t>OA 前置：即为 OA 交换提供直接通讯服务的交换系统。该系统仅负责为所连接的 OA 交换提供数据传输服务，其一端通过Web Service 与OA 交换连接，另一端则通过消息队列以及Web Service 两类接口与交换接口连接，属于交换网络的边缘组件。</w:t>
      </w:r>
    </w:p>
    <w:p w14:paraId="2F1A2468">
      <w:pPr>
        <w:ind w:firstLine="420"/>
        <w:rPr>
          <w:rFonts w:hint="eastAsia" w:hAnsi="宋体"/>
        </w:rPr>
      </w:pPr>
      <w:r>
        <w:rPr>
          <w:rFonts w:hAnsi="宋体"/>
        </w:rPr>
        <w:t xml:space="preserve">交换接口：即核心交换系统所提供的外接接口系统。该接口连接的两端都同时拥有消息队列（异步交换）或是 Web Service（同步交换）两类接口，其一端与一定区域的 OA 前置通过相连，并为这些 OA 前置提供交换服务以及核心查询服务，另一端则与核心交换相连。交换接口的存在不仅可以保护核心交换不被暴露，同时也可以减轻核心交换的网络压力，属于交换网络的核心组件。 </w:t>
      </w:r>
    </w:p>
    <w:p w14:paraId="621F60D6">
      <w:pPr>
        <w:rPr>
          <w:rFonts w:hint="eastAsia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C6BFF"/>
    <w:multiLevelType w:val="multilevel"/>
    <w:tmpl w:val="04FC6BFF"/>
    <w:lvl w:ilvl="0" w:tentative="0">
      <w:start w:val="1"/>
      <w:numFmt w:val="decimal"/>
      <w:pStyle w:val="7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57D38AD"/>
    <w:multiLevelType w:val="multilevel"/>
    <w:tmpl w:val="657D38AD"/>
    <w:lvl w:ilvl="0" w:tentative="0">
      <w:start w:val="1"/>
      <w:numFmt w:val="chineseCountingThousand"/>
      <w:suff w:val="nothing"/>
      <w:lvlText w:val="第%1章"/>
      <w:lvlJc w:val="left"/>
      <w:pPr>
        <w:ind w:left="-54" w:firstLine="0"/>
      </w:pPr>
    </w:lvl>
    <w:lvl w:ilvl="1" w:tentative="0">
      <w:start w:val="1"/>
      <w:numFmt w:val="decimal"/>
      <w:lvlText w:val="%2."/>
      <w:lvlJc w:val="left"/>
      <w:pPr>
        <w:ind w:left="-54" w:firstLine="0"/>
      </w:pPr>
    </w:lvl>
    <w:lvl w:ilvl="2" w:tentative="0">
      <w:start w:val="1"/>
      <w:numFmt w:val="none"/>
      <w:pStyle w:val="2"/>
      <w:suff w:val="nothing"/>
      <w:lvlText w:val=""/>
      <w:lvlJc w:val="left"/>
      <w:pPr>
        <w:ind w:left="-54" w:firstLine="0"/>
      </w:pPr>
    </w:lvl>
    <w:lvl w:ilvl="3" w:tentative="0">
      <w:start w:val="1"/>
      <w:numFmt w:val="none"/>
      <w:suff w:val="nothing"/>
      <w:lvlText w:val=""/>
      <w:lvlJc w:val="left"/>
      <w:pPr>
        <w:ind w:left="-54" w:firstLine="0"/>
      </w:pPr>
    </w:lvl>
    <w:lvl w:ilvl="4" w:tentative="0">
      <w:start w:val="1"/>
      <w:numFmt w:val="none"/>
      <w:suff w:val="nothing"/>
      <w:lvlText w:val=""/>
      <w:lvlJc w:val="left"/>
      <w:pPr>
        <w:ind w:left="-54" w:firstLine="0"/>
      </w:pPr>
    </w:lvl>
    <w:lvl w:ilvl="5" w:tentative="0">
      <w:start w:val="1"/>
      <w:numFmt w:val="none"/>
      <w:suff w:val="nothing"/>
      <w:lvlText w:val=""/>
      <w:lvlJc w:val="left"/>
      <w:pPr>
        <w:ind w:left="-54" w:firstLine="0"/>
      </w:pPr>
    </w:lvl>
    <w:lvl w:ilvl="6" w:tentative="0">
      <w:start w:val="1"/>
      <w:numFmt w:val="none"/>
      <w:suff w:val="nothing"/>
      <w:lvlText w:val=""/>
      <w:lvlJc w:val="left"/>
      <w:pPr>
        <w:ind w:left="-54" w:firstLine="0"/>
      </w:pPr>
    </w:lvl>
    <w:lvl w:ilvl="7" w:tentative="0">
      <w:start w:val="1"/>
      <w:numFmt w:val="none"/>
      <w:suff w:val="nothing"/>
      <w:lvlText w:val=""/>
      <w:lvlJc w:val="left"/>
      <w:pPr>
        <w:ind w:left="-54" w:firstLine="0"/>
      </w:pPr>
    </w:lvl>
    <w:lvl w:ilvl="8" w:tentative="0">
      <w:start w:val="1"/>
      <w:numFmt w:val="none"/>
      <w:suff w:val="nothing"/>
      <w:lvlText w:val=""/>
      <w:lvlJc w:val="left"/>
      <w:pPr>
        <w:ind w:left="-54" w:firstLine="0"/>
      </w:pPr>
    </w:lvl>
  </w:abstractNum>
  <w:abstractNum w:abstractNumId="2">
    <w:nsid w:val="781B0560"/>
    <w:multiLevelType w:val="multilevel"/>
    <w:tmpl w:val="781B056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B4D397"/>
    <w:rsid w:val="CDB4D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tml_txt1"/>
    <w:uiPriority w:val="0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6">
    <w:name w:val="样式 标题 3 + 两端对齐 段前: 13 磅 段后: 13 磅 行距: 多倍行距 1.73 字行"/>
    <w:basedOn w:val="2"/>
    <w:uiPriority w:val="0"/>
    <w:pPr>
      <w:widowControl/>
      <w:numPr>
        <w:ilvl w:val="2"/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0"/>
      <w:i/>
      <w:kern w:val="0"/>
      <w:sz w:val="28"/>
      <w:szCs w:val="20"/>
    </w:rPr>
  </w:style>
  <w:style w:type="paragraph" w:customStyle="1" w:styleId="7">
    <w:name w:val="样式 两端对齐 行距: 1.5 倍行距2"/>
    <w:basedOn w:val="1"/>
    <w:uiPriority w:val="0"/>
    <w:pPr>
      <w:widowControl/>
      <w:numPr>
        <w:ilvl w:val="0"/>
        <w:numId w:val="2"/>
      </w:numPr>
    </w:pPr>
    <w:rPr>
      <w:rFonts w:ascii="Times New Roman" w:eastAsia="仿宋_GB2312" w:cs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2025-07-06T16:54:00Z</dcterms:created>
  <dc:creator>Excelsior†</dc:creator>
  <cp:lastModifiedBy>Excelsior†</cp:lastModifiedBy>
  <dcterms:modified xsi:type="dcterms:W3CDTF">2025-07-06T16:55:43Z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AF62E45F099AA0E6C6396A68DA373F0B_41</vt:lpwstr>
  </property>
</Properties>
</file>