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00" w:after="0"/>
        <w:jc w:val="center"/>
      </w:pPr>
      <w:r>
        <w:rPr>
          <w:rFonts w:ascii="黑体" w:hAnsi="黑体" w:eastAsia="黑体" w:cs="黑体"/>
          <w:b/>
          <w:bCs/>
          <w:color w:val="1F4E79"/>
          <w:sz w:val="54"/>
          <w:szCs w:val="54"/>
        </w:rPr>
        <w:t>御界 · 安全超级智能体</w:t>
      </w:r>
    </w:p>
    <w:p>
      <w:pPr>
        <w:spacing w:before="200" w:after="700"/>
        <w:jc w:val="center"/>
      </w:pPr>
      <w:r>
        <w:rPr>
          <w:rFonts w:ascii="黑体" w:hAnsi="黑体" w:eastAsia="黑体" w:cs="黑体"/>
          <w:b/>
          <w:bCs/>
          <w:color w:val="595959"/>
          <w:sz w:val="34"/>
          <w:szCs w:val="34"/>
        </w:rPr>
        <w:t>部 署 手 册</w:t>
      </w:r>
    </w:p>
    <w:tbl>
      <w:tblPr>
        <w:tblStyle w:val="11"/>
        <w:tblW w:w="90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4E79"/>
                <w:sz w:val="20"/>
                <w:szCs w:val="20"/>
              </w:rPr>
              <w:t>榜题编号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XH-202609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4E79"/>
                <w:sz w:val="20"/>
                <w:szCs w:val="20"/>
              </w:rPr>
              <w:t>作品名称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御界·安全超级智能体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4E79"/>
                <w:sz w:val="20"/>
                <w:szCs w:val="20"/>
              </w:rPr>
              <w:t>推报单位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南昌大学（软件学院）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4E79"/>
                <w:sz w:val="20"/>
                <w:szCs w:val="20"/>
              </w:rPr>
              <w:t>团队成员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孙凌枫（负责人）、邓裕博、邱亚飞、石国骏、杨婧婕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4E79"/>
                <w:sz w:val="20"/>
                <w:szCs w:val="20"/>
              </w:rPr>
              <w:t>指导教师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赵志宾、赵培培、黄安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4E79"/>
                <w:sz w:val="20"/>
                <w:szCs w:val="20"/>
              </w:rPr>
              <w:t>文档版本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v1.0（2026 年 9 月）</w:t>
            </w:r>
          </w:p>
        </w:tc>
      </w:tr>
    </w:tbl>
    <w:p>
      <w:r>
        <w:br w:type="page"/>
      </w:r>
    </w:p>
    <w:p>
      <w:pPr>
        <w:spacing w:after="160"/>
        <w:jc w:val="center"/>
      </w:pPr>
      <w:r>
        <w:rPr>
          <w:rFonts w:ascii="黑体" w:hAnsi="黑体" w:eastAsia="黑体" w:cs="黑体"/>
          <w:b/>
          <w:bCs/>
          <w:color w:val="1F4E79"/>
          <w:sz w:val="28"/>
          <w:szCs w:val="28"/>
        </w:rPr>
        <w:t>目  录</w:t>
      </w:r>
    </w:p>
    <w:p>
      <w:pPr>
        <w:spacing w:after="160"/>
      </w:pPr>
    </w:p>
    <w:p>
      <w:pPr>
        <w:tabs>
          <w:tab w:val="right" w:leader="dot" w:pos="9020"/>
        </w:tabs>
        <w:spacing w:after="130" w:line="34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一、手册说明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3</w:t>
      </w:r>
    </w:p>
    <w:p>
      <w:pPr>
        <w:tabs>
          <w:tab w:val="right" w:leader="dot" w:pos="9020"/>
        </w:tabs>
        <w:spacing w:after="130" w:line="34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二、环境要求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3</w:t>
      </w:r>
    </w:p>
    <w:p>
      <w:pPr>
        <w:tabs>
          <w:tab w:val="right" w:leader="dot" w:pos="9020"/>
        </w:tabs>
        <w:spacing w:after="130" w:line="34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三、部署步骤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4</w:t>
      </w:r>
    </w:p>
    <w:p>
      <w:pPr>
        <w:tabs>
          <w:tab w:val="right" w:leader="dot" w:pos="9020"/>
        </w:tabs>
        <w:spacing w:after="130" w:line="34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四、运行方式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6</w:t>
      </w:r>
    </w:p>
    <w:p>
      <w:pPr>
        <w:tabs>
          <w:tab w:val="right" w:leader="dot" w:pos="9020"/>
        </w:tabs>
        <w:spacing w:after="130" w:line="34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五、功能验证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7</w:t>
      </w:r>
    </w:p>
    <w:p>
      <w:pPr>
        <w:tabs>
          <w:tab w:val="right" w:leader="dot" w:pos="9020"/>
        </w:tabs>
        <w:spacing w:after="130" w:line="34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六、常见问题（FAQ）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8</w:t>
      </w:r>
    </w:p>
    <w:p>
      <w:pPr>
        <w:tabs>
          <w:tab w:val="right" w:leader="dot" w:pos="9020"/>
        </w:tabs>
        <w:spacing w:after="130" w:line="34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七、项目目录结构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9</w:t>
      </w:r>
    </w:p>
    <w:p>
      <w:r>
        <w:br w:type="page"/>
      </w:r>
    </w:p>
    <w:p>
      <w:pPr>
        <w:pStyle w:val="2"/>
        <w:spacing w:before="320" w:after="160"/>
      </w:pPr>
      <w:r>
        <w:rPr>
          <w:rFonts w:ascii="黑体" w:hAnsi="黑体" w:eastAsia="黑体" w:cs="黑体"/>
          <w:b/>
          <w:bCs/>
          <w:color w:val="1F4E79"/>
          <w:sz w:val="30"/>
          <w:szCs w:val="30"/>
        </w:rPr>
        <w:t>一、手册说明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本手册指导在一台机器上从零完成“御界·安全超级智能体”的部署与运行，供评审复现与二次开发使用。系统由统一入口、态势感知模块、CTF 分析模块、插件化工具框架与审计层组成，提供命令行与网页两种使用形态。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其中，CTF 分析模块为纯文本/文件分析，自包含、无需外部靶机，可独立部署为在线测试入口；态势感知模块需额外安装 nmap，并（可选）借助 Docker 靶机环境进行完整演示。按本手册操作，普通开发环境约 15 分钟即可完成核心功能部署。</w:t>
      </w:r>
    </w:p>
    <w:p>
      <w:pPr>
        <w:pStyle w:val="2"/>
        <w:spacing w:before="320" w:after="160"/>
      </w:pPr>
      <w:r>
        <w:rPr>
          <w:rFonts w:ascii="黑体" w:hAnsi="黑体" w:eastAsia="黑体" w:cs="黑体"/>
          <w:b/>
          <w:bCs/>
          <w:color w:val="1F4E79"/>
          <w:sz w:val="30"/>
          <w:szCs w:val="30"/>
        </w:rPr>
        <w:t>二、环境要求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部署前请确认满足下列环境要求。其中带“（可选）”的项仅在需要运行态势感知模块的完整演示时才需要。</w:t>
      </w:r>
    </w:p>
    <w:p>
      <w:pPr>
        <w:spacing w:after="40"/>
      </w:pPr>
    </w:p>
    <w:tbl>
      <w:tblPr>
        <w:tblStyle w:val="11"/>
        <w:tblW w:w="90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6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0"/>
                <w:szCs w:val="20"/>
              </w:rPr>
              <w:t>要求说明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操作系统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Windows 10 / 11（开发与测试环境）；核心功能亦可在 Linux / macOS 运行。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3.10 及以上版本。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内存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建议 8 GB 以上；若运行 Docker 靶机，建议 16 GB。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网络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可访问 DeepSeek API（api.deepseek.com）与 NVD 漏洞情报接口。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大模型密钥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DeepSeek API Key（国内合规大模型服务，需自行申请）。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外部工具（可选）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nmap（态势感知端口扫描）；Docker Desktop（搭建 Vulhub 靶机）。</w:t>
            </w:r>
          </w:p>
        </w:tc>
      </w:tr>
    </w:tbl>
    <w:p>
      <w:pPr>
        <w:spacing w:after="120"/>
      </w:pPr>
    </w:p>
    <w:p>
      <w:pPr>
        <w:pStyle w:val="2"/>
        <w:spacing w:before="320" w:after="160"/>
      </w:pPr>
      <w:r>
        <w:rPr>
          <w:rFonts w:ascii="黑体" w:hAnsi="黑体" w:eastAsia="黑体" w:cs="黑体"/>
          <w:b/>
          <w:bCs/>
          <w:color w:val="1F4E79"/>
          <w:sz w:val="30"/>
          <w:szCs w:val="30"/>
        </w:rPr>
        <w:t>三、部署步骤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3.1 获取源代码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将作品源代码解压（或克隆）到本地工作目录。本手册以 Windows 下的示例路径为例：</w:t>
      </w:r>
    </w:p>
    <w:p>
      <w:pPr>
        <w:pBdr>
          <w:left w:val="single" w:color="2E74B5" w:sz="18" w:space="8"/>
        </w:pBdr>
        <w:shd w:val="clear" w:color="auto" w:fill="F2F4F7"/>
        <w:spacing w:before="4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D:\python_learn\autogen_demo</w:t>
      </w:r>
    </w:p>
    <w:p>
      <w:pPr>
        <w:spacing w:after="140" w:line="32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595959"/>
          <w:sz w:val="19"/>
          <w:szCs w:val="19"/>
        </w:rPr>
        <w:t>下文命令均假设当前目录已切换到该项目根目录（含 unified_agent.py、ctf_agent.py、web_server.py 等文件的目录）。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3.2 创建并激活虚拟环境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为隔离依赖，建议使用 Python 虚拟环境。在项目所在磁盘创建并激活：</w:t>
      </w:r>
    </w:p>
    <w:p>
      <w:pPr>
        <w:pBdr>
          <w:left w:val="single" w:color="2E74B5" w:sz="18" w:space="8"/>
        </w:pBdr>
        <w:shd w:val="clear" w:color="auto" w:fill="F2F4F7"/>
        <w:spacing w:before="4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:: 切换到项目盘并进入目录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D: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cd D:\python_learn\autogen_demo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:: 创建虚拟环境（首次）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python -m venv D:\python_learn\.venv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:: 激活虚拟环境</w:t>
      </w:r>
    </w:p>
    <w:p>
      <w:pPr>
        <w:pBdr>
          <w:left w:val="single" w:color="2E74B5" w:sz="18" w:space="8"/>
        </w:pBdr>
        <w:shd w:val="clear" w:color="auto" w:fill="F2F4F7"/>
        <w:spacing w:before="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D:\python_learn\.venv\Scripts\activate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激活成功后，命令行提示符最前方会出现 (.venv) 标志，之后的 python、pip 命令即使用该虚拟环境。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3.3 安装依赖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在已激活的虚拟环境中安装项目依赖。可将下列内容保存为 requirements.txt，一次性安装：</w:t>
      </w:r>
    </w:p>
    <w:p>
      <w:pPr>
        <w:pBdr>
          <w:left w:val="single" w:color="2E74B5" w:sz="18" w:space="8"/>
        </w:pBdr>
        <w:shd w:val="clear" w:color="auto" w:fill="F2F4F7"/>
        <w:spacing w:before="4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autogen-agentchat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autogen-ext[openai]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python-dotenv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pydantic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python-magic-bin</w:t>
      </w:r>
    </w:p>
    <w:p>
      <w:pPr>
        <w:pBdr>
          <w:left w:val="single" w:color="2E74B5" w:sz="18" w:space="8"/>
        </w:pBdr>
        <w:shd w:val="clear" w:color="auto" w:fill="F2F4F7"/>
        <w:spacing w:before="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fastapi / uvicorn / python-multipart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执行安装：</w:t>
      </w:r>
    </w:p>
    <w:p>
      <w:pPr>
        <w:pBdr>
          <w:left w:val="single" w:color="2E74B5" w:sz="18" w:space="8"/>
        </w:pBdr>
        <w:shd w:val="clear" w:color="auto" w:fill="F2F4F7"/>
        <w:spacing w:before="4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pip install -r requirements.txt</w:t>
      </w:r>
    </w:p>
    <w:p>
      <w:pPr>
        <w:spacing w:after="140" w:line="32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595959"/>
          <w:sz w:val="19"/>
          <w:szCs w:val="19"/>
        </w:rPr>
        <w:t>说明：python-magic-bin 为 Windows 平台的文件类型识别库（对应 Linux 的 python-magic）；autogen-ext[openai] 会一并安装 autogen-core 等核心依赖；DeepSeek 通过 OpenAI 兼容接口调用，无需额外 SDK。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3.4 配置大模型密钥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在项目根目录创建 .env 文件，写入 DeepSeek API Key：</w:t>
      </w:r>
    </w:p>
    <w:p>
      <w:pPr>
        <w:pBdr>
          <w:left w:val="single" w:color="2E74B5" w:sz="18" w:space="8"/>
        </w:pBdr>
        <w:shd w:val="clear" w:color="auto" w:fill="F2F4F7"/>
        <w:spacing w:before="4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DEEPSEEK_API_KEY=sk-</w:t>
      </w:r>
      <w:bookmarkStart w:id="0" w:name="_GoBack"/>
      <w:bookmarkEnd w:id="0"/>
      <w:r>
        <w:rPr>
          <w:rFonts w:ascii="Consolas" w:hAnsi="Consolas" w:eastAsia="Consolas" w:cs="Consolas"/>
          <w:color w:val="1A1A1A"/>
          <w:sz w:val="19"/>
          <w:szCs w:val="19"/>
        </w:rPr>
        <w:t>密钥</w:t>
      </w:r>
    </w:p>
    <w:p>
      <w:pPr>
        <w:spacing w:after="140" w:line="32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595959"/>
          <w:sz w:val="19"/>
          <w:szCs w:val="19"/>
        </w:rPr>
        <w:t>注意：.env 文件包含密钥，请勿提交至公开代码仓库；提交作品时应移除真实密钥或以占位符替代。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3.5 安装 nmap（态势感知模块需要）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态势感知模块调用 nmap 进行端口与服务识别。若仅部署 CTF 分析模块，可跳过本步。Windows 下从 nmap 官网下载安装包安装后，确保 nmap 已加入系统 PATH（安装向导默认勾选即可），可用下列命令验证：</w:t>
      </w:r>
    </w:p>
    <w:p>
      <w:pPr>
        <w:pBdr>
          <w:left w:val="single" w:color="2E74B5" w:sz="18" w:space="8"/>
        </w:pBdr>
        <w:shd w:val="clear" w:color="auto" w:fill="F2F4F7"/>
        <w:spacing w:before="4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nmap --version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3.6 搭建测试靶机环境（可选）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为完整演示态势感知的“感知—研判”闭环，可用 Docker + Vulhub 搭建已知漏洞靶机。需先安装 Docker Desktop，并在 Windows 中启用虚拟化相关功能（WSL2 与 VirtualMachinePlatform）。启动示例靶机：</w:t>
      </w:r>
    </w:p>
    <w:p>
      <w:pPr>
        <w:pBdr>
          <w:left w:val="single" w:color="2E74B5" w:sz="18" w:space="8"/>
        </w:pBdr>
        <w:shd w:val="clear" w:color="auto" w:fill="F2F4F7"/>
        <w:spacing w:before="4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:: Tomcat 靶机（CVE-2017-12615，端口 8080）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cd D:\python_learn\vulhub\tomcat\CVE-2017-12615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docker compose up -d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:: Redis 靶机（CVE-2022-0543，端口 6379）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cd D:\python_learn\vulhub\redis\CVE-2022-0543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docker compose up -d</w:t>
      </w: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</w:p>
    <w:p>
      <w:pPr>
        <w:pBdr>
          <w:left w:val="single" w:color="2E74B5" w:sz="18" w:space="8"/>
        </w:pBdr>
        <w:shd w:val="clear" w:color="auto" w:fill="F2F4F7"/>
        <w:spacing w:before="0" w:after="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:: 查看靶机运行状态（应为 Up）</w:t>
      </w:r>
    </w:p>
    <w:p>
      <w:pPr>
        <w:pBdr>
          <w:left w:val="single" w:color="2E74B5" w:sz="18" w:space="8"/>
        </w:pBdr>
        <w:shd w:val="clear" w:color="auto" w:fill="F2F4F7"/>
        <w:spacing w:before="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docker ps</w:t>
      </w:r>
    </w:p>
    <w:p>
      <w:pPr>
        <w:spacing w:after="140" w:line="32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595959"/>
          <w:sz w:val="19"/>
          <w:szCs w:val="19"/>
        </w:rPr>
        <w:t>提示：演示态势感知前务必确认靶机为 Up 状态；若靶机未启动，系统会如实报告“0 资产、low 风险”。</w:t>
      </w:r>
    </w:p>
    <w:p>
      <w:pPr>
        <w:pStyle w:val="2"/>
        <w:spacing w:before="320" w:after="160"/>
      </w:pPr>
      <w:r>
        <w:rPr>
          <w:rFonts w:ascii="黑体" w:hAnsi="黑体" w:eastAsia="黑体" w:cs="黑体"/>
          <w:b/>
          <w:bCs/>
          <w:color w:val="1F4E79"/>
          <w:sz w:val="30"/>
          <w:szCs w:val="30"/>
        </w:rPr>
        <w:t>四、运行方式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系统提供三种运行入口，均需先激活虚拟环境（见 3.2）。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4.1 统一入口（推荐演示用）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统一入口自主判断任务类型并分派到对应模块，最能体现“通用智能体”定位：</w:t>
      </w:r>
    </w:p>
    <w:p>
      <w:pPr>
        <w:pBdr>
          <w:left w:val="single" w:color="2E74B5" w:sz="18" w:space="8"/>
        </w:pBdr>
        <w:shd w:val="clear" w:color="auto" w:fill="F2F4F7"/>
        <w:spacing w:before="4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python unified_agent.py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程序会先输出任务分类结果（判定类型、置信度、判断依据），再分派给态势感知或 CTF 模块执行，全过程写入 audit_logs/ 审计日志。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4.2 CTF 分析对话模式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以命令行连续对话方式使用 CTF 分析模块，可连续输入密文、代码或文件路径：</w:t>
      </w:r>
    </w:p>
    <w:p>
      <w:pPr>
        <w:pBdr>
          <w:left w:val="single" w:color="2E74B5" w:sz="18" w:space="8"/>
        </w:pBdr>
        <w:shd w:val="clear" w:color="auto" w:fill="F2F4F7"/>
        <w:spacing w:before="4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python ctf_agent.py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交互命令：直接输入内容进行分析；输入“新题”清空上下文、开始新的一道题；输入“exit”退出。系统保留对话上下文，可就上一步结果继续追问。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4.3 网页版（在线可测试入口）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网页版提供图形化对话界面，支持连续对话、实时展示工具调用过程、以及直接上传文件/图片进行分析，是最贴近“在线可测试”的形态：</w:t>
      </w:r>
    </w:p>
    <w:p>
      <w:pPr>
        <w:pBdr>
          <w:left w:val="single" w:color="2E74B5" w:sz="18" w:space="8"/>
        </w:pBdr>
        <w:shd w:val="clear" w:color="auto" w:fill="F2F4F7"/>
        <w:spacing w:before="4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python web_server.py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启动后在浏览器访问本地地址即可使用：</w:t>
      </w:r>
    </w:p>
    <w:p>
      <w:pPr>
        <w:pBdr>
          <w:left w:val="single" w:color="2E74B5" w:sz="18" w:space="8"/>
        </w:pBdr>
        <w:shd w:val="clear" w:color="auto" w:fill="F2F4F7"/>
        <w:spacing w:before="40" w:after="140" w:line="300" w:lineRule="auto"/>
        <w:ind w:left="300" w:right="300"/>
      </w:pPr>
      <w:r>
        <w:rPr>
          <w:rFonts w:ascii="Consolas" w:hAnsi="Consolas" w:eastAsia="Consolas" w:cs="Consolas"/>
          <w:color w:val="1A1A1A"/>
          <w:sz w:val="19"/>
          <w:szCs w:val="19"/>
        </w:rPr>
        <w:t>http://127.0.0.1:8000</w:t>
      </w:r>
    </w:p>
    <w:p>
      <w:pPr>
        <w:spacing w:after="140" w:line="32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595959"/>
          <w:sz w:val="19"/>
          <w:szCs w:val="19"/>
        </w:rPr>
        <w:t>在线部署说明：如需对外提供固定的在线测试地址，可将 web_server.py（FastAPI 应用）部署至云服务器或托管平台，用 uvicorn 监听对外端口启动（生产环境建议配合 Nginx 反向代理与 HTTPS），并将 DeepSeek 密钥配置到平台的环境变量中。注意：态势感知模块依赖本地 nmap 与靶机，托管环境通常不具备扫描目标，故在线地址以演示 CTF 分析为主，态势感知以本地部署与演示视频呈现。</w:t>
      </w:r>
    </w:p>
    <w:p>
      <w:pPr>
        <w:pStyle w:val="2"/>
        <w:spacing w:before="320" w:after="160"/>
      </w:pPr>
      <w:r>
        <w:rPr>
          <w:rFonts w:ascii="黑体" w:hAnsi="黑体" w:eastAsia="黑体" w:cs="黑体"/>
          <w:b/>
          <w:bCs/>
          <w:color w:val="1F4E79"/>
          <w:sz w:val="30"/>
          <w:szCs w:val="30"/>
        </w:rPr>
        <w:t>五、功能验证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部署完成后，可用下列快速用例验证系统是否正常工作。</w:t>
      </w:r>
    </w:p>
    <w:p>
      <w:pPr>
        <w:spacing w:after="40"/>
      </w:pPr>
    </w:p>
    <w:tbl>
      <w:tblPr>
        <w:tblStyle w:val="11"/>
        <w:tblW w:w="90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32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0"/>
                <w:szCs w:val="20"/>
              </w:rPr>
              <w:t>验证项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0"/>
                <w:szCs w:val="20"/>
              </w:rPr>
              <w:t>预期结果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CTF 解码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网页或命令行输入：ZmxhZ3t0ZXN0fQ==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识别为 Base64，解码得到 flag{test}，并显示工具调用过程。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图片隐写分析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网页端上传隐写样本（如 stego.png）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自动分析文件、抽取字符串并解出隐藏 flag。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连续对话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先发一段密文，再追问“刚才那个是什么”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系统结合上下文作答，说明上下文记忆生效。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</w:rPr>
              <w:t>态势感知（可选）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确认靶机 Up 后运行统一入口并给出评估任务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扫描到 2 个资产，比对 NVD 情报并给出风险研判。</w:t>
            </w:r>
          </w:p>
        </w:tc>
      </w:tr>
    </w:tbl>
    <w:p>
      <w:pPr>
        <w:spacing w:after="120"/>
      </w:pPr>
    </w:p>
    <w:p>
      <w:pPr>
        <w:pStyle w:val="2"/>
        <w:spacing w:before="320" w:after="160"/>
      </w:pPr>
      <w:r>
        <w:rPr>
          <w:rFonts w:ascii="黑体" w:hAnsi="黑体" w:eastAsia="黑体" w:cs="黑体"/>
          <w:b/>
          <w:bCs/>
          <w:color w:val="1F4E79"/>
          <w:sz w:val="30"/>
          <w:szCs w:val="30"/>
        </w:rPr>
        <w:t>六、常见问题（FAQ）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下列问题均为实际部署与调试中遇到并已解决的情况，供快速排障参考。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Q1. 运行报错 No module named 'magic'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原因：未激活虚拟环境（使用了全局 Python），或未安装 python-magic-bin。解决：先执行 3.2 激活虚拟环境（提示符出现 (.venv)），再运行；若仍报错，执行 pip install python-magic-bin。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Q2. 提示符没有 (.venv)，命令找不到包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原因：虚拟环境未激活。解决：在项目盘执行激活命令（见 3.2）；若为其它盘符，先输入盘符（如 D:）再 cd 进入目录后激活。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Q3. 命令行查看 JSON 日志出现中文乱码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原因：Windows 的 type 命令以 GBK 解码 UTF-8 文件所致，文件本身正常。解决：改用编辑器（如 PyCharm）或网页端查看审计日志，避免使用 type 命令展示。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Q4. 浏览器打不开网页版 / 连接被拒绝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原因：web_server.py 未启动，或端口 8000 被占用。解决：确认已运行 python web_server.py 且终端显示 Uvicorn running on http://127.0.0.1:8000 后再访问；若端口 8000 被占用，可结束占用该端口的进程，或在 web_server.py 中改用其它端口后重启。注意网页版访问的是 8000 端口，而非早期版本的 7860 端口。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Q5. 运行时出现 deepseek-chat != deepseek-v4-flash 的警告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这是 AutoGen 对模型成本估算的提示信息（UserWarning），不影响功能与结果，可忽略。</w:t>
      </w:r>
    </w:p>
    <w:p>
      <w:pPr>
        <w:pStyle w:val="3"/>
        <w:spacing w:before="200" w:after="110"/>
      </w:pPr>
      <w:r>
        <w:rPr>
          <w:rFonts w:ascii="黑体" w:hAnsi="黑体" w:eastAsia="黑体" w:cs="黑体"/>
          <w:b/>
          <w:bCs/>
          <w:color w:val="2E74B5"/>
          <w:sz w:val="24"/>
          <w:szCs w:val="24"/>
        </w:rPr>
        <w:t>Q6. 态势感知扫描到 0 个资产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原因：Docker 靶机未启动。解决：执行 docker ps 确认靶机状态，未启动则按 3.6 用 docker compose up -d 启动，确认端口 8080、6379 对应容器为 Up 后重跑。</w:t>
      </w:r>
    </w:p>
    <w:p>
      <w:pPr>
        <w:pStyle w:val="2"/>
        <w:spacing w:before="320" w:after="160"/>
      </w:pPr>
      <w:r>
        <w:rPr>
          <w:rFonts w:ascii="黑体" w:hAnsi="黑体" w:eastAsia="黑体" w:cs="黑体"/>
          <w:b/>
          <w:bCs/>
          <w:color w:val="1F4E79"/>
          <w:sz w:val="30"/>
          <w:szCs w:val="30"/>
        </w:rPr>
        <w:t>七、项目目录结构</w:t>
      </w:r>
    </w:p>
    <w:p>
      <w:pPr>
        <w:spacing w:after="140" w:line="320" w:lineRule="auto"/>
        <w:ind w:firstLine="480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项目主要文件与作用如下，便于评审与二次开发定位。</w:t>
      </w:r>
    </w:p>
    <w:p>
      <w:pPr>
        <w:spacing w:after="40"/>
      </w:pPr>
    </w:p>
    <w:tbl>
      <w:tblPr>
        <w:tblStyle w:val="11"/>
        <w:tblW w:w="90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600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0"/>
                <w:szCs w:val="20"/>
              </w:rPr>
              <w:t>文件 / 目录</w:t>
            </w:r>
          </w:p>
        </w:tc>
        <w:tc>
          <w:tcPr>
            <w:tcW w:w="5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0"/>
                <w:szCs w:val="20"/>
              </w:rPr>
              <w:t>作用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unified_agent.py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统一入口：AI 任务分类器，自主判定任务类型并分派。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pipeline.py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态势感知主流程：任务理解 → 感知研判闭环 → 生成报告。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ctf_agent.py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CTF 分析模块：命令行对话入口，注册五方向分析工具。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web_server.py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网页版后端（FastAPI）：托管 index.html 前端，整合 CTF 与态势感知两类接口。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task_parser.py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任务解析：将自然语言任务解析为结构化执行计划。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decision_loop.py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感知—研判—决策的多轮反馈闭环逻辑。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nvd_query.py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NVD 漏洞情报查询（CPE 精确匹配）。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tool_registry.py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插件化工具注册表：@register_tool 注册、按 category 分域管理。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crypto_tools.py / web_tools.py / reverse_tools.py / pwn_tools.py / ctf_tools.py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CTF 各方向分析工具（密码、Web、逆向、Pwn、Misc 与图片隐写）。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render_report.py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态势感知结果的 HTML 可视化报告生成。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.env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环境变量与密钥配置（DeepSeek API Key）。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audit_logs/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审计日志目录：以带时间戳的 JSON 记录每次决策轨迹。</w:t>
            </w:r>
          </w:p>
        </w:tc>
      </w:tr>
    </w:tbl>
    <w:p>
      <w:pPr>
        <w:spacing w:after="80"/>
      </w:pPr>
    </w:p>
    <w:p>
      <w:pPr>
        <w:spacing w:after="140" w:line="320" w:lineRule="auto"/>
        <w:jc w:val="both"/>
      </w:pPr>
      <w:r>
        <w:rPr>
          <w:rFonts w:ascii="宋体" w:hAnsi="宋体" w:eastAsia="宋体" w:cs="宋体"/>
          <w:b w:val="0"/>
          <w:bCs w:val="0"/>
          <w:i/>
          <w:iCs/>
          <w:color w:val="595959"/>
          <w:sz w:val="19"/>
          <w:szCs w:val="19"/>
        </w:rPr>
        <w:t>（说明：实际文件名以提交源代码为准；若有增删，请同步更新本节。）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D95D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rPr>
      <w:rFonts w:ascii="黑体" w:hAnsi="黑体" w:eastAsia="黑体" w:cs="黑体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rPr>
      <w:rFonts w:ascii="黑体" w:hAnsi="黑体" w:eastAsia="黑体" w:cs="黑体"/>
      <w:b/>
      <w:bCs/>
      <w:color w:val="2E74B5"/>
      <w:sz w:val="24"/>
      <w:szCs w:val="24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Office_11.8.2.10158_F1E327BC-269C-435d-A152-05C5408002CA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2026-09-02T02:30:00Z</dcterms:created>
  <dc:creator>Un-named</dc:creator>
  <cp:lastModifiedBy>slf</cp:lastModifiedBy>
  <dcterms:modified xsi:type="dcterms:W3CDTF">2026-09-02T02:32:44Z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2052-11.8.2.10158</vt:lpwstr>
  </property>
</Properties>
</file>