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ascii="黑体" w:hAnsi="黑体" w:eastAsia="黑体" w:cs="黑体"/>
          <w:sz w:val="36"/>
          <w:szCs w:val="21"/>
          <w:lang w:val="en-US" w:eastAsia="zh-CN"/>
        </w:rPr>
        <w:t>网络信息技术对接需求</w:t>
      </w:r>
    </w:p>
    <w:p>
      <w:pPr>
        <w:pStyle w:val="3"/>
        <w:pageBreakBefore w:val="0"/>
        <w:widowControl w:val="0"/>
        <w:numPr>
          <w:ilvl w:val="0"/>
          <w:numId w:val="0"/>
        </w:numPr>
        <w:kinsoku/>
        <w:wordWrap/>
        <w:overflowPunct/>
        <w:topLinePunct w:val="0"/>
        <w:autoSpaceDE/>
        <w:autoSpaceDN/>
        <w:bidi w:val="0"/>
        <w:adjustRightInd/>
        <w:snapToGrid w:val="0"/>
        <w:spacing w:before="0" w:beforeLines="0" w:after="0" w:afterLines="0" w:line="560" w:lineRule="exact"/>
        <w:ind w:firstLine="643" w:firstLineChars="200"/>
        <w:textAlignment w:val="auto"/>
        <w:rPr>
          <w:rFonts w:hint="default"/>
          <w:lang w:val="en-US" w:eastAsia="zh-CN"/>
        </w:rPr>
      </w:pPr>
      <w:r>
        <w:rPr>
          <w:rFonts w:hint="eastAsia" w:ascii="Arial" w:hAnsi="Arial" w:eastAsia="黑体" w:cstheme="minorBidi"/>
          <w:b/>
          <w:kern w:val="2"/>
          <w:sz w:val="32"/>
          <w:szCs w:val="24"/>
          <w:lang w:val="en-US" w:eastAsia="zh-CN" w:bidi="ar-SA"/>
        </w:rPr>
        <w:t>一、</w:t>
      </w:r>
      <w:r>
        <w:rPr>
          <w:rFonts w:hint="eastAsia"/>
          <w:lang w:val="en-US" w:eastAsia="zh-CN"/>
        </w:rPr>
        <w:t>资格审查系统</w:t>
      </w:r>
    </w:p>
    <w:p>
      <w:pPr>
        <w:pageBreakBefore w:val="0"/>
        <w:widowControl w:val="0"/>
        <w:pBdr>
          <w:bottom w:val="none" w:color="auto" w:sz="0" w:space="0"/>
        </w:pBdr>
        <w:kinsoku/>
        <w:wordWrap/>
        <w:overflowPunct/>
        <w:topLinePunct w:val="0"/>
        <w:autoSpaceDE/>
        <w:autoSpaceDN/>
        <w:bidi w:val="0"/>
        <w:adjustRightInd/>
        <w:snapToGrid w:val="0"/>
        <w:spacing w:line="560" w:lineRule="exact"/>
        <w:ind w:leftChars="0" w:firstLine="640" w:firstLineChars="200"/>
        <w:jc w:val="both"/>
        <w:textAlignment w:val="auto"/>
        <w:rPr>
          <w:rFonts w:hint="default"/>
          <w:lang w:val="en-US" w:eastAsia="zh-CN"/>
        </w:rPr>
      </w:pPr>
      <w:r>
        <w:rPr>
          <w:rFonts w:ascii="仿宋_GB2312" w:hAnsi="仿宋_GB2312" w:eastAsia="仿宋_GB2312" w:cs="仿宋_GB2312"/>
          <w:i w:val="0"/>
          <w:strike w:val="0"/>
          <w:color w:val="000000"/>
          <w:spacing w:val="0"/>
          <w:w w:val="100"/>
          <w:sz w:val="32"/>
          <w:u w:val="none"/>
        </w:rPr>
        <w:t>资格审查是确保赛事公平、公正的首道关口，旨在依据竞赛章程，对所有申报项目的参赛资格、材料规范性进行审核，从源头上</w:t>
      </w:r>
      <w:r>
        <w:rPr>
          <w:rFonts w:hint="eastAsia" w:ascii="仿宋_GB2312" w:hAnsi="仿宋_GB2312" w:eastAsia="仿宋_GB2312" w:cs="仿宋_GB2312"/>
          <w:i w:val="0"/>
          <w:strike w:val="0"/>
          <w:color w:val="000000"/>
          <w:spacing w:val="0"/>
          <w:w w:val="100"/>
          <w:sz w:val="32"/>
          <w:u w:val="none"/>
        </w:rPr>
        <w:t>保证</w:t>
      </w:r>
      <w:r>
        <w:rPr>
          <w:rFonts w:ascii="仿宋_GB2312" w:hAnsi="仿宋_GB2312" w:eastAsia="仿宋_GB2312" w:cs="仿宋_GB2312"/>
          <w:i w:val="0"/>
          <w:strike w:val="0"/>
          <w:color w:val="000000"/>
          <w:spacing w:val="0"/>
          <w:w w:val="100"/>
          <w:sz w:val="32"/>
          <w:u w:val="none"/>
        </w:rPr>
        <w:t>参赛项目质量</w:t>
      </w:r>
      <w:r>
        <w:rPr>
          <w:rFonts w:hint="eastAsia" w:ascii="仿宋_GB2312" w:hAnsi="仿宋_GB2312" w:eastAsia="仿宋_GB2312" w:cs="仿宋_GB2312"/>
          <w:i w:val="0"/>
          <w:strike w:val="0"/>
          <w:color w:val="000000"/>
          <w:spacing w:val="0"/>
          <w:w w:val="100"/>
          <w:sz w:val="32"/>
          <w:u w:val="none"/>
        </w:rPr>
        <w:t>，保障竞赛制度的严谨科学性</w:t>
      </w:r>
      <w:r>
        <w:rPr>
          <w:rFonts w:ascii="仿宋_GB2312" w:hAnsi="仿宋_GB2312" w:eastAsia="仿宋_GB2312" w:cs="仿宋_GB2312"/>
          <w:i w:val="0"/>
          <w:strike w:val="0"/>
          <w:color w:val="000000"/>
          <w:spacing w:val="0"/>
          <w:w w:val="100"/>
          <w:sz w:val="32"/>
          <w:u w:val="none"/>
        </w:rPr>
        <w:t>。其严肃性和严密性直接关系到竞赛的声誉。</w:t>
      </w:r>
    </w:p>
    <w:p>
      <w:pPr>
        <w:pStyle w:val="4"/>
        <w:pageBreakBefore w:val="0"/>
        <w:widowControl w:val="0"/>
        <w:numPr>
          <w:ilvl w:val="1"/>
          <w:numId w:val="1"/>
        </w:numPr>
        <w:kinsoku/>
        <w:wordWrap/>
        <w:overflowPunct/>
        <w:topLinePunct w:val="0"/>
        <w:autoSpaceDE/>
        <w:autoSpaceDN/>
        <w:bidi w:val="0"/>
        <w:adjustRightInd/>
        <w:snapToGrid w:val="0"/>
        <w:spacing w:before="0" w:beforeLines="0" w:after="0" w:afterLines="0" w:line="560" w:lineRule="exact"/>
        <w:ind w:firstLine="643" w:firstLineChars="200"/>
        <w:textAlignment w:val="auto"/>
        <w:rPr>
          <w:rFonts w:hint="eastAsia"/>
          <w:b/>
          <w:lang w:val="en-US" w:eastAsia="zh-CN"/>
        </w:rPr>
      </w:pPr>
      <w:r>
        <w:rPr>
          <w:rFonts w:hint="eastAsia"/>
          <w:b/>
          <w:lang w:val="en-US" w:eastAsia="zh-CN"/>
        </w:rPr>
        <w:t>智能查重系统</w:t>
      </w:r>
    </w:p>
    <w:p>
      <w:pPr>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i w:val="0"/>
          <w:strike w:val="0"/>
          <w:color w:val="000000"/>
          <w:spacing w:val="0"/>
          <w:w w:val="100"/>
          <w:kern w:val="2"/>
          <w:sz w:val="32"/>
          <w:szCs w:val="24"/>
          <w:u w:val="none"/>
          <w:lang w:val="en-US" w:eastAsia="zh-CN" w:bidi="ar-SA"/>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查重之前，需要</w:t>
      </w:r>
      <w:r>
        <w:rPr>
          <w:rFonts w:hint="default" w:ascii="仿宋_GB2312" w:hAnsi="仿宋_GB2312" w:eastAsia="仿宋_GB2312" w:cs="仿宋_GB2312"/>
          <w:b w:val="0"/>
          <w:i w:val="0"/>
          <w:strike w:val="0"/>
          <w:color w:val="000000"/>
          <w:spacing w:val="0"/>
          <w:w w:val="100"/>
          <w:kern w:val="2"/>
          <w:sz w:val="32"/>
          <w:szCs w:val="24"/>
          <w:u w:val="none"/>
          <w:lang w:val="en-US" w:eastAsia="zh-CN" w:bidi="ar-SA"/>
        </w:rPr>
        <w:t>构建</w:t>
      </w: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包含</w:t>
      </w:r>
      <w:r>
        <w:rPr>
          <w:rFonts w:hint="default" w:ascii="仿宋_GB2312" w:hAnsi="仿宋_GB2312" w:eastAsia="仿宋_GB2312" w:cs="仿宋_GB2312"/>
          <w:b w:val="0"/>
          <w:i w:val="0"/>
          <w:strike w:val="0"/>
          <w:color w:val="000000"/>
          <w:spacing w:val="0"/>
          <w:w w:val="100"/>
          <w:kern w:val="2"/>
          <w:sz w:val="32"/>
          <w:szCs w:val="24"/>
          <w:u w:val="none"/>
          <w:lang w:val="en-US" w:eastAsia="zh-CN" w:bidi="ar-SA"/>
        </w:rPr>
        <w:t>往届“三大赛”获奖项目、参赛全体人员毕业论文、学术论文等多维度</w:t>
      </w: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信息的</w:t>
      </w:r>
      <w:r>
        <w:rPr>
          <w:rFonts w:hint="default" w:ascii="仿宋_GB2312" w:hAnsi="仿宋_GB2312" w:eastAsia="仿宋_GB2312" w:cs="仿宋_GB2312"/>
          <w:b w:val="0"/>
          <w:i w:val="0"/>
          <w:strike w:val="0"/>
          <w:color w:val="000000"/>
          <w:spacing w:val="0"/>
          <w:w w:val="100"/>
          <w:kern w:val="2"/>
          <w:sz w:val="32"/>
          <w:szCs w:val="24"/>
          <w:u w:val="none"/>
          <w:lang w:val="en-US" w:eastAsia="zh-CN" w:bidi="ar-SA"/>
        </w:rPr>
        <w:t>数据库，</w:t>
      </w: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为查重工作开展奠定坚实基础。</w:t>
      </w:r>
    </w:p>
    <w:p>
      <w:pPr>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b w:val="0"/>
          <w:i w:val="0"/>
          <w:strike w:val="0"/>
          <w:color w:val="000000"/>
          <w:spacing w:val="0"/>
          <w:w w:val="100"/>
          <w:kern w:val="2"/>
          <w:sz w:val="32"/>
          <w:szCs w:val="24"/>
          <w:u w:val="none"/>
          <w:lang w:val="en-US" w:eastAsia="zh-CN" w:bidi="ar-SA"/>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有了数据库之后，将各参赛团队提交的参赛文件与数据库信息进行撞库查重。</w:t>
      </w:r>
      <w:r>
        <w:rPr>
          <w:rFonts w:hint="default" w:ascii="仿宋_GB2312" w:hAnsi="仿宋_GB2312" w:eastAsia="仿宋_GB2312" w:cs="仿宋_GB2312"/>
          <w:b w:val="0"/>
          <w:i w:val="0"/>
          <w:strike w:val="0"/>
          <w:color w:val="000000"/>
          <w:spacing w:val="0"/>
          <w:w w:val="100"/>
          <w:kern w:val="2"/>
          <w:sz w:val="32"/>
          <w:szCs w:val="24"/>
          <w:u w:val="none"/>
          <w:lang w:val="en-US" w:eastAsia="zh-CN" w:bidi="ar-SA"/>
        </w:rPr>
        <w:t>对项目名称进行精确匹配，对项目简介等内容进行模糊匹配，设置60%—80%（具体根据实际情况决定） 相似度阈值，高风险项目纳入人工重点复核，排查重复申报与抄袭问题。</w:t>
      </w:r>
    </w:p>
    <w:p>
      <w:pPr>
        <w:pStyle w:val="4"/>
        <w:pageBreakBefore w:val="0"/>
        <w:widowControl w:val="0"/>
        <w:numPr>
          <w:ilvl w:val="1"/>
          <w:numId w:val="1"/>
        </w:numPr>
        <w:kinsoku/>
        <w:wordWrap/>
        <w:overflowPunct/>
        <w:topLinePunct w:val="0"/>
        <w:autoSpaceDE/>
        <w:autoSpaceDN/>
        <w:bidi w:val="0"/>
        <w:adjustRightInd/>
        <w:snapToGrid w:val="0"/>
        <w:spacing w:before="0" w:beforeLines="0" w:after="0" w:afterLines="0" w:line="560" w:lineRule="exact"/>
        <w:ind w:firstLine="643" w:firstLineChars="200"/>
        <w:textAlignment w:val="auto"/>
        <w:rPr>
          <w:rFonts w:hint="default"/>
          <w:lang w:val="en-US" w:eastAsia="zh-CN"/>
        </w:rPr>
      </w:pPr>
      <w:r>
        <w:rPr>
          <w:rFonts w:hint="eastAsia"/>
          <w:lang w:val="en-US" w:eastAsia="zh-CN"/>
        </w:rPr>
        <w:t>关键信息识别系统</w:t>
      </w:r>
    </w:p>
    <w:p>
      <w:pPr>
        <w:pageBreakBefore w:val="0"/>
        <w:widowControl w:val="0"/>
        <w:kinsoku/>
        <w:wordWrap/>
        <w:overflowPunct/>
        <w:topLinePunct w:val="0"/>
        <w:autoSpaceDE/>
        <w:autoSpaceDN/>
        <w:bidi w:val="0"/>
        <w:adjustRightInd/>
        <w:snapToGrid w:val="0"/>
        <w:spacing w:line="560" w:lineRule="exact"/>
        <w:ind w:leftChars="0" w:firstLine="640" w:firstLineChars="200"/>
        <w:jc w:val="both"/>
        <w:textAlignment w:val="auto"/>
        <w:rPr>
          <w:rFonts w:hint="eastAsia" w:ascii="仿宋_GB2312" w:hAnsi="仿宋_GB2312" w:eastAsia="仿宋_GB2312" w:cs="仿宋_GB2312"/>
          <w:b w:val="0"/>
          <w:i w:val="0"/>
          <w:strike w:val="0"/>
          <w:color w:val="000000"/>
          <w:spacing w:val="0"/>
          <w:w w:val="100"/>
          <w:kern w:val="2"/>
          <w:sz w:val="32"/>
          <w:szCs w:val="24"/>
          <w:u w:val="none"/>
          <w:lang w:val="en-US" w:eastAsia="zh-CN" w:bidi="ar-SA"/>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信息校验AI Agent模块：自动检测申报书、PPT、视频等材料是否齐全；其格式、大小、页数/时长是否合规，无乱码；核对项目名称、团队信息在各材料中表述一致。若有问题生成整改提示。对视频进行关键帧抽取与文字识别，辅助排查隐藏违规信息。</w:t>
      </w:r>
    </w:p>
    <w:p>
      <w:pPr>
        <w:pageBreakBefore w:val="0"/>
        <w:widowControl w:val="0"/>
        <w:kinsoku/>
        <w:wordWrap/>
        <w:overflowPunct/>
        <w:topLinePunct w:val="0"/>
        <w:autoSpaceDE/>
        <w:autoSpaceDN/>
        <w:bidi w:val="0"/>
        <w:adjustRightInd/>
        <w:snapToGrid w:val="0"/>
        <w:spacing w:line="560" w:lineRule="exact"/>
        <w:ind w:leftChars="0" w:firstLine="640" w:firstLineChars="200"/>
        <w:jc w:val="both"/>
        <w:textAlignment w:val="auto"/>
        <w:rPr>
          <w:rFonts w:hint="eastAsia" w:ascii="仿宋_GB2312" w:hAnsi="仿宋_GB2312" w:eastAsia="仿宋_GB2312" w:cs="仿宋_GB2312"/>
          <w:b w:val="0"/>
          <w:i w:val="0"/>
          <w:strike w:val="0"/>
          <w:color w:val="000000"/>
          <w:spacing w:val="0"/>
          <w:w w:val="100"/>
          <w:kern w:val="2"/>
          <w:sz w:val="32"/>
          <w:szCs w:val="24"/>
          <w:u w:val="none"/>
          <w:lang w:val="en-US" w:eastAsia="zh-CN" w:bidi="ar-SA"/>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敏感信息识别AI Agent模块：全面排查文字材料，自动识别材料中校名、人名等敏感信息，与材料提交人员信息进行比对，标记疑似违规内容，实时优化模型提升准确率。严禁出现姓名、校名及简称等明确指向信息；检查图片、视频，不得出现校徽等明确指向性标志；支撑材料需隐去个人与单位信息，推荐信除外；团队协作材料不得泄露成员信息。</w:t>
      </w:r>
    </w:p>
    <w:p>
      <w:pPr>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i w:val="0"/>
          <w:strike w:val="0"/>
          <w:color w:val="000000"/>
          <w:spacing w:val="0"/>
          <w:w w:val="100"/>
          <w:kern w:val="2"/>
          <w:sz w:val="32"/>
          <w:szCs w:val="24"/>
          <w:u w:val="none"/>
          <w:lang w:val="en-US" w:eastAsia="zh-CN" w:bidi="ar-SA"/>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参赛人员信息检验AI Agent:负责人学历年级是否符合参赛要求，团队博士成员占比是否超 30%；核查项目是否获往届同类赛事奖项，杜绝重复申报；确认成员均为在校大学生，无校外违规参与，指导教师资质与人数符合规定，推荐人职称是否规范。</w:t>
      </w:r>
    </w:p>
    <w:p>
      <w:pPr>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b w:val="0"/>
          <w:i w:val="0"/>
          <w:strike w:val="0"/>
          <w:color w:val="000000"/>
          <w:spacing w:val="0"/>
          <w:w w:val="100"/>
          <w:kern w:val="2"/>
          <w:sz w:val="32"/>
          <w:szCs w:val="24"/>
          <w:u w:val="none"/>
          <w:lang w:val="en-US" w:eastAsia="zh-CN" w:bidi="ar-SA"/>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公示检测（针对有需要的项目）模块：审查公示截图发布于学校官网或团委官网（含微信公众号），需含校名、校徽等官方标识；公示信息需包含项目名称、参赛学生、指导教师等关键内容，与申报信息一致，细微调整不影响资格。</w:t>
      </w:r>
    </w:p>
    <w:p>
      <w:pPr>
        <w:pStyle w:val="4"/>
        <w:pageBreakBefore w:val="0"/>
        <w:widowControl w:val="0"/>
        <w:numPr>
          <w:ilvl w:val="1"/>
          <w:numId w:val="1"/>
        </w:numPr>
        <w:kinsoku/>
        <w:wordWrap/>
        <w:overflowPunct/>
        <w:topLinePunct w:val="0"/>
        <w:autoSpaceDE/>
        <w:autoSpaceDN/>
        <w:bidi w:val="0"/>
        <w:adjustRightInd/>
        <w:snapToGrid w:val="0"/>
        <w:spacing w:before="0" w:beforeLines="0" w:after="0" w:afterLines="0" w:line="560" w:lineRule="exact"/>
        <w:ind w:firstLine="643" w:firstLineChars="200"/>
        <w:textAlignment w:val="auto"/>
        <w:rPr>
          <w:rFonts w:hint="default"/>
          <w:b/>
          <w:lang w:val="en-US" w:eastAsia="zh-CN"/>
        </w:rPr>
      </w:pPr>
      <w:r>
        <w:rPr>
          <w:rFonts w:hint="eastAsia"/>
          <w:b/>
          <w:lang w:val="en-US" w:eastAsia="zh-CN"/>
        </w:rPr>
        <w:t>效能提升系统</w:t>
      </w:r>
    </w:p>
    <w:p>
      <w:pPr>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i w:val="0"/>
          <w:strike w:val="0"/>
          <w:color w:val="000000"/>
          <w:spacing w:val="0"/>
          <w:w w:val="100"/>
          <w:kern w:val="2"/>
          <w:sz w:val="32"/>
          <w:szCs w:val="24"/>
          <w:u w:val="none"/>
          <w:lang w:val="en-US" w:eastAsia="zh-CN" w:bidi="ar-SA"/>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问题研判 AI Agent模块：内置竞赛章程、审查标准知识库以及资格审查过程中审核发现的问题及解决方案（提供实时更新数据库入口），审核员可输入疑难问题关键词获取研判建议，提升人工审核精准度。</w:t>
      </w:r>
    </w:p>
    <w:p>
      <w:pPr>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lang w:val="en-US" w:eastAsia="zh-CN"/>
        </w:rPr>
      </w:pPr>
      <w:r>
        <w:rPr>
          <w:rFonts w:hint="eastAsia" w:ascii="仿宋_GB2312" w:hAnsi="仿宋_GB2312" w:eastAsia="仿宋_GB2312" w:cs="仿宋_GB2312"/>
          <w:b w:val="0"/>
          <w:i w:val="0"/>
          <w:strike w:val="0"/>
          <w:color w:val="000000"/>
          <w:spacing w:val="0"/>
          <w:w w:val="100"/>
          <w:kern w:val="2"/>
          <w:sz w:val="32"/>
          <w:szCs w:val="24"/>
          <w:u w:val="none"/>
          <w:lang w:val="en-US" w:eastAsia="zh-CN" w:bidi="ar-SA"/>
        </w:rPr>
        <w:t>问题收集AI Agent模块：每个资格审查工作人员有一个独立的账号密码，组长通过模块系统将每个工作人员需要完成的审核任务分配到个人系统中。工作人员登陆系统开始工作，并实时记录工作中发现的问题（包括：材料页码/视频秒数+具体问题）</w:t>
      </w:r>
    </w:p>
    <w:p>
      <w:pPr>
        <w:pStyle w:val="3"/>
        <w:pageBreakBefore w:val="0"/>
        <w:widowControl w:val="0"/>
        <w:numPr>
          <w:ilvl w:val="0"/>
          <w:numId w:val="0"/>
        </w:numPr>
        <w:kinsoku/>
        <w:wordWrap/>
        <w:overflowPunct/>
        <w:topLinePunct w:val="0"/>
        <w:autoSpaceDE/>
        <w:autoSpaceDN/>
        <w:bidi w:val="0"/>
        <w:adjustRightInd/>
        <w:snapToGrid w:val="0"/>
        <w:spacing w:before="0" w:beforeLines="0" w:after="0" w:afterLines="0" w:line="560" w:lineRule="exact"/>
        <w:ind w:firstLine="643" w:firstLineChars="200"/>
        <w:textAlignment w:val="auto"/>
        <w:rPr>
          <w:rFonts w:hint="default"/>
          <w:b/>
          <w:lang w:val="en-US" w:eastAsia="zh-CN"/>
        </w:rPr>
      </w:pPr>
      <w:r>
        <w:rPr>
          <w:rFonts w:hint="eastAsia" w:ascii="Arial" w:hAnsi="Arial" w:eastAsia="黑体" w:cstheme="minorBidi"/>
          <w:b/>
          <w:kern w:val="2"/>
          <w:sz w:val="32"/>
          <w:szCs w:val="24"/>
          <w:lang w:val="en-US" w:eastAsia="zh-CN" w:bidi="ar-SA"/>
        </w:rPr>
        <w:t>二、</w:t>
      </w:r>
      <w:r>
        <w:rPr>
          <w:rFonts w:hint="eastAsia"/>
          <w:b/>
          <w:lang w:val="en-US" w:eastAsia="zh-CN"/>
        </w:rPr>
        <w:t>赛事保障系统</w:t>
      </w:r>
    </w:p>
    <w:p>
      <w:pPr>
        <w:pStyle w:val="4"/>
        <w:pageBreakBefore w:val="0"/>
        <w:widowControl w:val="0"/>
        <w:numPr>
          <w:ilvl w:val="0"/>
          <w:numId w:val="0"/>
        </w:numPr>
        <w:kinsoku/>
        <w:wordWrap/>
        <w:overflowPunct/>
        <w:topLinePunct w:val="0"/>
        <w:autoSpaceDE/>
        <w:autoSpaceDN/>
        <w:bidi w:val="0"/>
        <w:adjustRightInd/>
        <w:snapToGrid w:val="0"/>
        <w:spacing w:before="0" w:beforeLines="0" w:after="0" w:afterLines="0" w:line="560" w:lineRule="exact"/>
        <w:ind w:leftChars="0" w:firstLine="643" w:firstLineChars="200"/>
        <w:textAlignment w:val="auto"/>
        <w:rPr>
          <w:rFonts w:hint="eastAsia"/>
          <w:b/>
          <w:lang w:val="en-US" w:eastAsia="zh-CN"/>
        </w:rPr>
      </w:pPr>
      <w:r>
        <w:rPr>
          <w:rFonts w:hint="eastAsia"/>
          <w:b/>
          <w:lang w:val="en-US" w:eastAsia="zh-CN"/>
        </w:rPr>
        <w:t>2.1 现场导览系统</w:t>
      </w:r>
    </w:p>
    <w:p>
      <w:pPr>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为充分保障参赛人员以及其他各类来校人员的入校观赛体验，制作包括北邮地图导览、实时赛事进度查询、志愿服务点查询等功能，充分保障来校人员观赛体验，体现北邮数智底蕴，（可接入在北京邮电大学或北邮青年等官微，提升官微关注度。）</w:t>
      </w:r>
    </w:p>
    <w:p>
      <w:pPr>
        <w:pStyle w:val="4"/>
        <w:pageBreakBefore w:val="0"/>
        <w:widowControl w:val="0"/>
        <w:numPr>
          <w:ilvl w:val="0"/>
          <w:numId w:val="0"/>
        </w:numPr>
        <w:kinsoku/>
        <w:wordWrap/>
        <w:overflowPunct/>
        <w:topLinePunct w:val="0"/>
        <w:autoSpaceDE/>
        <w:autoSpaceDN/>
        <w:bidi w:val="0"/>
        <w:adjustRightInd/>
        <w:snapToGrid w:val="0"/>
        <w:spacing w:before="0" w:beforeLines="0" w:after="0" w:afterLines="0" w:line="560" w:lineRule="exact"/>
        <w:ind w:leftChars="0" w:firstLine="643" w:firstLineChars="200"/>
        <w:textAlignment w:val="auto"/>
        <w:rPr>
          <w:rFonts w:hint="eastAsia"/>
          <w:b/>
          <w:lang w:val="en-US" w:eastAsia="zh-CN"/>
        </w:rPr>
      </w:pPr>
      <w:r>
        <w:rPr>
          <w:rFonts w:hint="eastAsia"/>
          <w:b/>
          <w:lang w:val="en-US" w:eastAsia="zh-CN"/>
        </w:rPr>
        <w:t>2.2 比赛系统</w:t>
      </w:r>
    </w:p>
    <w:p>
      <w:pPr>
        <w:pageBreakBefore w:val="0"/>
        <w:widowControl w:val="0"/>
        <w:pBdr>
          <w:bottom w:val="none" w:color="auto" w:sz="0" w:space="0"/>
        </w:pBdr>
        <w:kinsoku/>
        <w:wordWrap/>
        <w:overflowPunct/>
        <w:topLinePunct w:val="0"/>
        <w:autoSpaceDE/>
        <w:autoSpaceDN/>
        <w:bidi w:val="0"/>
        <w:adjustRightInd/>
        <w:snapToGrid w:val="0"/>
        <w:spacing w:line="560" w:lineRule="exact"/>
        <w:ind w:leftChars="0" w:firstLine="640" w:firstLineChars="200"/>
        <w:jc w:val="both"/>
        <w:textAlignment w:val="auto"/>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val="0"/>
          <w:bCs/>
          <w:sz w:val="32"/>
          <w:szCs w:val="32"/>
          <w:lang w:val="en-US" w:eastAsia="zh-CN"/>
        </w:rPr>
        <w:t>为保障比赛顺利开展，可搭建一个服务于比赛过程，面向选手以及评委的参赛顺序以及打分系统。系统从参赛队伍抽签开始，按照队伍抽签结果以及大赛整体安排，自动匹配生成每个团队答辩时间、地点以及参赛动线（进场动线-候场动线-答辩动线-旁观室信息-结束动线），可供参赛者登陆系统了解。同时可将打分系统置入其中，由评委老师使用ipad在系统实时打分（实名），自动计算分数，最终生成比赛结果，结果仅委员会账号可看。</w:t>
      </w:r>
    </w:p>
    <w:p>
      <w:pPr>
        <w:pStyle w:val="3"/>
        <w:pageBreakBefore w:val="0"/>
        <w:widowControl w:val="0"/>
        <w:numPr>
          <w:ilvl w:val="0"/>
          <w:numId w:val="0"/>
        </w:numPr>
        <w:kinsoku/>
        <w:wordWrap/>
        <w:overflowPunct/>
        <w:topLinePunct w:val="0"/>
        <w:autoSpaceDE/>
        <w:autoSpaceDN/>
        <w:bidi w:val="0"/>
        <w:adjustRightInd/>
        <w:snapToGrid w:val="0"/>
        <w:spacing w:before="0" w:beforeLines="0" w:after="0" w:afterLines="0" w:line="560" w:lineRule="exact"/>
        <w:ind w:firstLine="643" w:firstLineChars="200"/>
        <w:textAlignment w:val="auto"/>
        <w:rPr>
          <w:rFonts w:hint="default"/>
          <w:b/>
          <w:lang w:val="en-US" w:eastAsia="zh-CN"/>
        </w:rPr>
      </w:pPr>
      <w:r>
        <w:rPr>
          <w:rFonts w:hint="eastAsia" w:cstheme="minorBidi"/>
          <w:b/>
          <w:kern w:val="2"/>
          <w:sz w:val="32"/>
          <w:szCs w:val="24"/>
          <w:lang w:val="en-US" w:eastAsia="zh-CN" w:bidi="ar-SA"/>
        </w:rPr>
        <w:t>三</w:t>
      </w:r>
      <w:r>
        <w:rPr>
          <w:rFonts w:hint="eastAsia" w:ascii="Arial" w:hAnsi="Arial" w:eastAsia="黑体" w:cstheme="minorBidi"/>
          <w:b/>
          <w:kern w:val="2"/>
          <w:sz w:val="32"/>
          <w:szCs w:val="24"/>
          <w:lang w:val="en-US" w:eastAsia="zh-CN" w:bidi="ar-SA"/>
        </w:rPr>
        <w:t>、</w:t>
      </w:r>
      <w:r>
        <w:rPr>
          <w:rFonts w:hint="eastAsia"/>
          <w:b/>
          <w:lang w:val="en-US" w:eastAsia="zh-CN"/>
        </w:rPr>
        <w:t>材料保存系统</w:t>
      </w:r>
    </w:p>
    <w:p>
      <w:pPr>
        <w:pageBreakBefore w:val="0"/>
        <w:widowControl w:val="0"/>
        <w:pBdr>
          <w:bottom w:val="none" w:color="auto" w:sz="0" w:space="0"/>
        </w:pBdr>
        <w:kinsoku/>
        <w:wordWrap/>
        <w:overflowPunct/>
        <w:topLinePunct w:val="0"/>
        <w:autoSpaceDE/>
        <w:autoSpaceDN/>
        <w:bidi w:val="0"/>
        <w:adjustRightInd/>
        <w:snapToGrid w:val="0"/>
        <w:spacing w:line="560" w:lineRule="exact"/>
        <w:ind w:leftChars="0" w:firstLine="640" w:firstLineChars="200"/>
        <w:jc w:val="both"/>
        <w:textAlignment w:val="auto"/>
        <w:rPr>
          <w:rFonts w:hint="default" w:ascii="仿宋_GB2312" w:hAnsi="仿宋_GB2312" w:eastAsia="仿宋_GB2312" w:cs="仿宋_GB2312"/>
          <w:b w:val="0"/>
          <w:bCs/>
          <w:sz w:val="32"/>
          <w:szCs w:val="32"/>
          <w:lang w:val="en-US" w:eastAsia="zh-CN"/>
        </w:rPr>
      </w:pPr>
      <w:bookmarkStart w:id="0" w:name="_GoBack"/>
      <w:bookmarkEnd w:id="0"/>
      <w:r>
        <w:rPr>
          <w:rFonts w:hint="eastAsia" w:ascii="仿宋_GB2312" w:hAnsi="仿宋_GB2312" w:eastAsia="仿宋_GB2312" w:cs="仿宋_GB2312"/>
          <w:b w:val="0"/>
          <w:bCs/>
          <w:sz w:val="32"/>
          <w:szCs w:val="32"/>
          <w:lang w:val="en-US" w:eastAsia="zh-CN"/>
        </w:rPr>
        <w:t>为充分保障大赛信息安全，做好参赛作品的备份与保存，保障赛事成功举办，需要开发一个赛事数据信息备份系统。该系统需贯穿参赛数据收集、资格审核阶段以及比赛答辩阶段（实时录像、评分等），实时备份相关信息材料，保障大赛信息安全。（类似于大容量云盘或储存器，如果可以有线上系统可一键同步就更便捷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66223E"/>
    <w:multiLevelType w:val="multilevel"/>
    <w:tmpl w:val="D366223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2C9018C"/>
    <w:rsid w:val="26344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2026-02-05T03:15:00Z</dcterms:created>
  <dc:creator>西土城甜水面</dc:creator>
  <cp:lastModifiedBy>吴非</cp:lastModifiedBy>
  <dcterms:modified xsi:type="dcterms:W3CDTF">2026-02-09T03:24:29Z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KSOTemplateDocerSaveRecord">
    <vt:lpwstr>eyJoZGlkIjoiMzEwNTM5NzYwMDRjMzkwZTVkZjY2ODkwMGIxNGU0OTUiLCJ1c2VySWQiOiI1NzY0MTc1NzAifQ==</vt:lpwstr>
  </property>
  <property fmtid="{D5CDD505-2E9C-101B-9397-08002B2CF9AE}" pid="4" name="ICV">
    <vt:lpwstr>A2EAF16BD97046CFB9E1BD079BBBDA5B_12</vt:lpwstr>
  </property>
</Properties>
</file>