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A1CB4">
      <w:pPr>
        <w:jc w:val="center"/>
      </w:pPr>
      <w:r>
        <w:rPr>
          <w:rFonts w:ascii="微软雅黑" w:hAnsi="微软雅黑" w:eastAsia="微软雅黑"/>
          <w:b/>
          <w:sz w:val="44"/>
        </w:rPr>
        <w:t>《栖霞诡事》Demo UI 美术需求</w:t>
      </w:r>
    </w:p>
    <w:p w14:paraId="1CBBF7C2"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对接文档 · 供 UI 美术认领</w:t>
      </w:r>
      <w:r>
        <w:rPr>
          <w:rFonts w:ascii="微软雅黑" w:hAnsi="微软雅黑" w:eastAsia="微软雅黑"/>
          <w:b w:val="0"/>
          <w:color w:val="666666"/>
          <w:sz w:val="20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0"/>
        </w:rPr>
        <w:t>更新日期：2026-09-23 · 引擎 Godot 4.7 · 视口 1280×720</w:t>
      </w:r>
      <w:bookmarkStart w:id="0" w:name="_GoBack"/>
      <w:bookmarkEnd w:id="0"/>
    </w:p>
    <w:p w14:paraId="5B6C74F0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摘自《美术需求清单_Demo灰盒对接》§7，单独成册便于 UI 老师对接。风格依据《栖霞诡事美术与音频设计方案 v1.1》（墨染配方）。</w:t>
      </w:r>
    </w:p>
    <w:p w14:paraId="5814D760">
      <w:pPr>
        <w:pStyle w:val="3"/>
      </w:pPr>
      <w:r>
        <w:rPr>
          <w:rFonts w:ascii="微软雅黑" w:hAnsi="微软雅黑" w:eastAsia="微软雅黑"/>
          <w:b/>
          <w:sz w:val="36"/>
        </w:rPr>
        <w:t>1. 范围说明</w:t>
      </w:r>
    </w:p>
    <w:p w14:paraId="67FCEBB6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Demo 少机制、几乎无菜单。UI 老师不做复杂 HUD / 背包 / San 条。</w:t>
      </w:r>
    </w:p>
    <w:p w14:paraId="44108593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与「物件」若为同一人：先 UI 框，再线索特写；若分开：UI 只做框与提示，特写归物件。</w:t>
      </w:r>
    </w:p>
    <w:p w14:paraId="1A9C0B21">
      <w:pPr>
        <w:pStyle w:val="3"/>
      </w:pPr>
      <w:r>
        <w:rPr>
          <w:rFonts w:ascii="微软雅黑" w:hAnsi="微软雅黑" w:eastAsia="微软雅黑"/>
          <w:b/>
          <w:sz w:val="36"/>
        </w:rPr>
        <w:t>2. 边界（谁画什么）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B81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0F3A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归 UI</w:t>
            </w:r>
          </w:p>
        </w:tc>
        <w:tc>
          <w:tcPr>
            <w:tcW w:w="4320" w:type="dxa"/>
          </w:tcPr>
          <w:p w14:paraId="15D026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不归 UI（别的线）</w:t>
            </w:r>
          </w:p>
        </w:tc>
      </w:tr>
      <w:tr w14:paraId="4327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6A0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对白框、调查提示、进度条、结尾页、字体/色板</w:t>
            </w:r>
          </w:p>
        </w:tc>
        <w:tc>
          <w:tcPr>
            <w:tcW w:w="4320" w:type="dxa"/>
          </w:tcPr>
          <w:p w14:paraId="13963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场景底图、角色立绘/动画</w:t>
            </w:r>
          </w:p>
        </w:tc>
      </w:tr>
      <w:tr w14:paraId="7AF15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5B5E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线索特写框版式（日记弹出层）</w:t>
            </w:r>
          </w:p>
        </w:tc>
        <w:tc>
          <w:tcPr>
            <w:tcW w:w="4320" w:type="dxa"/>
          </w:tcPr>
          <w:p w14:paraId="0AA6B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合棺/法阵大场景（场景线）</w:t>
            </w:r>
          </w:p>
        </w:tc>
      </w:tr>
      <w:tr w14:paraId="2242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F9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九宫/可拉伸面板、图标小件</w:t>
            </w:r>
          </w:p>
        </w:tc>
        <w:tc>
          <w:tcPr>
            <w:tcW w:w="4320" w:type="dxa"/>
          </w:tcPr>
          <w:p w14:paraId="626F2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花旦鬼主视觉（角色线）</w:t>
            </w:r>
          </w:p>
        </w:tc>
      </w:tr>
    </w:tbl>
    <w:p w14:paraId="460B1BE4"/>
    <w:p w14:paraId="0F02DC4E">
      <w:pPr>
        <w:pStyle w:val="3"/>
      </w:pPr>
      <w:r>
        <w:rPr>
          <w:rFonts w:ascii="微软雅黑" w:hAnsi="微软雅黑" w:eastAsia="微软雅黑"/>
          <w:b/>
          <w:sz w:val="36"/>
        </w:rPr>
        <w:t>3. 按优先级</w:t>
      </w:r>
    </w:p>
    <w:p w14:paraId="0584B480">
      <w:pPr>
        <w:pStyle w:val="4"/>
      </w:pPr>
      <w:r>
        <w:rPr>
          <w:rFonts w:ascii="微软雅黑" w:hAnsi="微软雅黑" w:eastAsia="微软雅黑"/>
          <w:b/>
          <w:sz w:val="28"/>
        </w:rPr>
        <w:t xml:space="preserve">3.1 U0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7F7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9495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w="2160" w:type="dxa"/>
          </w:tcPr>
          <w:p w14:paraId="6522BE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资产</w:t>
            </w:r>
          </w:p>
        </w:tc>
        <w:tc>
          <w:tcPr>
            <w:tcW w:w="2160" w:type="dxa"/>
          </w:tcPr>
          <w:p w14:paraId="3706C2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规格建议</w:t>
            </w:r>
          </w:p>
        </w:tc>
        <w:tc>
          <w:tcPr>
            <w:tcW w:w="2160" w:type="dxa"/>
          </w:tcPr>
          <w:p w14:paraId="028364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F3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F49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U-DIALOG</w:t>
            </w:r>
          </w:p>
        </w:tc>
        <w:tc>
          <w:tcPr>
            <w:tcW w:w="2160" w:type="dxa"/>
          </w:tcPr>
          <w:p w14:paraId="4402E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对白框（底部）</w:t>
            </w:r>
          </w:p>
        </w:tc>
        <w:tc>
          <w:tcPr>
            <w:tcW w:w="2160" w:type="dxa"/>
          </w:tcPr>
          <w:p w14:paraId="75D651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宽约 1200、高 140–180；九宫或左右拉伸</w:t>
            </w:r>
          </w:p>
        </w:tc>
        <w:tc>
          <w:tcPr>
            <w:tcW w:w="2160" w:type="dxa"/>
          </w:tcPr>
          <w:p w14:paraId="0369C9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现灰盒：dialogue_box.tscn 底栏；纸质/墨线，低饱和</w:t>
            </w:r>
          </w:p>
        </w:tc>
      </w:tr>
      <w:tr w14:paraId="3A0B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1B1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U-PROMPT</w:t>
            </w:r>
          </w:p>
        </w:tc>
        <w:tc>
          <w:tcPr>
            <w:tcW w:w="2160" w:type="dxa"/>
          </w:tcPr>
          <w:p w14:paraId="1BD89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头上调查提示</w:t>
            </w:r>
          </w:p>
        </w:tc>
        <w:tc>
          <w:tcPr>
            <w:tcW w:w="2160" w:type="dxa"/>
          </w:tcPr>
          <w:p w14:paraId="316DE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「E · 调查名」底板 160×32 左右，透明 PNG</w:t>
            </w:r>
          </w:p>
        </w:tc>
        <w:tc>
          <w:tcPr>
            <w:tcW w:w="2160" w:type="dxa"/>
          </w:tcPr>
          <w:p w14:paraId="232F9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玩家头顶；勿花哨</w:t>
            </w:r>
          </w:p>
        </w:tc>
      </w:tr>
      <w:tr w14:paraId="05CC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2C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U-FONT</w:t>
            </w:r>
          </w:p>
        </w:tc>
        <w:tc>
          <w:tcPr>
            <w:tcW w:w="2160" w:type="dxa"/>
          </w:tcPr>
          <w:p w14:paraId="6632F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正文字体候选</w:t>
            </w:r>
          </w:p>
        </w:tc>
        <w:tc>
          <w:tcPr>
            <w:tcW w:w="2160" w:type="dxa"/>
          </w:tcPr>
          <w:p w14:paraId="7BEAE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1–2 款可商用中文字体 + 字号阶梯</w:t>
            </w:r>
          </w:p>
        </w:tc>
        <w:tc>
          <w:tcPr>
            <w:tcW w:w="2160" w:type="dxa"/>
          </w:tcPr>
          <w:p w14:paraId="0F795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对白 18–22 / 提示 13–14 / 标题 28</w:t>
            </w:r>
          </w:p>
        </w:tc>
      </w:tr>
      <w:tr w14:paraId="7DBA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74D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U-PALETTE</w:t>
            </w:r>
          </w:p>
        </w:tc>
        <w:tc>
          <w:tcPr>
            <w:tcW w:w="2160" w:type="dxa"/>
          </w:tcPr>
          <w:p w14:paraId="4EE64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色板</w:t>
            </w:r>
          </w:p>
        </w:tc>
        <w:tc>
          <w:tcPr>
            <w:tcW w:w="2160" w:type="dxa"/>
          </w:tcPr>
          <w:p w14:paraId="30E78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叠在栖霞六色上的 UI 专用 token</w:t>
            </w:r>
          </w:p>
        </w:tc>
        <w:tc>
          <w:tcPr>
            <w:tcW w:w="2160" w:type="dxa"/>
          </w:tcPr>
          <w:p w14:paraId="1FFA7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文字、描边、面板底、禁用态</w:t>
            </w:r>
          </w:p>
        </w:tc>
      </w:tr>
    </w:tbl>
    <w:p w14:paraId="60DD2334"/>
    <w:p w14:paraId="37778751">
      <w:pPr>
        <w:pStyle w:val="4"/>
      </w:pPr>
      <w:r>
        <w:rPr>
          <w:rFonts w:ascii="微软雅黑" w:hAnsi="微软雅黑" w:eastAsia="微软雅黑"/>
          <w:b/>
          <w:sz w:val="28"/>
        </w:rPr>
        <w:t>3.2 U1 — 跟关卡节拍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05"/>
      </w:tblGrid>
      <w:tr w14:paraId="2AFB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BE83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w="2160" w:type="dxa"/>
          </w:tcPr>
          <w:p w14:paraId="64B2AA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资产</w:t>
            </w:r>
          </w:p>
        </w:tc>
        <w:tc>
          <w:tcPr>
            <w:tcW w:w="2160" w:type="dxa"/>
          </w:tcPr>
          <w:p w14:paraId="5B5B98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出现段落</w:t>
            </w:r>
          </w:p>
        </w:tc>
        <w:tc>
          <w:tcPr>
            <w:tcW w:w="2205" w:type="dxa"/>
          </w:tcPr>
          <w:p w14:paraId="38F662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018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8A9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U-HUD-STATUS</w:t>
            </w:r>
          </w:p>
        </w:tc>
        <w:tc>
          <w:tcPr>
            <w:tcW w:w="2160" w:type="dxa"/>
          </w:tcPr>
          <w:p w14:paraId="04B91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左上目标/状态条</w:t>
            </w:r>
          </w:p>
        </w:tc>
        <w:tc>
          <w:tcPr>
            <w:tcW w:w="2160" w:type="dxa"/>
          </w:tcPr>
          <w:p w14:paraId="38A3B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全关</w:t>
            </w:r>
          </w:p>
        </w:tc>
        <w:tc>
          <w:tcPr>
            <w:tcW w:w="2205" w:type="dxa"/>
          </w:tcPr>
          <w:p w14:paraId="52822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现为纯 Label；可做半透纸笺底板</w:t>
            </w:r>
          </w:p>
        </w:tc>
      </w:tr>
      <w:tr w14:paraId="0C73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6F7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U-HUD-HELP</w:t>
            </w:r>
          </w:p>
        </w:tc>
        <w:tc>
          <w:tcPr>
            <w:tcW w:w="2160" w:type="dxa"/>
          </w:tcPr>
          <w:p w14:paraId="04B8C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底栏键位 hint</w:t>
            </w:r>
          </w:p>
        </w:tc>
        <w:tc>
          <w:tcPr>
            <w:tcW w:w="2160" w:type="dxa"/>
          </w:tcPr>
          <w:p w14:paraId="5478E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全关</w:t>
            </w:r>
          </w:p>
        </w:tc>
        <w:tc>
          <w:tcPr>
            <w:tcW w:w="2205" w:type="dxa"/>
          </w:tcPr>
          <w:p w14:paraId="5C283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「A/D · E · Space」；可与 U-PROMPT 同语言</w:t>
            </w:r>
          </w:p>
        </w:tc>
      </w:tr>
      <w:tr w14:paraId="3034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ED42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U-SEAL-BAR</w:t>
            </w:r>
          </w:p>
        </w:tc>
        <w:tc>
          <w:tcPr>
            <w:tcW w:w="2160" w:type="dxa"/>
          </w:tcPr>
          <w:p w14:paraId="55F14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抹法阵进度条</w:t>
            </w:r>
          </w:p>
        </w:tc>
        <w:tc>
          <w:tcPr>
            <w:tcW w:w="2160" w:type="dxa"/>
          </w:tcPr>
          <w:p w14:paraId="53AC2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1C</w:t>
            </w:r>
          </w:p>
        </w:tc>
        <w:tc>
          <w:tcPr>
            <w:tcW w:w="2205" w:type="dxa"/>
          </w:tcPr>
          <w:p w14:paraId="1FD1D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底槽 + 填充（暗朱红）；约 400×16 可九宫</w:t>
            </w:r>
          </w:p>
        </w:tc>
      </w:tr>
      <w:tr w14:paraId="6CAB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7DD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U-END</w:t>
            </w:r>
          </w:p>
        </w:tc>
        <w:tc>
          <w:tcPr>
            <w:tcW w:w="2160" w:type="dxa"/>
          </w:tcPr>
          <w:p w14:paraId="29765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Demo 通关页</w:t>
            </w:r>
          </w:p>
        </w:tc>
        <w:tc>
          <w:tcPr>
            <w:tcW w:w="2160" w:type="dxa"/>
          </w:tcPr>
          <w:p w14:paraId="6B7B3E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demo_end</w:t>
            </w:r>
          </w:p>
        </w:tc>
        <w:tc>
          <w:tcPr>
            <w:tcW w:w="2205" w:type="dxa"/>
          </w:tcPr>
          <w:p w14:paraId="2BDC8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标题 + 两行操作说明；墨染气质，非商业结算风</w:t>
            </w:r>
          </w:p>
        </w:tc>
      </w:tr>
    </w:tbl>
    <w:p w14:paraId="4816B3BF"/>
    <w:p w14:paraId="2F0B762D">
      <w:pPr>
        <w:pStyle w:val="4"/>
      </w:pPr>
      <w:r>
        <w:rPr>
          <w:rFonts w:ascii="微软雅黑" w:hAnsi="微软雅黑" w:eastAsia="微软雅黑"/>
          <w:b/>
          <w:sz w:val="28"/>
        </w:rPr>
        <w:t>3.3 U2 — 可后置 / 与物件协作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28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ABB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w="2880" w:type="dxa"/>
          </w:tcPr>
          <w:p w14:paraId="3F123F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资产</w:t>
            </w:r>
          </w:p>
        </w:tc>
        <w:tc>
          <w:tcPr>
            <w:tcW w:w="2880" w:type="dxa"/>
          </w:tcPr>
          <w:p w14:paraId="30F7E3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EF4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7AD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U-POPUP-DIARY</w:t>
            </w:r>
          </w:p>
        </w:tc>
        <w:tc>
          <w:tcPr>
            <w:tcW w:w="2880" w:type="dxa"/>
          </w:tcPr>
          <w:p w14:paraId="34929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「你看见了吗？」日记弹出</w:t>
            </w:r>
          </w:p>
        </w:tc>
        <w:tc>
          <w:tcPr>
            <w:tcW w:w="2880" w:type="dxa"/>
          </w:tcPr>
          <w:p w14:paraId="6584D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3E / 4A 回忆；歪斜字迹 + 纸页特写</w:t>
            </w:r>
          </w:p>
        </w:tc>
      </w:tr>
      <w:tr w14:paraId="45F8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ED7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U-POPUP-PHOTO</w:t>
            </w:r>
          </w:p>
        </w:tc>
        <w:tc>
          <w:tcPr>
            <w:tcW w:w="2880" w:type="dxa"/>
          </w:tcPr>
          <w:p w14:paraId="3B0D1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家人照片特写框</w:t>
            </w:r>
          </w:p>
        </w:tc>
        <w:tc>
          <w:tcPr>
            <w:tcW w:w="2880" w:type="dxa"/>
          </w:tcPr>
          <w:p w14:paraId="6841BE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1A</w:t>
            </w:r>
          </w:p>
        </w:tc>
      </w:tr>
      <w:tr w14:paraId="015D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BF0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U-POPUP-FORM</w:t>
            </w:r>
          </w:p>
        </w:tc>
        <w:tc>
          <w:tcPr>
            <w:tcW w:w="2880" w:type="dxa"/>
          </w:tcPr>
          <w:p w14:paraId="79FE4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回国申请表特写</w:t>
            </w:r>
          </w:p>
        </w:tc>
        <w:tc>
          <w:tcPr>
            <w:tcW w:w="2880" w:type="dxa"/>
          </w:tcPr>
          <w:p w14:paraId="4E13E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1A / 2B</w:t>
            </w:r>
          </w:p>
        </w:tc>
      </w:tr>
      <w:tr w14:paraId="3835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F1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U-POPUP-PROPS</w:t>
            </w:r>
          </w:p>
        </w:tc>
        <w:tc>
          <w:tcPr>
            <w:tcW w:w="2880" w:type="dxa"/>
          </w:tcPr>
          <w:p w14:paraId="2E6C8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五物调查特写底板</w:t>
            </w:r>
          </w:p>
        </w:tc>
        <w:tc>
          <w:tcPr>
            <w:tcW w:w="2880" w:type="dxa"/>
          </w:tcPr>
          <w:p w14:paraId="1D1D78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与物件线共用「一张图=线索+UI」模板</w:t>
            </w:r>
          </w:p>
        </w:tc>
      </w:tr>
      <w:tr w14:paraId="1CF9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2D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U-SPEAKER</w:t>
            </w:r>
          </w:p>
        </w:tc>
        <w:tc>
          <w:tcPr>
            <w:tcW w:w="2880" w:type="dxa"/>
          </w:tcPr>
          <w:p w14:paraId="59709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对白说话人标签（可选）</w:t>
            </w:r>
          </w:p>
        </w:tc>
        <w:tc>
          <w:tcPr>
            <w:tcW w:w="2880" w:type="dxa"/>
          </w:tcPr>
          <w:p w14:paraId="4709A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田中/山本/阿福伯；Demo 可先不做</w:t>
            </w:r>
          </w:p>
        </w:tc>
      </w:tr>
      <w:tr w14:paraId="0A8F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684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U-TITLE</w:t>
            </w:r>
          </w:p>
        </w:tc>
        <w:tc>
          <w:tcPr>
            <w:tcW w:w="2880" w:type="dxa"/>
          </w:tcPr>
          <w:p w14:paraId="7CE9F4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标题/暂停菜单</w:t>
            </w:r>
          </w:p>
        </w:tc>
        <w:tc>
          <w:tcPr>
            <w:tcW w:w="2880" w:type="dxa"/>
          </w:tcPr>
          <w:p w14:paraId="206BA7C8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58B0E2CD"/>
    <w:p w14:paraId="3FC56108">
      <w:pPr>
        <w:pStyle w:val="3"/>
      </w:pPr>
      <w:r>
        <w:rPr>
          <w:rFonts w:ascii="微软雅黑" w:hAnsi="微软雅黑" w:eastAsia="微软雅黑"/>
          <w:b/>
          <w:sz w:val="36"/>
        </w:rPr>
        <w:t>4. 交付与对接节奏</w:t>
      </w:r>
    </w:p>
    <w:p w14:paraId="20B256EC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1. Kickoff（30 min）：程序演示 F5 灰盒 → 指出现有 Label/Panel 占位 → UI 认领 U0。</w:t>
      </w:r>
    </w:p>
    <w:p w14:paraId="48ACEF2D">
      <w:pPr>
        <w:spacing w:after="120" w:line="32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2"/>
        </w:rPr>
        <w:t xml:space="preserve">2. </w:t>
      </w:r>
      <w:r>
        <w:rPr>
          <w:rFonts w:hint="eastAsia"/>
          <w:b w:val="0"/>
          <w:i w:val="0"/>
          <w:sz w:val="22"/>
          <w:lang w:val="en-US" w:eastAsia="zh-CN"/>
        </w:rPr>
        <w:t>交付给程序。</w:t>
      </w:r>
    </w:p>
    <w:p w14:paraId="3E6D00A4">
      <w:pPr>
        <w:spacing w:after="120" w:line="32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2"/>
        </w:rPr>
        <w:t>3. 程序接入</w:t>
      </w:r>
      <w:r>
        <w:rPr>
          <w:rFonts w:hint="eastAsia"/>
          <w:b w:val="0"/>
          <w:i w:val="0"/>
          <w:sz w:val="22"/>
          <w:lang w:eastAsia="zh-CN"/>
        </w:rPr>
        <w:t>，</w:t>
      </w:r>
      <w:r>
        <w:rPr>
          <w:rFonts w:hint="eastAsia"/>
          <w:b w:val="0"/>
          <w:i w:val="0"/>
          <w:sz w:val="22"/>
          <w:lang w:val="en-US" w:eastAsia="zh-CN"/>
        </w:rPr>
        <w:t>取代占位。</w:t>
      </w:r>
    </w:p>
    <w:p w14:paraId="3CD58B22">
      <w:pPr>
        <w:pStyle w:val="3"/>
      </w:pPr>
      <w:r>
        <w:rPr>
          <w:rFonts w:hint="eastAsia" w:ascii="微软雅黑" w:hAnsi="微软雅黑" w:eastAsia="微软雅黑"/>
          <w:b/>
          <w:sz w:val="36"/>
          <w:lang w:val="en-US" w:eastAsia="zh-CN"/>
        </w:rPr>
        <w:t>5</w:t>
      </w:r>
      <w:r>
        <w:rPr>
          <w:rFonts w:ascii="微软雅黑" w:hAnsi="微软雅黑" w:eastAsia="微软雅黑"/>
          <w:b/>
          <w:sz w:val="36"/>
        </w:rPr>
        <w:t>. UI 验收要点</w:t>
      </w:r>
    </w:p>
    <w:p w14:paraId="1324FF08">
      <w:pPr>
        <w:spacing w:after="120" w:line="324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2"/>
        </w:rPr>
        <w:t>□ 符合</w:t>
      </w:r>
      <w:r>
        <w:rPr>
          <w:rFonts w:hint="eastAsia"/>
          <w:b w:val="0"/>
          <w:i w:val="0"/>
          <w:sz w:val="22"/>
          <w:lang w:val="en-US" w:eastAsia="zh-CN"/>
        </w:rPr>
        <w:t>美术组的一致风格</w:t>
      </w:r>
    </w:p>
    <w:p w14:paraId="0C1E8AFB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□ 对白框不挡关键演出区；纸质/墨线气质</w:t>
      </w:r>
    </w:p>
    <w:p w14:paraId="0F655928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□ E 提示在 1280×720 下清晰可读</w:t>
      </w:r>
    </w:p>
    <w:p w14:paraId="1830D15F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□ 九宫/拉伸后边角不裂</w:t>
      </w:r>
    </w:p>
    <w:p w14:paraId="2BDC6BD7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□ 导出透明 PNG；源文件分层可改</w:t>
      </w:r>
    </w:p>
    <w:p w14:paraId="6D1AFEED">
      <w:pPr>
        <w:pStyle w:val="3"/>
      </w:pPr>
      <w:r>
        <w:rPr>
          <w:rFonts w:hint="eastAsia" w:ascii="微软雅黑" w:hAnsi="微软雅黑" w:eastAsia="微软雅黑"/>
          <w:b/>
          <w:sz w:val="36"/>
          <w:lang w:val="en-US" w:eastAsia="zh-CN"/>
        </w:rPr>
        <w:t>6</w:t>
      </w:r>
      <w:r>
        <w:rPr>
          <w:rFonts w:ascii="微软雅黑" w:hAnsi="微软雅黑" w:eastAsia="微软雅黑"/>
          <w:b/>
          <w:sz w:val="36"/>
        </w:rPr>
        <w:t>. 一句话 Brief</w:t>
      </w:r>
    </w:p>
    <w:p w14:paraId="36239728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2"/>
        </w:rPr>
        <w:t>墨染、纸质、克制；玩家应几乎忘掉 UI。对白框 + E 提示是主交付；不要做血条/背包/雷达。理智状态 Demo 不做 UI。</w:t>
      </w:r>
    </w:p>
    <w:p w14:paraId="42CBB4F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0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微软雅黑" w:hAnsi="微软雅黑" w:eastAsia="微软雅黑"/>
    </w:rPr>
  </w:style>
  <w:style w:type="table" w:default="1" w:styleId="32">
    <w:name w:val="Normal Table"/>
    <w:semiHidden/>
    <w:unhideWhenUsed/>
    <w:qFormat/>
    <w:uiPriority w:val="99"/>
    <w:rPr>
      <w:rFonts w:ascii="微软雅黑" w:hAnsi="微软雅黑" w:eastAsia="微软雅黑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微软雅黑" w:hAnsi="微软雅黑" w:eastAsia="微软雅黑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微软雅黑" w:hAnsi="微软雅黑" w:eastAsia="微软雅黑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微软雅黑" w:hAnsi="微软雅黑" w:eastAsia="微软雅黑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微软雅黑" w:hAnsi="微软雅黑" w:eastAsia="微软雅黑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微软雅黑" w:hAnsi="微软雅黑" w:eastAsia="微软雅黑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微软雅黑" w:hAnsi="微软雅黑" w:eastAsia="微软雅黑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微软雅黑" w:hAnsi="微软雅黑" w:eastAsia="微软雅黑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微软雅黑" w:hAnsi="微软雅黑" w:eastAsia="微软雅黑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微软雅黑" w:hAnsi="微软雅黑" w:eastAsia="微软雅黑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微软雅黑" w:hAnsi="微软雅黑" w:eastAsia="微软雅黑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微软雅黑" w:hAnsi="微软雅黑" w:eastAsia="微软雅黑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微软雅黑" w:hAnsi="微软雅黑" w:eastAsia="微软雅黑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微软雅黑" w:hAnsi="微软雅黑" w:eastAsia="微软雅黑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微软雅黑" w:hAnsi="微软雅黑" w:eastAsia="微软雅黑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微软雅黑" w:hAnsi="微软雅黑" w:eastAsia="微软雅黑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微软雅黑" w:hAnsi="微软雅黑" w:eastAsia="微软雅黑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微软雅黑" w:hAnsi="微软雅黑" w:eastAsia="微软雅黑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微软雅黑" w:hAnsi="微软雅黑" w:eastAsia="微软雅黑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微软雅黑" w:hAnsi="微软雅黑" w:eastAsia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微软雅黑" w:hAnsi="微软雅黑" w:eastAsia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微软雅黑" w:hAnsi="微软雅黑" w:eastAsia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/>
      <w:b/>
      <w:bCs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微软雅黑" w:hAnsi="微软雅黑" w:eastAsia="微软雅黑"/>
    </w:rPr>
  </w:style>
  <w:style w:type="character" w:customStyle="1" w:styleId="136">
    <w:name w:val="Footer Char"/>
    <w:basedOn w:val="132"/>
    <w:link w:val="24"/>
    <w:uiPriority w:val="99"/>
    <w:rPr>
      <w:rFonts w:ascii="微软雅黑" w:hAnsi="微软雅黑" w:eastAsia="微软雅黑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微软雅黑" w:hAnsi="微软雅黑" w:eastAsia="微软雅黑"/>
    </w:rPr>
  </w:style>
  <w:style w:type="character" w:customStyle="1" w:styleId="144">
    <w:name w:val="Body Text Char"/>
    <w:basedOn w:val="132"/>
    <w:link w:val="19"/>
    <w:uiPriority w:val="99"/>
    <w:rPr>
      <w:rFonts w:ascii="微软雅黑" w:hAnsi="微软雅黑" w:eastAsia="微软雅黑"/>
    </w:rPr>
  </w:style>
  <w:style w:type="character" w:customStyle="1" w:styleId="145">
    <w:name w:val="Body Text 2 Char"/>
    <w:basedOn w:val="132"/>
    <w:link w:val="28"/>
    <w:uiPriority w:val="99"/>
    <w:rPr>
      <w:rFonts w:ascii="微软雅黑" w:hAnsi="微软雅黑" w:eastAsia="微软雅黑"/>
    </w:rPr>
  </w:style>
  <w:style w:type="character" w:customStyle="1" w:styleId="146">
    <w:name w:val="Body Text 3 Char"/>
    <w:basedOn w:val="132"/>
    <w:link w:val="17"/>
    <w:uiPriority w:val="99"/>
    <w:rPr>
      <w:rFonts w:ascii="微软雅黑" w:hAnsi="微软雅黑" w:eastAsia="微软雅黑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微软雅黑" w:hAnsi="微软雅黑" w:eastAsia="微软雅黑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 w:eastAsia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微软雅黑" w:hAnsi="微软雅黑" w:eastAsia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微软雅黑" w:hAnsi="微软雅黑" w:eastAsia="微软雅黑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微软雅黑" w:hAnsi="微软雅黑" w:eastAsia="微软雅黑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微软雅黑" w:hAnsi="微软雅黑" w:eastAsia="微软雅黑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微软雅黑" w:hAnsi="微软雅黑" w:eastAsia="微软雅黑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 w:eastAsia="微软雅黑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1250</Words>
  <Characters>1686</Characters>
  <Lines>0</Lines>
  <Paragraphs>0</Paragraphs>
  <TotalTime>9</TotalTime>
  <ScaleCrop>false</ScaleCrop>
  <LinksUpToDate>false</LinksUpToDate>
  <CharactersWithSpaces>1851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郑鹏辰</cp:lastModifiedBy>
  <dcterms:modified xsi:type="dcterms:W3CDTF">2026-09-23T07:03:53Z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eyJoZGlkIjoiNTVmZDVlOGMwNTg1NGVkNzRkYTFmMTZmYjI5MDYwOWMiLCJ1c2VySWQiOiI0MDYyOTI5MzEifQ==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EED2CA0A15A044DA97330F913C1A47AC_12</vt:lpwstr>
  </property>
</Properties>
</file>