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240" w:before="0" w:line="240"/>
              <w:ind w:left="720"/>
              <w:jc w:val="left"/>
            </w:pPr>
            <w:r>
              <w:rPr>
                <w:rFonts w:ascii="Times New Roman" w:eastAsia="SimSun"/>
                <w:color w:val="90989F"/>
                <w:spacing w:val="80"/>
                <w:sz w:val="20"/>
                <w:szCs w:val="20"/>
              </w:rPr>
              <w:t xml:space="preserve">TEAM HANDBOOK</w:t>
            </w:r>
          </w:p>
          <w:p>
            <w:pPr>
              <w:spacing w:after="200" w:before="0" w:line="480"/>
              <w:ind w:left="720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72"/>
                <w:szCs w:val="72"/>
              </w:rPr>
              <w:t xml:space="preserve">项目协作说明</w:t>
            </w:r>
          </w:p>
          <w:p>
            <w:pPr>
              <w:spacing w:after="480" w:before="0" w:line="320"/>
              <w:ind w:left="720"/>
              <w:jc w:val="left"/>
            </w:pPr>
            <w:r>
              <w:rPr>
                <w:rFonts w:ascii="Times New Roman" w:eastAsia="SimSun"/>
                <w:color w:val="B0B8C0"/>
                <w:sz w:val="28"/>
                <w:szCs w:val="28"/>
              </w:rPr>
              <w:t xml:space="preserve">Project Collaboration Guidelines</w:t>
            </w:r>
          </w:p>
          <w:p>
            <w:pPr>
              <w:pBdr>
                <w:bottom w:val="single" w:color="529286" w:sz="12" w:space="8"/>
              </w:pBdr>
              <w:spacing w:after="360" w:before="0"/>
              <w:ind w:left="720" w:right="7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20" w:before="0" w:line="320"/>
              <w:ind w:left="720"/>
              <w:jc w:val="left"/>
            </w:pPr>
            <w:r>
              <w:rPr>
                <w:rFonts w:ascii="Times New Roman" w:eastAsia="SimSun"/>
                <w:color w:val="90989F"/>
                <w:sz w:val="22"/>
                <w:szCs w:val="22"/>
              </w:rPr>
              <w:t xml:space="preserve">适用范围：本团队所有正式立项的开发项目</w:t>
            </w:r>
          </w:p>
          <w:p>
            <w:pPr>
              <w:spacing w:after="120" w:before="0" w:line="320"/>
              <w:ind w:left="720"/>
              <w:jc w:val="left"/>
            </w:pPr>
            <w:r>
              <w:rPr>
                <w:rFonts w:ascii="Times New Roman" w:eastAsia="SimSun"/>
                <w:color w:val="90989F"/>
                <w:sz w:val="22"/>
                <w:szCs w:val="22"/>
              </w:rPr>
              <w:t xml:space="preserve">制定依据：家庭式扁平化管理 + 专业主义 + 主策拍板权 + 制度优先于情面 + 分配商议制</w:t>
            </w:r>
          </w:p>
          <w:p>
            <w:pPr>
              <w:spacing w:after="120" w:before="0" w:line="320"/>
              <w:ind w:left="720"/>
              <w:jc w:val="left"/>
            </w:pPr>
            <w:r>
              <w:rPr>
                <w:rFonts w:ascii="Times New Roman" w:eastAsia="SimSun"/>
                <w:color w:val="90989F"/>
                <w:sz w:val="22"/>
                <w:szCs w:val="22"/>
              </w:rPr>
              <w:t xml:space="preserve">版本：v3.1（商议制修订版）</w:t>
            </w:r>
          </w:p>
          <w:p>
            <w:pPr>
              <w:spacing w:after="120" w:before="0" w:line="320"/>
              <w:ind w:left="720"/>
              <w:jc w:val="left"/>
            </w:pPr>
            <w:r>
              <w:rPr>
                <w:rFonts w:ascii="Times New Roman" w:eastAsia="SimSun"/>
                <w:color w:val="90989F"/>
                <w:sz w:val="22"/>
                <w:szCs w:val="22"/>
              </w:rPr>
              <w:t xml:space="preserve">发布日期：2026年9月</w:t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top w:val="single" w:color="687078" w:sz="4" w:space="8"/>
              </w:pBdr>
              <w:spacing w:after="0" w:before="0" w:line="280"/>
              <w:ind w:left="720"/>
              <w:jc w:val="left"/>
            </w:pPr>
            <w:r>
              <w:rPr>
                <w:rFonts w:ascii="Times New Roman" w:eastAsia="SimSun"/>
                <w:color w:val="687078"/>
                <w:sz w:val="18"/>
                <w:szCs w:val="18"/>
              </w:rPr>
              <w:t xml:space="preserve">INTERNAL DOCUMENT    |    TEAM HANDBOOK v3.1</w:t>
            </w:r>
          </w:p>
        </w:tc>
      </w:tr>
    </w:tbl>
    <w:p>
      <w:pPr>
        <w:sectPr>
          <w:type w:val="nextPage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 w:line="360"/>
        <w:jc w:val="center"/>
      </w:pPr>
      <w:r>
        <w:rPr>
          <w:rFonts w:ascii="Times New Roman" w:eastAsia="SimHei"/>
          <w:b/>
          <w:bCs/>
          <w:color w:val="1C2A3D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总则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第一条 制定目的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第二条 基本原则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第三条 元规则：制度优先于情面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第二章 结构制度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第四条 岗位设置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第五条 拍板权三级分层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第六条 兼岗与代行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第七条 主策单点风险与代理顺序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第三章 管理制度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第八条 扁平化运行规则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第九条 专业主义执行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第十条 主策决定权与三权保障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第四章 会议制度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第十一条 临时会议机制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第十二条 响应时限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第五章 流程制度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第十三条 任务发起与认领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第十四条 项目状态机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第十五条 资产台账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第六章 交付制度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第十六条 交付与验收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第十七条 交付留痕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第十八条 资源入库与命名规范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第七章 对立解决制度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第十九条 冲突分类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第二十条 裁决流程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第八章 附则（前八章）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第二十一条 复盘与制度优化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第九章 垫付记账制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第二十二条 垫付性质与归还顺位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第二十三条 垫付分类与登记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第十章 利益分配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第二十四条 分配顺序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第二十五条 分配比例商议制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第十一章 人员流动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第二十六条 通用退出机制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第二十七条 失联处理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第十二章 奖惩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第二十八条 奖励机制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第二十九条 惩罚四级阶梯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第十三章 产权与署名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第三十条 著作权归属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第三十一条 署名规则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第十四章 流程与运营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第三十二条 双门径范围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第三十三条 时间表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第三十四条 对外口径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第三十五条 发布路径与平台注册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第三十六条 Devlog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第三十七条 校园资源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第三十八条 里程碑奖励与集成演示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40" w:before="480" w:line="360"/>
      </w:pPr>
      <w:bookmarkStart w:id="100000" w:name="_Toc100000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第一章 总则</w:t>
      </w:r>
      <w:bookmarkEnd w:id="100000"/>
    </w:p>
    <w:p>
      <w:pPr>
        <w:pStyle w:val="Heading2"/>
        <w:spacing w:after="160" w:before="320" w:line="360"/>
      </w:pPr>
      <w:bookmarkStart w:id="100001" w:name="_Toc100001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第一条 制定目的</w:t>
      </w:r>
      <w:bookmarkEnd w:id="100001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为明确本团队在游戏开发项目中的协作关系，规范各成员的权责边界与议事规则，避免因分工不清、决策权属不明、利益分配前置缺位而产生内耗，特制定本说明。本说明在保留团队家庭式扁平化管理文化的前提下，建立一套可执行、可追溯、可优化的协作机制，使每位成员既能凭专业自主推进所负责的事务，又能在方向性、跨模块及利益相关问题上获得清晰的裁决与分配路径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本说明适用于本团队所有正式立项的开发项目，包括但不限于剧情向独立游戏、商业化作品及对外合作项目。自本说明发布之日起，团队所有成员均应遵循本说明所列各项制度；如本说明与既有约定存在冲突，以本说明为准。本说明的修订历史、签署记录与执行情况均存档于飞书文档，便于追溯。</w:t>
      </w:r>
    </w:p>
    <w:p>
      <w:pPr>
        <w:pStyle w:val="Heading2"/>
        <w:spacing w:after="160" w:before="320" w:line="360"/>
      </w:pPr>
      <w:bookmarkStart w:id="100002" w:name="_Toc100002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第二条 基本原则</w:t>
      </w:r>
      <w:bookmarkEnd w:id="100002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本团队奉行家庭式扁平化管理，不设置上下级关系，各成员在地位上完全平等。每位成员凭自身能力与贡献，在团队中寻找并确立自己的位置，而非依靠职级或资历获得话语权。这一文化基调是本说明所有制度的出发点，任何具体规则均不得与之相抵触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专业事务上，团队奉行专业的人干专业的事，相信专业度高的人对其负责事宜所作出的决定。各模块负责人对其专业领域内的技术方案、艺术风格、实现路径拥有最终决定权，其他成员可以提出建议，但不得越权干预或强行推翻。这一原则旨在保障产出质量，同时避免外行指导内行造成的资源浪费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一般性事务上，团队奉行主策拍板权。主策为项目主要责任人，对项目方向与一般性事务拥有决定权，同时保留全体成员的讨论权、建议权与质询权。主策行使决定权时应遵循听取—说明—决定的三步流程：先听取相关成员意见，再说明决定的依据与考量，最后作出决定。涉及项目根本利益或重大方向调整的决定，主策应公示至少24小时，公示期内接受质询，公示期满无异议方可执行。</w:t>
      </w:r>
    </w:p>
    <w:p>
      <w:pPr>
        <w:pStyle w:val="Heading2"/>
        <w:spacing w:after="160" w:before="320" w:line="360"/>
      </w:pPr>
      <w:bookmarkStart w:id="100003" w:name="_Toc100003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第三条 元规则：制度优先于情面</w:t>
      </w:r>
      <w:bookmarkEnd w:id="100003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本团队为熟人团队，成员间存在友谊与情感纽带。为防止情面侵蚀制度、导致规则形同虚设，特确立本元规则：制度优先于情面，按制度办事不伤感情。任何成员在执行制度时，无须因顾及情面而放宽标准或回避执行；任何成员在接受制度约束时，亦不得以情面为由要求例外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为保障本元规则的落地，团队在每次复盘时引入飞书匿名问卷机制。问卷收集成员对制度执行情况、团队氛围、潜在冲突的反馈，由主策汇总后纳入复盘议程。匿名问卷的设置旨在让成员敢于反映真实情况，避免因情面而沉默。问卷结果仅用于制度优化，不作为对个人的评价依据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本元规则是本说明全部条款的精神基底。当任何条款在执行中遇到情面冲突时，以本元规则为准：先按制度办，再在复盘时讨论制度本身是否需要修订。制度可以改，但执行不能停。</w:t>
      </w:r>
    </w:p>
    <w:p>
      <w:pPr>
        <w:pStyle w:val="Heading1"/>
        <w:spacing w:after="240" w:before="480" w:line="360"/>
      </w:pPr>
      <w:bookmarkStart w:id="100004" w:name="_Toc100004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第二章 结构制度</w:t>
      </w:r>
      <w:bookmarkEnd w:id="100004"/>
    </w:p>
    <w:p>
      <w:pPr>
        <w:pStyle w:val="Heading2"/>
        <w:spacing w:after="160" w:before="320" w:line="360"/>
      </w:pPr>
      <w:bookmarkStart w:id="100005" w:name="_Toc100005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第四条 岗位设置</w:t>
      </w:r>
      <w:bookmarkEnd w:id="100005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本团队按专业模块设置岗位，一人可兼岗，但每个岗位的拍板权必须清晰归属到唯一负责人。岗位设置如下表所示，岗位负责人由主策根据项目需要与成员意愿确定，调整时须经相关成员确认。</w:t>
      </w:r>
    </w:p>
    <w:tbl>
      <w:tblPr>
        <w:tblW w:type="dxa" w:w="9000"/>
        <w:tblBorders>
          <w:top w:val="single" w:color="529286" w:sz="8"/>
          <w:left w:val="none" w:color="FFFFFF" w:sz="0"/>
          <w:bottom w:val="single" w:color="529286" w:sz="8"/>
          <w:right w:val="none" w:color="FFFFFF" w:sz="0"/>
          <w:insideH w:val="single" w:color="BECFCC" w:sz="4"/>
          <w:insideV w:val="none" w:color="FFFFFF" w:sz="0"/>
        </w:tblBorders>
        <w:tblLayout w:type="fixed"/>
      </w:tblPr>
      <w:tblGrid>
        <w:gridCol w:w="1620"/>
        <w:gridCol w:w="4230"/>
        <w:gridCol w:w="3150"/>
      </w:tblGrid>
      <w:tr>
        <w:trPr>
          <w:tblHeader/>
        </w:trPr>
        <w:tc>
          <w:tcPr>
            <w:tcW w:type="dxa" w:w="1620"/>
            <w:shd w:fill="52928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岗位</w:t>
            </w:r>
          </w:p>
        </w:tc>
        <w:tc>
          <w:tcPr>
            <w:tcW w:type="dxa" w:w="4230"/>
            <w:shd w:fill="52928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负责内容</w:t>
            </w:r>
          </w:p>
        </w:tc>
        <w:tc>
          <w:tcPr>
            <w:tcW w:type="dxa" w:w="3150"/>
            <w:shd w:fill="52928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2"/>
                <w:szCs w:val="22"/>
              </w:rPr>
              <w:t xml:space="preserve">拍板范围</w:t>
            </w:r>
          </w:p>
        </w:tc>
      </w:tr>
      <w:tr>
        <w:tc>
          <w:tcPr>
            <w:tcW w:type="dxa" w:w="1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主策 / 剧情</w:t>
            </w:r>
          </w:p>
        </w:tc>
        <w:tc>
          <w:tcPr>
            <w:tcW w:type="dxa" w:w="42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文本、日记与信件、对白、留白兑现、整体叙事节奏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叙事与文案</w:t>
            </w:r>
          </w:p>
        </w:tc>
      </w:tr>
      <w:tr>
        <w:tc>
          <w:tcPr>
            <w:tcW w:type="dxa" w:w="162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程序</w:t>
            </w:r>
          </w:p>
        </w:tc>
        <w:tc>
          <w:tcPr>
            <w:tcW w:type="dxa" w:w="423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Unity 工程、系统架构、模块整合、版本导出、资产台账</w:t>
            </w:r>
          </w:p>
        </w:tc>
        <w:tc>
          <w:tcPr>
            <w:tcW w:type="dxa" w:w="315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技术方案与仓库规范</w:t>
            </w:r>
          </w:p>
        </w:tc>
      </w:tr>
      <w:tr>
        <w:tc>
          <w:tcPr>
            <w:tcW w:type="dxa" w:w="1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美术 · 场景</w:t>
            </w:r>
          </w:p>
        </w:tc>
        <w:tc>
          <w:tcPr>
            <w:tcW w:type="dxa" w:w="42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场景、氛围光影、大环境视觉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场景视觉</w:t>
            </w:r>
          </w:p>
        </w:tc>
      </w:tr>
      <w:tr>
        <w:tc>
          <w:tcPr>
            <w:tcW w:type="dxa" w:w="162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美术 · 角色</w:t>
            </w:r>
          </w:p>
        </w:tc>
        <w:tc>
          <w:tcPr>
            <w:tcW w:type="dxa" w:w="423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角色设计、关键演出动画</w:t>
            </w:r>
          </w:p>
        </w:tc>
        <w:tc>
          <w:tcPr>
            <w:tcW w:type="dxa" w:w="315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角色与鬼视觉</w:t>
            </w:r>
          </w:p>
        </w:tc>
      </w:tr>
      <w:tr>
        <w:tc>
          <w:tcPr>
            <w:tcW w:type="dxa" w:w="1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美术 · UI/物件/特效</w:t>
            </w:r>
          </w:p>
        </w:tc>
        <w:tc>
          <w:tcPr>
            <w:tcW w:type="dxa" w:w="42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UI、可交互小物件、环境叙事道具、特效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UI 与物件视觉</w:t>
            </w:r>
          </w:p>
        </w:tc>
      </w:tr>
      <w:tr>
        <w:tc>
          <w:tcPr>
            <w:tcW w:type="dxa" w:w="162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音频</w:t>
            </w:r>
          </w:p>
        </w:tc>
        <w:tc>
          <w:tcPr>
            <w:tcW w:type="dxa" w:w="423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音效、场景音乐、演出音乐、粤曲社对接</w:t>
            </w:r>
          </w:p>
        </w:tc>
        <w:tc>
          <w:tcPr>
            <w:tcW w:type="dxa" w:w="3150"/>
            <w:shd w:fill="E8EC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20"/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音频方案与混音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岗位负责人对其负责模块的专业事务拥有专业拍板权，对涉及其他模块的跨模块事务，应与相关模块负责人协商，协商未果时按第七章冲突裁决机制处理。岗位负责人的变更应记录在飞书文档，注明变更原因、时间与交接情况。</w:t>
      </w:r>
    </w:p>
    <w:p>
      <w:pPr>
        <w:pStyle w:val="Heading2"/>
        <w:spacing w:after="160" w:before="320" w:line="360"/>
      </w:pPr>
      <w:bookmarkStart w:id="100006" w:name="_Toc100006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第五条 拍板权三级分层</w:t>
      </w:r>
      <w:bookmarkEnd w:id="100006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拍板权按事务性质分为三级，分别对应不同的决策主体与流程。明确层级的目的，是让每一类事务都能找到唯一的决策出口，避免出现人人可管却无人负责的灰色地带。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第一级·专业拍板权：各模块负责人对其专业领域内的事务拥有拍板权，如美术风格、技术方案、音频设计等。专业拍板权由负责人独立行使，无须主策批准，但应接受全体成员的建议与质询。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第二级·主策拍板权：主策对项目方向与一般性事务拥有拍板权，如任务优先级、版本节奏、跨模块协调等。主策行使拍板权时应遵循听取—说明—决定流程，重大决定须公示24小时。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第三级·团队共识：涉及项目根本利益或重大方向调整的事务，如立项与终止、核心玩法变更、利益分配方案等，须经全体成员讨论达成共识。共识以飞书评论区回复同意为签署方式，逾期未回复视为同意。</w:t>
      </w:r>
    </w:p>
    <w:p>
      <w:pPr>
        <w:pStyle w:val="Heading2"/>
        <w:spacing w:after="160" w:before="320" w:line="360"/>
      </w:pPr>
      <w:bookmarkStart w:id="100007" w:name="_Toc100007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第六条 兼岗与代行</w:t>
      </w:r>
      <w:bookmarkEnd w:id="100007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一人可兼多个岗位，但每个岗位的拍板权归属必须唯一，不得由两人共同行使同一岗位的拍板权，以免产生决定权冲突。兼岗成员应在飞书文档中明确标注所兼岗位及主岗，主岗优先于兼岗。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当岗位负责人因故无法行使拍板权时，可授权他人代行。代行应遵循以下规则：代行人选由负责人指定，须为相关专业的成员；代行权限仅限所授权的具体事务，不得扩大；代行决定应记录并通知负责人，负责人回归后有权复议。若负责人未指定代行人且失联，按第七条主策代理顺序处理。</w:t>
      </w:r>
    </w:p>
    <w:p>
      <w:pPr>
        <w:pStyle w:val="Heading2"/>
        <w:spacing w:after="160" w:before="320" w:line="360"/>
      </w:pPr>
      <w:bookmarkStart w:id="100008" w:name="_Toc100008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第七条 主策单点风险与代理顺序</w:t>
      </w:r>
      <w:bookmarkEnd w:id="100008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主策作为项目主要责任人，其单点失联将导致项目决策停滞。为防范此风险，团队确立主策代理顺序与健康度红线机制。代理顺序在项目启动时由全员确认，形成固定列表，避免临时推举产生争议。代理顺序按岗位专业度与对项目熟悉度排列，第一代理通常为主程序，第二代理通常为资深美术或剧情成员，依此类推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代理触发条件为：主策连续失联超过72小时且无法通过常规渠道联系。代理期间，代理人行使主策拍板权，但不得作出涉及项目根本利益的决定（如立项终止、利益分配调整等），此类决定须待主策回归或按团队共识处理。主策回归后，代理期间所作一般性决定原则上有效，主策有权复议并调整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健康度红线：连续4周开发日志零更新，自动触发全员讨论。讨论议题为项目是否进入减速或冻结状态、主策是否需要调整、是否需要启动代理。这一红线旨在防止项目因主策个人原因而长期停滞，是团队自我保护机制。红线触发后，主策应向全员说明情况并给出后续安排，若主策无法说明或安排不可接受，团队可按共识启动代理或调整主策。</w:t>
      </w:r>
    </w:p>
    <w:p>
      <w:pPr>
        <w:pStyle w:val="Heading1"/>
        <w:spacing w:after="240" w:before="480" w:line="360"/>
      </w:pPr>
      <w:bookmarkStart w:id="100009" w:name="_Toc100009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第三章 管理制度</w:t>
      </w:r>
      <w:bookmarkEnd w:id="100009"/>
    </w:p>
    <w:p>
      <w:pPr>
        <w:pStyle w:val="Heading2"/>
        <w:spacing w:after="160" w:before="320" w:line="360"/>
      </w:pPr>
      <w:bookmarkStart w:id="100010" w:name="_Toc100010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第八条 扁平化运行规则</w:t>
      </w:r>
      <w:bookmarkEnd w:id="100010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团队不设上下级，所有成员在地位上平等。任务分配不通过命令下达，而通过认领与协商完成。主策或任务发起者在飞书多维表格中发布任务，成员根据自身专业与时间认领；任务无人认领时，由主策协调或调整任务范围。认领后，认领人即为该任务的负责人，对该任务的完成质量与进度负责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扁平化不等于无序。每位成员在认领任务后，应主动同步进度、提出困难、寻求协作。成员间可互相协助完成任务，但任务负责人对最终交付负责。协助者的贡献应记录在任务备注中，作为贡献权重评估的依据之一。</w:t>
      </w:r>
    </w:p>
    <w:p>
      <w:pPr>
        <w:pStyle w:val="Heading2"/>
        <w:spacing w:after="160" w:before="320" w:line="360"/>
      </w:pPr>
      <w:bookmarkStart w:id="100011" w:name="_Toc100011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第九条 专业主义执行</w:t>
      </w:r>
      <w:bookmarkEnd w:id="100011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各模块负责人对其专业领域内的事务拥有专业拍板权，其他成员可提建议但不得越权干预。建议应基于专业判断而非个人偏好，提出时应说明理由与依据。负责人应认真听取建议，对合理者采纳，对不采纳者应说明原因。这一机制既保障了专业决策的独立性，又保留了团队智慧的输入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专业拍板权的行使应遵循留痕原则。重大专业决定（如技术方案选型、美术风格定调、音频方案确定等）应在飞书文档或开发日志中记录决定内容、依据与备选方案，便于后续追溯与复盘。留痕不增加决策流程，仅要求决定作出后补记，不影响决策效率。</w:t>
      </w:r>
    </w:p>
    <w:p>
      <w:pPr>
        <w:pStyle w:val="Heading2"/>
        <w:spacing w:after="160" w:before="320" w:line="360"/>
      </w:pPr>
      <w:bookmarkStart w:id="100012" w:name="_Toc100012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第十条 主策决定权与三权保障</w:t>
      </w:r>
      <w:bookmarkEnd w:id="100012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主策对项目方向与一般性事务拥有决定权，行使时应遵循听取—说明—决定的三步流程。听取指在作出决定前，主动征询相关成员的意见，特别是岗位负责人的专业意见；说明指在作出决定时，向相关成员说明决定的依据、考量与预期影响；决定指在听取与说明的基础上，作出明确、可执行的决定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全体成员保留讨论权、建议权与质询权。讨论权指对任何事务均有参与讨论的权利；建议权指对任何决定均有提出建议的权利；质询权指对任何决定均有要求说明理由的权利。主策应保障这三项权利的行使，不得以决定权为由压制讨论、拒绝建议或回避质询。质询应通过飞书文档评论区或临时会议提出，主策应在48小时内回应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涉及项目根本利益或重大方向调整的决定，主策应公示至少24小时。公示期内，任何成员均可提出异议，主策应与异议方协商；协商未果的，按团队共识处理。公示期满无异议或异议已解决，决定方可执行。这一机制确保重大决定不因主策个人判断而偏离团队共识。</w:t>
      </w:r>
    </w:p>
    <w:p>
      <w:pPr>
        <w:pStyle w:val="Heading1"/>
        <w:spacing w:after="240" w:before="480" w:line="360"/>
      </w:pPr>
      <w:bookmarkStart w:id="100013" w:name="_Toc100013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第四章 会议制度</w:t>
      </w:r>
      <w:bookmarkEnd w:id="100013"/>
    </w:p>
    <w:p>
      <w:pPr>
        <w:pStyle w:val="Heading2"/>
        <w:spacing w:after="160" w:before="320" w:line="360"/>
      </w:pPr>
      <w:bookmarkStart w:id="100014" w:name="_Toc100014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第十一条 临时会议机制</w:t>
      </w:r>
      <w:bookmarkEnd w:id="100014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团队一般不设置固定会议，以异步沟通为主，避免会议占用成员的弹性时间。确有需要讨论且异步沟通效率不足时，由主策设置临时会议。临时会议的发起应提前1天发布议程，议程包括会议主题、讨论事项、预期时长、参会人员。提前1天的要求旨在让成员有充分时间准备，避免临时召集导致讨论流于表面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临时会议的参会人员按议题确定，非必要不要求全员参加。会议应聚焦议程事项，避免发散；会议结束后由主策或指定记录人整理会议纪要，存档于飞书文档。会议纪要应包括讨论结论、待办事项、负责人与截止时间，便于追溯与跟进。会议时长原则上不超过2小时，超时由主策决定是否延长或拆分。</w:t>
      </w:r>
    </w:p>
    <w:p>
      <w:pPr>
        <w:pStyle w:val="Heading2"/>
        <w:spacing w:after="160" w:before="320" w:line="360"/>
      </w:pPr>
      <w:bookmarkStart w:id="100015" w:name="_Toc100015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第十二条 响应时限</w:t>
      </w:r>
      <w:bookmarkEnd w:id="100015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异步沟通是团队的主要沟通方式，为保障效率，确立以下响应时限规则。常规事务的确认时限为48小时，自消息发出时起算；逾期未回应的，主策催办一次，催办后再逾期48小时视为默认同意，默认同意不影响后续质询权。这一规则在给予成员充分响应时间的同时，防止因个别成员失联而阻塞流程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标注【急】的事务，响应时限为当晚22:00前。【急】标注由发起者或主策判定，仅用于确实紧急、阻塞关键路径的事务，不得滥用。非工作时段发出的【急】标注，若成员因个人原因无法及时响应，应尽快回复说明情况，由主策协调替代方案。滥用【急】标注的，主策有权在复盘时提出并纠正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所有响应与确认均应通过飞书留痕，包括同意、反对、建议、质询等。口头沟通的重要结论应补记到飞书文档，确保信息对全体成员可见、可追溯。留痕不增加沟通成本，仅要求关键决定与确认记录在案。</w:t>
      </w:r>
    </w:p>
    <w:p>
      <w:pPr>
        <w:pStyle w:val="Heading1"/>
        <w:spacing w:after="240" w:before="480" w:line="360"/>
      </w:pPr>
      <w:bookmarkStart w:id="100016" w:name="_Toc100016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第五章 流程制度</w:t>
      </w:r>
      <w:bookmarkEnd w:id="100016"/>
    </w:p>
    <w:p>
      <w:pPr>
        <w:pStyle w:val="Heading2"/>
        <w:spacing w:after="160" w:before="320" w:line="360"/>
      </w:pPr>
      <w:bookmarkStart w:id="100017" w:name="_Toc100017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第十三条 任务发起与认领</w:t>
      </w:r>
      <w:bookmarkEnd w:id="100017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任务通过飞书多维表格发布与认领。任务发布者应填写任务名称、描述、预期产出、截止时间、优先级、所需专业等字段，确保任务信息完整。成员根据自身专业与时间认领任务，认领后即成为该任务负责人。任务无人认领时，由主策协调或调整任务范围、截止时间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任务可协同完成，鼓励成员互相分担。协同任务应明确主负责人与协助者，主负责人对最终交付负责。任务进行中，负责人应定期同步进度，遇到困难及时提出，避免临近截止时间才暴露风险。任务延期应提前告知发布者并说明原因，由发布者决定是否调整截止时间或拆分任务。</w:t>
      </w:r>
    </w:p>
    <w:p>
      <w:pPr>
        <w:pStyle w:val="Heading2"/>
        <w:spacing w:after="160" w:before="320" w:line="360"/>
      </w:pPr>
      <w:bookmarkStart w:id="100018" w:name="_Toc100018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第十四条 项目状态机</w:t>
      </w:r>
      <w:bookmarkEnd w:id="100018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项目按活跃度分为三级状态：活跃、减速、冻结。状态判定以开发日志更新频率与任务推进速度为依据，由主策评估并公示。状态转换应记录原因与时间，便于追溯项目节奏变化。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活跃：开发日志每周有更新，任务按计划推进，成员响应及时。此为项目正常状态。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减速：开发日志更新频率下降至每两周一次以下，或任务连续延期。主策应评估原因并公示，团队讨论是否需要调整节奏或重新分配任务。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冻结：连续8周零产出，自动进入冻结状态。冻结后项目暂停所有开发活动，重启需全员共识。冻结满6个月且无重启共识的，视为项目终止，按第九章垫付记账制与第十章利益分配处理善后事宜。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状态机机制旨在让团队正视项目节奏的变化，避免因不愿承认减速或冻结而长期消耗。状态转换不是失败，而是项目管理的正常环节。冻结后的重启应明确重启条件、时间表与成员承诺，避免反复冻结—重启造成更大消耗。</w:t>
      </w:r>
    </w:p>
    <w:p>
      <w:pPr>
        <w:pStyle w:val="Heading2"/>
        <w:spacing w:after="160" w:before="320" w:line="360"/>
      </w:pPr>
      <w:bookmarkStart w:id="100019" w:name="_Toc100019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第十五条 资产台账</w:t>
      </w:r>
      <w:bookmarkEnd w:id="100019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团队所有数字资产应纳入台账管理，防止因成员失联而导致资产锁死。资产台账由主程序负责维护，涵盖Git仓库组织化、共享云盘、Steamworks账号、AI订阅、域名等所有团队级账号与资源。台账记录资产名称、归属平台、账号持有者、密码托管方式、订阅周期与费用、续费责任人等信息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Git仓库应采用组织化结构，所有成员以组织成员身份协作，避免个人仓库导致的权限与归属问题。共享云盘应使用团队账号，成员个人账号仅作同步用途。Steamworks、AI订阅等付费账号的密码应通过密码管理器托管，主程序与主策各持一份访问权限，确保任一人失联后另一人可接管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资产台账每季度核对一次，由主程序发起，核对内容包括账号有效性、订阅状态、密码可用性、续费提醒。核对结果记录在飞书文档。新增资产应在启用后24小时内登记入台账，未登记的资产不纳入团队资产范围，相关费用不按垫付记账制处理。</w:t>
      </w:r>
    </w:p>
    <w:p>
      <w:pPr>
        <w:pStyle w:val="Heading1"/>
        <w:spacing w:after="240" w:before="480" w:line="360"/>
      </w:pPr>
      <w:bookmarkStart w:id="100020" w:name="_Toc100020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第六章 交付制度</w:t>
      </w:r>
      <w:bookmarkEnd w:id="100020"/>
    </w:p>
    <w:p>
      <w:pPr>
        <w:pStyle w:val="Heading2"/>
        <w:spacing w:after="160" w:before="320" w:line="360"/>
      </w:pPr>
      <w:bookmarkStart w:id="100021" w:name="_Toc100021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第十六条 交付与验收</w:t>
      </w:r>
      <w:bookmarkEnd w:id="100021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任务完成后，负责人直接向任务发布者交付，发布者确认无误后方才结束任务。交付应通过飞书多维表格更新任务状态为待验收，并附上交付物链接或说明。验收应在48小时内完成，验收通过则任务关闭，验收未通过则退回并说明问题，负责人修改后重新交付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验收标准应在任务发布时明确，避免验收时因标准不清而产生争议。对于难以量化的交付物（如美术风格、文案质量），验收以发布者的主观判断为准，但发布者应说明判断依据。验收争议按第七章冲突裁决机制处理。</w:t>
      </w:r>
    </w:p>
    <w:p>
      <w:pPr>
        <w:pStyle w:val="Heading2"/>
        <w:spacing w:after="160" w:before="320" w:line="360"/>
      </w:pPr>
      <w:bookmarkStart w:id="100022" w:name="_Toc100022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第十七条 交付留痕</w:t>
      </w:r>
      <w:bookmarkEnd w:id="100022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每次完成任务或推进项目后，须在飞书开发日志中记录完成内容与完成时间。开发日志是项目进度的权威记录，也是分配比例商议的核心依据——在商议制下，日志是唯一客观证据基础，主策起草分配提案须基于日志记录的任务完成情况、协助记录与在岗时长，任何成员提出对照提案同样须援引日志证据。日志内容应包括完成事项、产出物链接、协助者及协助内容、遇到的问题与解决方式。日志的及时性与完整性直接影响分配商议的公正性，逾期或敷衍填写日志将削弱成员在商议中的话语权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开发日志由任务负责人填写，鼓励协助者也补充自己的贡献。日志应于任务完成的当周内填写，逾期补填应注明。开发日志的更新频率是项目状态机判定的重要依据（见第十四条），也是分配比例商议时主策起草提案的证据来源。鉴于商议制下日志成为唯一客观证据，成员应养成主动留痕的习惯，避免在商议时因证据缺失而处于不利地位。日志的填写质量与及时性本身不直接折算为分配比例，但作为商议证据的权重由全体成员在商议时共同评估。</w:t>
      </w:r>
    </w:p>
    <w:p>
      <w:pPr>
        <w:pStyle w:val="Heading2"/>
        <w:spacing w:after="160" w:before="320" w:line="360"/>
      </w:pPr>
      <w:bookmarkStart w:id="100023" w:name="_Toc100023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第十八条 资源入库与命名规范</w:t>
      </w:r>
      <w:bookmarkEnd w:id="100023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所有入库资源应遵循统一的命名规范，命名规范由各模块负责人制定并公示。资源入库前应自查命名是否符合规范，不符合的应重命名后再入库。命名规范的目的是便于检索、避免冲突、支持版本管理。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未经负责人确认，任何人不得擅自修改他人已入库的资源命名或内容。这一禁令是冲突预防的底线规则，旨在保护每位成员对自身产出物的控制权。若确需修改他人资源，应通过申请—授权—验收流程，紧急情况下可先修改后补流程，但必须在24小时内通知资源负责人。</w:t>
      </w:r>
    </w:p>
    <w:p>
      <w:pPr>
        <w:pStyle w:val="Heading1"/>
        <w:spacing w:after="240" w:before="480" w:line="360"/>
      </w:pPr>
      <w:bookmarkStart w:id="100024" w:name="_Toc100024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第七章 对立解决制度</w:t>
      </w:r>
      <w:bookmarkEnd w:id="100024"/>
    </w:p>
    <w:p>
      <w:pPr>
        <w:pStyle w:val="Heading2"/>
        <w:spacing w:after="160" w:before="320" w:line="360"/>
      </w:pPr>
      <w:bookmarkStart w:id="100025" w:name="_Toc100025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第十九条 冲突分类</w:t>
      </w:r>
      <w:bookmarkEnd w:id="100025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冲突按性质分为三类，分别走不同的裁决路径。分类的目的是让冲突找到合适的处理出口，避免所有冲突都堆到主策面前，也避免专业分歧被当作一般性事务处理。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专业分歧：发生在专业领域内的技术或艺术判断分歧，如美术风格选择、技术方案选型等。由相关模块负责人拍板，其他成员可提建议但不得越权推翻。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资源冲突：涉及资源分配、任务归属、优先级排序的冲突。由主策协调裁决，遵循听取—说明—决定流程。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方向争议：涉及项目方向、核心玩法、叙事基调等根本性问题的争议。须经全体成员讨论，按团队共识处理。</w:t>
      </w:r>
    </w:p>
    <w:p>
      <w:pPr>
        <w:pStyle w:val="Heading2"/>
        <w:spacing w:after="160" w:before="320" w:line="360"/>
      </w:pPr>
      <w:bookmarkStart w:id="100026" w:name="_Toc100026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第二十条 裁决流程</w:t>
      </w:r>
      <w:bookmarkEnd w:id="100026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冲突发生后，当事双方应首先协商，协商应基于事实与专业判断，避免情绪化。协商未果的，按冲突分类进入相应裁决路径。专业分歧由模块负责人裁决，资源冲突由主策裁决，方向争议提交全体讨论。裁决一经作出即生效，当事双方应立即执行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裁决者应在裁决后以书面形式记录裁决内容、依据与执行要求，存档于飞书文档。若当事方对裁决有异议，可在执行的同时向更高层级提出复议：专业分歧与资源冲突可向主策复议，方向争议可提请全体成员重新讨论。复议期间不停止裁决的执行。</w:t>
      </w:r>
    </w:p>
    <w:p>
      <w:pPr>
        <w:pStyle w:val="Heading1"/>
        <w:spacing w:after="240" w:before="480" w:line="360"/>
      </w:pPr>
      <w:bookmarkStart w:id="100027" w:name="_Toc100027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第八章 附则（前八章）</w:t>
      </w:r>
      <w:bookmarkEnd w:id="100027"/>
    </w:p>
    <w:p>
      <w:pPr>
        <w:pStyle w:val="Heading2"/>
        <w:spacing w:after="160" w:before="320" w:line="360"/>
      </w:pPr>
      <w:bookmarkStart w:id="100028" w:name="_Toc100028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第二十一条 复盘与制度优化</w:t>
      </w:r>
      <w:bookmarkEnd w:id="100028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每个里程碑结束后，团队应进行一次复盘，复盘内容包括产出质量、流程效率、冲突处理、制度适用性等。复盘由主策主持，全体成员参与，复盘结论应形成文档存档。复盘时同步开启飞书匿名问卷，收集成员对制度执行与团队氛围的反馈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对于复盘中发现的制度问题，应在复盘后两周内由主策组织修订本说明，修订版本经全体成员确认后发布。本说明并非一成不变，应随团队规模、项目类型、外部环境的变化而动态调整。任何成员均可提出修订建议，建议提交至主策，由主策评估后决定是否纳入下一次修订。</w:t>
      </w:r>
    </w:p>
    <w:p>
      <w:pPr>
        <w:pStyle w:val="Heading1"/>
        <w:spacing w:after="240" w:before="480" w:line="360"/>
      </w:pPr>
      <w:bookmarkStart w:id="100029" w:name="_Toc100029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第九章 垫付记账制</w:t>
      </w:r>
      <w:bookmarkEnd w:id="100029"/>
    </w:p>
    <w:p>
      <w:pPr>
        <w:pStyle w:val="Heading2"/>
        <w:spacing w:after="160" w:before="320" w:line="360"/>
      </w:pPr>
      <w:bookmarkStart w:id="100030" w:name="_Toc100030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第二十二条 垫付性质与归还顺位</w:t>
      </w:r>
      <w:bookmarkEnd w:id="100030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团队成员为项目支出的费用，按垫付记账制管理。垫付的本质是无息借款，不折算为项目股份，不赋予垫付人任何决策权或分红权。这一性质必须在项目产生收入前由全体成员签署确认，事后补签必然伤感情。垫付的归还顺位为收入分配的第一顺位，即项目产生收入后，首先归还所有垫付款项，再进行后续分配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终止时，未归还的垫付即沉没，垫付人不得主张以垫付额折算股份或要求其他成员补偿。这一规则旨在明确垫付的风险属性：垫付是支持项目的自愿行为，不是投资。成员在垫付前应充分知晓这一风险，量力而行。</w:t>
      </w:r>
    </w:p>
    <w:p>
      <w:pPr>
        <w:pStyle w:val="Heading2"/>
        <w:spacing w:after="160" w:before="320" w:line="360"/>
      </w:pPr>
      <w:bookmarkStart w:id="100031" w:name="_Toc100031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第二十三条 垫付分类与登记</w:t>
      </w:r>
      <w:bookmarkEnd w:id="100031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垫付按用途分为共享型与个人型。共享型垫付指为团队共同利益支出的费用，如Steamworks注册费、共享云盘订阅、团队级AI订阅等，纳入垫付台账，按本章规则归还。个人型垫付指为个人工作便利支出的费用，如个人设备、个人软件订阅等，不纳入台账，由个人承担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垫付登记规则如下：单笔金额不超过200元的，垫付后24小时内登记入台账，登记内容包括金额、用途、日期、垫付人；单笔金额超过200元的，须事前报备，报备后48小时为异议期，异议期内任何成员可提出异议，异议解决后方可支出，支出后24小时内登记；单人累计垫付达1000元的，须事前报备并经主策确认，避免个人垫付过多形成隐性风险。订阅类费用按月登记一条，注明订阅周期与金额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月末由主策或指定人员对账，对账结果在飞书台账评论区发布，全体成员在评论区确认。确认后台账锁定当月数据，后续不得修改。对账争议按第七章冲突裁决机制处理。垫付台账是利益分配的依据，成员应认真对待登记与对账。</w:t>
      </w:r>
    </w:p>
    <w:p>
      <w:pPr>
        <w:pStyle w:val="Heading1"/>
        <w:spacing w:after="240" w:before="480" w:line="360"/>
      </w:pPr>
      <w:bookmarkStart w:id="100032" w:name="_Toc100032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第十章 利益分配</w:t>
      </w:r>
      <w:bookmarkEnd w:id="100032"/>
    </w:p>
    <w:p>
      <w:pPr>
        <w:pStyle w:val="Heading2"/>
        <w:spacing w:after="160" w:before="320" w:line="360"/>
      </w:pPr>
      <w:bookmarkStart w:id="100033" w:name="_Toc100033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第二十四条 分配顺序</w:t>
      </w:r>
      <w:bookmarkEnd w:id="100033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产生收入后，按以下顺序分配：第一顺位归还全部垫付款项（见第九章）；第二顺位提取再开发基金，建议比例为收入净额的30%，用于团队后续项目的开发投入；第三顺位按最近一次共识确认的分配比例分配（见第二十五条）。分配比例的确认遵循商议制，不设固定权重公式，各期比例以当次商议共识为准。这一设计承认分配本质是主观共识而非客观计算，避免伪精确公式带来的争议包装与游戏化风险，同时通过程序规则（时点前置、提案公示、匿名问卷、兜底机制）保障商议的公正与可执行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再开发基金的比例可由团队共识调整，但不得低于20%，以保障团队有足够的资金启动后续项目。再开发基金的使用由主策提议、团队共识决定，用于项目开发相关的支出，不得用于成员个人分配。再开发基金的收支应记录在飞书文档，便于追溯。</w:t>
      </w:r>
    </w:p>
    <w:p>
      <w:pPr>
        <w:pStyle w:val="Heading2"/>
        <w:spacing w:after="160" w:before="320" w:line="360"/>
      </w:pPr>
      <w:bookmarkStart w:id="100034" w:name="_Toc100034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第二十五条 分配比例商议制</w:t>
      </w:r>
      <w:bookmarkEnd w:id="100034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收入在归还垫付、提取再开发基金后（见第二十四条），由全体成员商议确定分配比例。本团队不设固定权重公式，各期比例以当次商议共识为准。这一设计承认分配本质是主观共识而非客观计算，对6人熟人团队而言，商议制比公式更诚实、更省事，也更符合扁平化文化。但商议本身必须被制度化——签下程序，不签数字：程序规则（何时谈、谁提案、谈崩怎么办、如何定格）现在就全员签署；具体比例每个里程碑复盘时再商议，那时桌上只有假设的数字，没有真实的钱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商议时点：项目启动时（T0）进行首次商议，确定初始比例，建议以平均分配为起点；此后每个里程碑复盘时商议一次。两次商议之间不调整比例。提案程序：每次商议前，主策依据开发日志（任务完成情况、协助记录、在岗时长）起草比例提案，提前3天公示于飞书文档；任何成员均可提出修改或提交对照提案；最终比例以全员在评论区回复“同意”确认，确认后锁定至下一次商议。主策既提案又是利益相关方的矛盾，由三重机制制衡：提案基于日志证据、任何人可提对照提案、匿名问卷先行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匿名预调研：每次商议前同步开启飞书匿名问卷，收集成员对当前分配的不满点。问卷不署名、不追责，仅用于暴露沉默的不满——熟人团队的脸皮薄问题由它兜底。兜底规则：提案公示起超过7天（含两轮讨论）仍未达成共识的，沿用上一里程碑确认的比例；首次商议未达成共识的，采用平均分配。兜底一经触发即生效，下一里程碑可重新商议。兜底规则是全条保险丝，商议制最大的死法是谈崩后无人敢拍板、分配无限搁置——“谈不拢就沿用上期”给了所有人温和的达成共识的压力，又不惩罚任何人。退出与新成员：退出成员按退出前最近一次确认的比例定格，参与未来收入分配但不参与后续商议；新成员的比例由在岗成员商议确定。比例建议用归一化份额而非固定百分比，成员进出时自动归一，避免比例表随人数变化反复重算。定格与追溯：已确认的比例不追溯调整；程序参数（公示天数、兜底方式）的修改仅对未来里程碑生效。本条的程序规则（时点、提案人、兜底、定格）须在项目首次产生收入前或首名成员退出前（以先到者为准）由全体成员签署确认，与第二十二条垫付性质确认同等效力、同一批次签署。需要现在签掉的不是任何人的比例数字，而是兜底规则与程序确认——这两条和垫付性质放进同一批次，在项目还没赚钱、还没人想退出的时候一起签掉。</w:t>
      </w:r>
    </w:p>
    <w:p>
      <w:pPr>
        <w:pStyle w:val="Heading1"/>
        <w:spacing w:after="240" w:before="480" w:line="360"/>
      </w:pPr>
      <w:bookmarkStart w:id="100035" w:name="_Toc100035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第十一章 人员流动</w:t>
      </w:r>
      <w:bookmarkEnd w:id="100035"/>
    </w:p>
    <w:p>
      <w:pPr>
        <w:pStyle w:val="Heading2"/>
        <w:spacing w:after="160" w:before="320" w:line="360"/>
      </w:pPr>
      <w:bookmarkStart w:id="100036" w:name="_Toc100036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第二十六条 通用退出机制</w:t>
      </w:r>
      <w:bookmarkEnd w:id="100036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成员退出团队须提前4周告知主策，告知应说明退出原因与预计退出时间。退出前应完成交接，交接清单包括：未完成任务的进度说明与后续建议、所负责模块的资源整理与文档、所持团队账号与资产的移交、开发日志中个人贡献的补充记录。交接完成后，退出成员的署名权予以保留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退出成员的分配比例按退出前最近一次共识确认的比例定格，定格后参与项目未来收入的分配，但不参与后续里程碑的商议。退出成员的定格比例不因后续成员加入或退出而追溯调整，新成员加入时全体在岗成员的比例按归一化方式自动调整。退出成员的署名予以保留（见第三十一条），其定格比例对应的分配权由其本人或其指定继承人享有，分配方式（一次性买断或按比例分期）由在岗成员与退出成员协商确定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毕业等重大节点建议提前一学期知会团队，便于团队安排交接与节奏调整。本说明不设毕业季专项条款，毕业成员按通用退出机制处理，团队可根据情况给予灵活的退出时间安排。</w:t>
      </w:r>
    </w:p>
    <w:p>
      <w:pPr>
        <w:pStyle w:val="Heading2"/>
        <w:spacing w:after="160" w:before="320" w:line="360"/>
      </w:pPr>
      <w:bookmarkStart w:id="100037" w:name="_Toc100037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第二十七条 失联处理</w:t>
      </w:r>
      <w:bookmarkEnd w:id="100037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成员连续失联3周（无开发日志更新、无飞书响应、无法通过常规渠道联系）的，由主策在飞书文档公示，公示期7天。公示期内若该成员回归并说明情况，公示撤销；公示期满未回归的，视为自动退出，按通用退出机制处理其贡献权重与署名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失联处理旨在保护团队不因个别成员长期失联而停滞。失联不等于恶意退出，团队应保留善意推定，但也不得因等待而无限消耗。公示是给失联成员的最后通知，也是团队启动善后的依据。</w:t>
      </w:r>
    </w:p>
    <w:p>
      <w:pPr>
        <w:pStyle w:val="Heading1"/>
        <w:spacing w:after="240" w:before="480" w:line="360"/>
      </w:pPr>
      <w:bookmarkStart w:id="100038" w:name="_Toc100038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第十二章 奖惩</w:t>
      </w:r>
      <w:bookmarkEnd w:id="100038"/>
    </w:p>
    <w:p>
      <w:pPr>
        <w:pStyle w:val="Heading2"/>
        <w:spacing w:after="160" w:before="320" w:line="360"/>
      </w:pPr>
      <w:bookmarkStart w:id="100039" w:name="_Toc100039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第二十八条 奖励机制</w:t>
      </w:r>
      <w:bookmarkEnd w:id="100039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团队设立里程碑奖励，以激励成员持续投入。奖励形式为云聚餐或等额Steam礼物，二选一由成员自选。云聚餐指当晚线上会议+各自点餐公账报销，旨在营造团队氛围；Steam礼物为等额价值的Steam平台礼物，供成员个人使用。奖励金额为人均50至100元，计入垫付台账，按第九章规则归还或核销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奖励的触发节点为各里程碑完成并通过验收。奖励由主策在里程碑复盘后发起，成员在飞书文档选择奖励形式，主策汇总后执行。奖励是团队对成员付出的认可，不与绩效挂钩，不构成成员间的比较依据。</w:t>
      </w:r>
    </w:p>
    <w:p>
      <w:pPr>
        <w:pStyle w:val="Heading2"/>
        <w:spacing w:after="160" w:before="320" w:line="360"/>
      </w:pPr>
      <w:bookmarkStart w:id="100040" w:name="_Toc100040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第二十九条 惩罚四级阶梯</w:t>
      </w:r>
      <w:bookmarkEnd w:id="100040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对于违反本说明或影响项目推进的行为，团队设立四级惩罚阶梯，逐级递进，旨在纠正而非惩罚。惩罚由主策或受影响成员提出，按以下阶梯执行：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第一级·提醒：对轻微违规（如日志逾期、响应不及时等），由主策或相关成员私下提醒，提醒不记录在案，旨在及时纠正。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第二级·暂停认领：对重复轻微违规或中等违规（如多次逾期、未留痕等），暂停该成员新任务的认领权，暂停期由主策决定，原则上不超过2周。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第三级·通报与暂停认领延长：对严重违规（如擅自修改他人资源、越权推翻专业决定等），在团队内通报，暂停认领权延长至1个月，记录存档。分配商议属全体共识事项，不作为惩罚的执行手段——若把惩罚挂钩到分配商议（“你不听话，下轮商议我压你比例”），等于把金钱变成了内斗武器，这是熟人团队最不该开的口子。因此本级别不涉及分配比例的任何调整。</w:t>
      </w:r>
    </w:p>
    <w:p>
      <w:pPr>
        <w:spacing w:after="80" w:line="340"/>
        <w:ind w:left="480" w:hanging="240"/>
        <w:jc w:val="left"/>
      </w:pPr>
      <w:r>
        <w:rPr>
          <w:rFonts w:ascii="Times New Roman" w:eastAsia="SimSun"/>
          <w:color w:val="1C2A3D"/>
          <w:sz w:val="24"/>
          <w:szCs w:val="24"/>
        </w:rPr>
        <w:t xml:space="preserve">● 第四级·除名：对根本性违规（如恶意破坏资源、严重损害团队利益等），经团队共识予以除名，按第十一章退出机制处理其权重与署名。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惩罚阶梯的执行应遵循制度优先于情面的元规则，不得因情面而跳级或降级。被惩罚成员对惩罚有异议的，可按第七章冲突裁决机制申请复议。惩罚记录存档于飞书文档，作为后续复盘与制度优化的依据。</w:t>
      </w:r>
    </w:p>
    <w:p>
      <w:pPr>
        <w:pStyle w:val="Heading1"/>
        <w:spacing w:after="240" w:before="480" w:line="360"/>
      </w:pPr>
      <w:bookmarkStart w:id="100041" w:name="_Toc100041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第十三章 产权与署名</w:t>
      </w:r>
      <w:bookmarkEnd w:id="100041"/>
    </w:p>
    <w:p>
      <w:pPr>
        <w:pStyle w:val="Heading2"/>
        <w:spacing w:after="160" w:before="320" w:line="360"/>
      </w:pPr>
      <w:bookmarkStart w:id="100042" w:name="_Toc100042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第三十条 著作权归属</w:t>
      </w:r>
      <w:bookmarkEnd w:id="100042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团队存续期间，成员为团队立项项目所产出的作品，其著作权归团队共有。这一归属的适用范围为：使用团队资源（包括但不限于团队账号、共享素材、团队购买的软件订阅、团队讨论形成的创意）所产出的作品。成员个人独立练习作品、未使用团队资源的个人创作，不在此列，著作权归个人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退出成员不得将团队共有作品用于其他商业项目。这一限制旨在保护团队的知识产权与商业利益。退出成员可保留其个人创作部分的使用权，但不得使用团队共有的素材、代码、设计等。未来若团队成立正式主体（如公司、工作室），著作权的归属与使用另行以共识确定。</w:t>
      </w:r>
    </w:p>
    <w:p>
      <w:pPr>
        <w:pStyle w:val="Heading2"/>
        <w:spacing w:after="160" w:before="320" w:line="360"/>
      </w:pPr>
      <w:bookmarkStart w:id="100043" w:name="_Toc100043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第三十一条 署名规则</w:t>
      </w:r>
      <w:bookmarkEnd w:id="100043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署名按最近一次共识确认的分配比例排序，比例高者列前。署名应反映成员的实际贡献，不得因情面或资历而调整顺序。退出成员的署名予以保留，按其退出时定格的比例排序。新成员的署名按其加入后参与商议确认的比例排序。游戏发布定稿时，署名顺序由全员最终商议确认一次，定稿后不再调整。这一设计使署名与分配比例保持一致，避免出现“署名靠前但分配靠后”的矛盾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署名形式由主策根据项目类型与发布平台确定，原则上应列出所有有贡献的成员及其负责模块。对于贡献极小或仅参与早期阶段的成员，主策可决定是否列入署名，决定应基于客观标准而非个人偏好。署名争议按第七章冲突裁决机制处理。</w:t>
      </w:r>
    </w:p>
    <w:p>
      <w:pPr>
        <w:pStyle w:val="Heading1"/>
        <w:spacing w:after="240" w:before="480" w:line="360"/>
      </w:pPr>
      <w:bookmarkStart w:id="100044" w:name="_Toc100044"/>
      <w:r>
        <w:rPr>
          <w:rFonts w:ascii="Times New Roman" w:eastAsia="SimHei"/>
          <w:b/>
          <w:bCs/>
          <w:color w:val="1C2A3D"/>
          <w:sz w:val="32"/>
          <w:szCs w:val="32"/>
        </w:rPr>
        <w:t xml:space="preserve">第十四章 流程与运营</w:t>
      </w:r>
      <w:bookmarkEnd w:id="100044"/>
    </w:p>
    <w:p>
      <w:pPr>
        <w:pStyle w:val="Heading2"/>
        <w:spacing w:after="160" w:before="320" w:line="360"/>
      </w:pPr>
      <w:bookmarkStart w:id="100045" w:name="_Toc100045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第三十二条 双门径范围</w:t>
      </w:r>
      <w:bookmarkEnd w:id="100045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采用双门径发布策略，即先发布切片版验证市场，再发布完整版。切片版的内容范围为40至60分钟的可玩体验，覆盖序章四段落、简化解密与合棺真相。切片版的核心原则是：验证内容等于要卖的内容，即切片版所呈现的体验应与完整版的核心体验一致，避免切片版与完整版脱节导致市场反馈失真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切片版的详细范围以策划案修订为准，本说明仅确立原则。切片版的目的是验证市场反应与团队产能，为完整版的开发提供依据。若切片版市场反馈不佳，团队应评估是否调整完整版方向或终止项目，按第八条项目状态机处理。</w:t>
      </w:r>
    </w:p>
    <w:p>
      <w:pPr>
        <w:pStyle w:val="Heading2"/>
        <w:spacing w:after="160" w:before="320" w:line="360"/>
      </w:pPr>
      <w:bookmarkStart w:id="100046" w:name="_Toc100046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第三十三条 时间表</w:t>
      </w:r>
      <w:bookmarkEnd w:id="100046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按里程碑分为五个阶段，时间表如下：M1切片开发（T+3至5月）、M2测试（T+5至6月）、M3序章发布（T+14至18月）、M4章节开发（T+24至30月）、M5全游戏（T+30至36月）。其中T为项目正式启动时间。M4与M5存在并行期，M5的启动以M4首个章节验收为标志，M5启动后M4继续推进后续章节，二者并行直至全部章节完成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时间表为指导性安排，可根据实际进度调整，但调整应由主策提议并经团队共识确认。时间表的目的是为团队提供节奏参照，避免无期限拖延。每个里程碑的完成情况应记录在飞书文档，作为复盘与状态机判定的依据。</w:t>
      </w:r>
    </w:p>
    <w:p>
      <w:pPr>
        <w:pStyle w:val="Heading2"/>
        <w:spacing w:after="160" w:before="320" w:line="360"/>
      </w:pPr>
      <w:bookmarkStart w:id="100047" w:name="_Toc100047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第三十四条 对外口径</w:t>
      </w:r>
      <w:bookmarkEnd w:id="100047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对外发布统一为序章版与完整版两个节点，避免外界误解为两年内出全游戏。对外口径由主策统一管理，成员在接受采访、发布Devlog、参与展会等场合应遵循统一口径。口径不一致会误导玩家预期，损害项目声誉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序章版对应M3里程碑，完整版对应M5里程碑。两个节点之间的章节开发（M4）不作为独立发布节点对外宣传，可在Devlog中提及进展，但不承诺具体发布时间。对外口径的调整由主策决定并通知全员。</w:t>
      </w:r>
    </w:p>
    <w:p>
      <w:pPr>
        <w:pStyle w:val="Heading2"/>
        <w:spacing w:after="160" w:before="320" w:line="360"/>
      </w:pPr>
      <w:bookmarkStart w:id="100048" w:name="_Toc100048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第三十五条 发布路径与平台注册</w:t>
      </w:r>
      <w:bookmarkEnd w:id="100048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发布路径为：先在itch.io发布切片版试玩，再在Steam发布国际版。国内渠道涉及版号问题，现阶段不投入资源，未来视情况评估。Steamworks账号在切片阶段注册，注册费为每款100美元，有30天等待期。这一费用是项目唯一大概率沉没的成本，立项时应向全员言明，并按第九章垫付记账制登记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Steamworks注册由主程序负责，账号信息纳入资产台账（见第十五条）。itch.io账号同样纳入台账。平台注册的时机应与里程碑节奏匹配，避免过早注册造成资源浪费或过晚注册影响发布。</w:t>
      </w:r>
    </w:p>
    <w:p>
      <w:pPr>
        <w:pStyle w:val="Heading2"/>
        <w:spacing w:after="160" w:before="320" w:line="360"/>
      </w:pPr>
      <w:bookmarkStart w:id="100049" w:name="_Toc100049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第三十六条 Devlog</w:t>
      </w:r>
      <w:bookmarkEnd w:id="100049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Devlog自项目第1周开始更新，由主策负责统筹。Devlog的内容包括开发进展、美术过程、傩舞考据、AI工作流等，这些是项目的天然话题点，便于持续产出内容。Devlog的目的是积累社区关注、记录开发过程、为后续发布预热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Devlog的更新频率建议为每周至少一篇，由相关成员轮流或主策统筹撰写。Devlog内容应真实反映开发状态，不夸大不隐瞒。Devlog的发布平台由主策确定，原则上选择目标玩家聚集的平台。Devlog的产出作为分配比例商议的证据之一，纳入开发日志体系管理（见第十七条），在商议时由主策与全体成员共同评估其贡献价值。</w:t>
      </w:r>
    </w:p>
    <w:p>
      <w:pPr>
        <w:pStyle w:val="Heading2"/>
        <w:spacing w:after="160" w:before="320" w:line="360"/>
      </w:pPr>
      <w:bookmarkStart w:id="100050" w:name="_Toc100050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第三十七条 校园资源</w:t>
      </w:r>
      <w:bookmarkEnd w:id="100050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团队积极利用校园资源支持项目开发。与粤曲社合作录制《帝女花》等音频素材，须采用真人录制，AI唱腔不可用，以保障音频质量与文化 authenticity。合作由主策与配乐成员共同对接，录制安排与版权约定应记录在飞书文档。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关注大创、挑战杯等经费申报窗口，由主策牵头申报，申报材料与经费使用应透明。校园测试池为20至30人，由主策组织测试，测试反馈用于迭代优化。校园资源的使用应遵循学校相关规定，避免与学业冲突。</w:t>
      </w:r>
    </w:p>
    <w:p>
      <w:pPr>
        <w:pStyle w:val="Heading2"/>
        <w:spacing w:after="160" w:before="320" w:line="360"/>
      </w:pPr>
      <w:bookmarkStart w:id="100051" w:name="_Toc100051"/>
      <w:r>
        <w:rPr>
          <w:rFonts w:ascii="Times New Roman" w:eastAsia="SimHei"/>
          <w:b/>
          <w:bCs/>
          <w:color w:val="1C2A3D"/>
          <w:sz w:val="28"/>
          <w:szCs w:val="28"/>
        </w:rPr>
        <w:t xml:space="preserve">第三十八条 里程碑奖励与集成演示</w:t>
      </w:r>
      <w:bookmarkEnd w:id="100051"/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每个里程碑完成并通过验收后，按第二十八条执行里程碑奖励。奖励由主策在复盘后发起，成员自选云聚餐或Steam礼物。奖励旨在认可成员的持续投入，营造团队氛围。</w:t>
      </w:r>
    </w:p>
    <w:p>
      <w:pPr>
        <w:spacing w:after="120" w:line="360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每个里程碑前必须跑一次可玩版本集成演示，时长控制在15分钟内，防止集成事故。集成演示由主程序负责组织，全体成员参与，演示目的是验证各模块集成后的可玩性与稳定性。有余力的情况下，可增加双周轻量版集成演示，及时发现问题。集成演示的发现与修复情况应记录在飞书文档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9286" w:sz="4" w:space="4"/>
      </w:pBdr>
      <w:jc w:val="right"/>
    </w:pPr>
    <w:r>
      <w:rPr>
        <w:rFonts w:ascii="Times New Roman" w:eastAsia="SimSun"/>
        <w:color w:val="5B6B7D"/>
        <w:sz w:val="18"/>
        <w:szCs w:val="18"/>
      </w:rPr>
      <w:t xml:space="preserve">项目协作说明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C2A3D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60"/>
      <w:outlineLvl w:val="0"/>
    </w:pPr>
    <w:rPr>
      <w:rFonts w:ascii="Times New Roman" w:eastAsia="SimHei"/>
      <w:b/>
      <w:bCs/>
      <w:color w:val="1C2A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 w:line="360"/>
      <w:outlineLvl w:val="1"/>
    </w:pPr>
    <w:rPr>
      <w:rFonts w:ascii="Times New Roman" w:eastAsia="SimHei"/>
      <w:b/>
      <w:bCs/>
      <w:color w:val="1C2A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/>
      <w:b/>
      <w:bCs/>
      <w:color w:val="1C2A3D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2026-09-04T01:16:56.667Z</dcterms:created>
  <dcterms:modified xsi:type="dcterms:W3CDTF">2026-09-04T01:16:56.667Z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