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AAA82" w14:textId="77777777" w:rsidR="00AA5321" w:rsidRDefault="00A45050">
      <w:pPr>
        <w:spacing w:after="389"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19"/>
        </w:rPr>
        <w:t>Anexa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2</w:t>
      </w:r>
    </w:p>
    <w:p w14:paraId="509BF319" w14:textId="77777777" w:rsidR="00AA5321" w:rsidRDefault="00A45050">
      <w:pPr>
        <w:spacing w:after="348"/>
        <w:jc w:val="center"/>
      </w:pPr>
      <w:r>
        <w:rPr>
          <w:rFonts w:ascii="Times New Roman" w:eastAsia="Times New Roman" w:hAnsi="Times New Roman" w:cs="Times New Roman"/>
          <w:sz w:val="25"/>
        </w:rPr>
        <w:t>CRITERII PENTRU STABILIREA STADIILOR DE DEZVOLTARE A ARBORETELOR ECHIENE ȘI RELATIV ECHIENE, DE TIP NATURAL*</w:t>
      </w:r>
    </w:p>
    <w:tbl>
      <w:tblPr>
        <w:tblStyle w:val="TableGrid"/>
        <w:tblW w:w="8947" w:type="dxa"/>
        <w:tblInd w:w="-35" w:type="dxa"/>
        <w:tblCellMar>
          <w:left w:w="35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3773"/>
        <w:gridCol w:w="3751"/>
      </w:tblGrid>
      <w:tr w:rsidR="00AA5321" w14:paraId="7B2B959A" w14:textId="77777777">
        <w:trPr>
          <w:trHeight w:val="511"/>
        </w:trPr>
        <w:tc>
          <w:tcPr>
            <w:tcW w:w="1423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C9F6ED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dezvoltare</w:t>
            </w:r>
            <w:proofErr w:type="spellEnd"/>
          </w:p>
        </w:tc>
        <w:tc>
          <w:tcPr>
            <w:tcW w:w="752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12AAB5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Momente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definitorii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ale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începutului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sfârșitului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dezvoltare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respectiv</w:t>
            </w:r>
            <w:proofErr w:type="spellEnd"/>
          </w:p>
        </w:tc>
      </w:tr>
      <w:tr w:rsidR="00AA5321" w14:paraId="143E7F9B" w14:textId="7777777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72975" w14:textId="77777777" w:rsidR="00AA5321" w:rsidRDefault="00AA5321"/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9E58BA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Începutul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stadiului</w:t>
            </w:r>
            <w:proofErr w:type="spellEnd"/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BEAEA4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Sfârșitul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stadiului</w:t>
            </w:r>
            <w:proofErr w:type="spellEnd"/>
          </w:p>
        </w:tc>
      </w:tr>
      <w:tr w:rsidR="00AA5321" w14:paraId="2A24E5C9" w14:textId="77777777">
        <w:trPr>
          <w:trHeight w:val="1022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CB20F5C" w14:textId="77777777" w:rsidR="00AA5321" w:rsidRDefault="00A45050">
            <w:pPr>
              <w:spacing w:after="44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Semițis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6042327" w14:textId="77777777" w:rsidR="00AA5321" w:rsidRDefault="00A4505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plantație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lăstăriș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)</w:t>
            </w:r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C543C5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Întemeierea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pe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cale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naturală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artificială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mixtă</w:t>
            </w:r>
            <w:proofErr w:type="spellEnd"/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C5A3AD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Închiderea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coronamentului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constituirea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stării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masiv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realizează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vârste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variabile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funcțir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specie,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bonitatea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stațiunii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dispozitivul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plantare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etc.</w:t>
            </w:r>
          </w:p>
        </w:tc>
      </w:tr>
      <w:tr w:rsidR="00AA5321" w14:paraId="362CDCAD" w14:textId="77777777">
        <w:trPr>
          <w:trHeight w:val="766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9023DD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Desiș</w:t>
            </w:r>
            <w:proofErr w:type="spellEnd"/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BCB8F2" w14:textId="3AC48C51" w:rsidR="00AA5321" w:rsidRDefault="00A4505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Închiderea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coronamentului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stării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masiv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Apar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relațiile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inter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intraspeci</w:t>
            </w:r>
            <w:r w:rsidR="00B43079">
              <w:rPr>
                <w:rFonts w:ascii="Times New Roman" w:eastAsia="Times New Roman" w:hAnsi="Times New Roman" w:cs="Times New Roman"/>
                <w:sz w:val="19"/>
              </w:rPr>
              <w:t>fice</w:t>
            </w:r>
            <w:proofErr w:type="spellEnd"/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0FBF5B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elagajului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natural 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majoritatea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arborilor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realizează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integralitate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biocenozei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forestiere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</w:tr>
      <w:tr w:rsidR="00AA5321" w14:paraId="4BCE3658" w14:textId="77777777">
        <w:trPr>
          <w:trHeight w:val="3067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21AB1C9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Nuiliș-prăjiniș</w:t>
            </w:r>
            <w:proofErr w:type="spellEnd"/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5235D2A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elagajului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natural 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majoritatea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arborilor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amplifică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procesul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integralitate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biocenozei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forestiere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curentă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înălțime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8B9D286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Intensificarea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procesului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eliminare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naturală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parcurs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regulă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curentă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înălțime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practică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admite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mod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convențional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prăjiniș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termină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odată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diametrului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central de 810 cm,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limita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fiind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potrivită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arboretele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productivitate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superioară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repede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crescătoare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tinerețe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minimă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cele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productivitate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inferioară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crescătoare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tinerețe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</w:tr>
      <w:tr w:rsidR="00AA5321" w14:paraId="78985FD8" w14:textId="77777777">
        <w:trPr>
          <w:trHeight w:val="1534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07BBBD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Păriș</w:t>
            </w:r>
            <w:proofErr w:type="spellEnd"/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A1F78" w14:textId="77777777" w:rsidR="00AA5321" w:rsidRDefault="00A45050">
            <w:pPr>
              <w:spacing w:after="43" w:line="26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Intensificarea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procesului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eliminare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naturală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).</w:t>
            </w:r>
          </w:p>
          <w:p w14:paraId="5F562851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central al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depășește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810 cm (cu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precizările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menționate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anterior).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trece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treptat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curentă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559095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fructificației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unii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aceasta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masă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</w:tr>
      <w:tr w:rsidR="00AA5321" w14:paraId="6505A335" w14:textId="77777777">
        <w:trPr>
          <w:trHeight w:val="2556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8A1D8C2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Codrișor</w:t>
            </w:r>
            <w:proofErr w:type="spellEnd"/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05448C" w14:textId="77777777" w:rsidR="00AA5321" w:rsidRDefault="00A45050">
            <w:pPr>
              <w:spacing w:after="43" w:line="26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fructificației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la o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parte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fără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masă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  <w:p w14:paraId="19237FEF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practică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mod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convențional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admite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stadiul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codrișor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constituie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odată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diametrului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central de 1722 cm,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limita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fiind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valabilă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arboretele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repede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cresătoare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tinerețe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productivitate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superioară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minimă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-la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cele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crescătoare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tinerețe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productivitate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inferioară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1EFBBD6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Împlinirea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vârstei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exploatabilității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absolute,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când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realizează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medii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producției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totale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</w:tr>
      <w:tr w:rsidR="00AA5321" w14:paraId="2650FC17" w14:textId="77777777">
        <w:trPr>
          <w:trHeight w:val="1534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531760" w14:textId="77777777" w:rsidR="00AA5321" w:rsidRDefault="00A45050">
            <w:pPr>
              <w:ind w:left="5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Codru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codru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mijlociu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)</w:t>
            </w:r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B496AB" w14:textId="12E4F822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Împlinirea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vârstei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exploatabilității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absolute.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fructificație</w:t>
            </w:r>
            <w:proofErr w:type="spellEnd"/>
            <w:r w:rsidR="00294A8A">
              <w:rPr>
                <w:rFonts w:ascii="Times New Roman" w:eastAsia="Times New Roman" w:hAnsi="Times New Roman" w:cs="Times New Roman"/>
                <w:sz w:val="19"/>
              </w:rPr>
              <w:t>;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realizează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de climax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corespunzătoare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unei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maxime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stabilități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eficacități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polifuncționale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curentă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află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scădere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504DAF7" w14:textId="528AABE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Începutul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exploatabilității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fizice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când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arboretul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degradare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respectiv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când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volumul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eliminării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naturale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depășește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mod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sistematic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creștere</w:t>
            </w:r>
            <w:r w:rsidR="00C64E6C">
              <w:rPr>
                <w:rFonts w:ascii="Times New Roman" w:eastAsia="Times New Roman" w:hAnsi="Times New Roman" w:cs="Times New Roman"/>
                <w:sz w:val="19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curentă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</w:tr>
      <w:tr w:rsidR="00AA5321" w14:paraId="35AB06F5" w14:textId="77777777">
        <w:trPr>
          <w:trHeight w:val="254"/>
        </w:trPr>
        <w:tc>
          <w:tcPr>
            <w:tcW w:w="14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E3C757" w14:textId="77777777" w:rsidR="00AA5321" w:rsidRDefault="00A4505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Codru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bătrân</w:t>
            </w:r>
            <w:proofErr w:type="spellEnd"/>
          </w:p>
        </w:tc>
        <w:tc>
          <w:tcPr>
            <w:tcW w:w="37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304EF" w14:textId="77777777" w:rsidR="00AA5321" w:rsidRDefault="00A45050"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Începutul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perioadei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exploatabilității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fizice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.</w:t>
            </w:r>
          </w:p>
        </w:tc>
        <w:tc>
          <w:tcPr>
            <w:tcW w:w="3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124BC" w14:textId="77777777" w:rsidR="00AA5321" w:rsidRDefault="00AA5321"/>
        </w:tc>
      </w:tr>
    </w:tbl>
    <w:p w14:paraId="7D36A37E" w14:textId="77777777" w:rsidR="00AA5321" w:rsidRDefault="00A45050">
      <w:pPr>
        <w:spacing w:line="266" w:lineRule="auto"/>
      </w:pPr>
      <w:r>
        <w:rPr>
          <w:rFonts w:ascii="Times New Roman" w:eastAsia="Times New Roman" w:hAnsi="Times New Roman" w:cs="Times New Roman"/>
          <w:sz w:val="19"/>
        </w:rPr>
        <w:t xml:space="preserve">* Se </w:t>
      </w:r>
      <w:proofErr w:type="spellStart"/>
      <w:r>
        <w:rPr>
          <w:rFonts w:ascii="Times New Roman" w:eastAsia="Times New Roman" w:hAnsi="Times New Roman" w:cs="Times New Roman"/>
          <w:sz w:val="19"/>
        </w:rPr>
        <w:t>aplică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arboretelor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de tip natural </w:t>
      </w:r>
      <w:proofErr w:type="spellStart"/>
      <w:r>
        <w:rPr>
          <w:rFonts w:ascii="Times New Roman" w:eastAsia="Times New Roman" w:hAnsi="Times New Roman" w:cs="Times New Roman"/>
          <w:sz w:val="19"/>
        </w:rPr>
        <w:t>provenite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19"/>
        </w:rPr>
        <w:t>sămânță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9"/>
        </w:rPr>
        <w:t>plantații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sau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lăstari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. Nu se </w:t>
      </w:r>
      <w:proofErr w:type="spellStart"/>
      <w:r>
        <w:rPr>
          <w:rFonts w:ascii="Times New Roman" w:eastAsia="Times New Roman" w:hAnsi="Times New Roman" w:cs="Times New Roman"/>
          <w:sz w:val="19"/>
        </w:rPr>
        <w:t>referă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19"/>
        </w:rPr>
        <w:t>culturile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forestiere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sz w:val="19"/>
        </w:rPr>
        <w:t>agricol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19"/>
        </w:rPr>
        <w:t>culturi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9"/>
        </w:rPr>
        <w:t>plopi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selecționați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9"/>
        </w:rPr>
        <w:t>culturi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intensive </w:t>
      </w:r>
      <w:proofErr w:type="spellStart"/>
      <w:r>
        <w:rPr>
          <w:rFonts w:ascii="Times New Roman" w:eastAsia="Times New Roman" w:hAnsi="Times New Roman" w:cs="Times New Roman"/>
          <w:sz w:val="19"/>
        </w:rPr>
        <w:t>pentru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celuloză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etc.</w:t>
      </w:r>
    </w:p>
    <w:sectPr w:rsidR="00AA5321">
      <w:pgSz w:w="11906" w:h="16838"/>
      <w:pgMar w:top="1440" w:right="1094" w:bottom="1440" w:left="19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21"/>
    <w:rsid w:val="00294A8A"/>
    <w:rsid w:val="00A45050"/>
    <w:rsid w:val="00AA5321"/>
    <w:rsid w:val="00B43079"/>
    <w:rsid w:val="00C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E273"/>
  <w15:docId w15:val="{93D42548-113A-49AE-A4B1-4F281CC6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B0EA9-72C2-42BF-86D7-409B9F27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C.xlsx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C.xlsx</dc:title>
  <dc:subject/>
  <dc:creator>user</dc:creator>
  <cp:keywords/>
  <cp:lastModifiedBy>APA</cp:lastModifiedBy>
  <cp:revision>5</cp:revision>
  <dcterms:created xsi:type="dcterms:W3CDTF">2020-03-21T16:13:00Z</dcterms:created>
  <dcterms:modified xsi:type="dcterms:W3CDTF">2020-05-25T20:50:00Z</dcterms:modified>
</cp:coreProperties>
</file>