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6B7C8F"/>
          <w:sz w:val="19"/>
          <w:szCs w:val="19"/>
        </w:rPr>
        <w:t xml:space="preserve">MAQALEED DIGITAL  ·  MyVetiCare Governance Lane</w:t>
      </w:r>
    </w:p>
    <w:p>
      <w:pPr>
        <w:spacing w:after="100"/>
      </w:pPr>
      <w:r>
        <w:rPr>
          <w:rFonts w:ascii="Consolas" w:cs="Consolas" w:eastAsia="Consolas" w:hAnsi="Consolas"/>
          <w:b/>
          <w:bCs/>
          <w:color w:val="1A3A5C"/>
          <w:sz w:val="34"/>
          <w:szCs w:val="34"/>
        </w:rPr>
        <w:t xml:space="preserve">MVC-CLOSE-001 V1.1</w:t>
      </w:r>
    </w:p>
    <w:p>
      <w:pPr>
        <w:spacing w:after="235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Closure Run Execution Package — Phase-A Execution Boundary</w:t>
      </w:r>
    </w:p>
    <w:tbl>
      <w:tblPr>
        <w:tblW w:type="dxa" w:w="9746"/>
        <w:tblBorders>
          <w:top w:val="single" w:color="A9BACB" w:sz="4"/>
          <w:left w:val="single" w:color="A9BACB" w:sz="4"/>
          <w:bottom w:val="single" w:color="A9BACB" w:sz="4"/>
          <w:right w:val="single" w:color="A9BACB" w:sz="4"/>
          <w:insideH w:val="single" w:color="C8D3DF" w:sz="2"/>
          <w:insideV w:val="single" w:color="C8D3DF" w:sz="2"/>
        </w:tblBorders>
      </w:tblPr>
      <w:tblGrid>
        <w:gridCol w:w="2339"/>
        <w:gridCol w:w="7407"/>
      </w:tblGrid>
      <w:tr>
        <w:trPr>
          <w:tblHeader/>
        </w:trPr>
        <w:tc>
          <w:tcPr>
            <w:tcW w:type="dxa" w:w="2339"/>
            <w:shd w:fill="1A3A5C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407"/>
            <w:shd w:fill="1A3A5C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339"/>
            <w:shd w:fill="FFFFFF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Instrument class</w:t>
            </w:r>
          </w:p>
        </w:tc>
        <w:tc>
          <w:tcPr>
            <w:tcW w:type="dxa" w:w="7407"/>
            <w:shd w:fill="FFFFFF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EXECUTION PACKAGE — a procedure to be run, not an assessment to be read</w:t>
            </w:r>
          </w:p>
        </w:tc>
      </w:tr>
      <w:tr>
        <w:tc>
          <w:tcPr>
            <w:tcW w:type="dxa" w:w="2339"/>
            <w:shd w:fill="F5F8FB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Version</w:t>
            </w:r>
          </w:p>
        </w:tc>
        <w:tc>
          <w:tcPr>
            <w:tcW w:type="dxa" w:w="7407"/>
            <w:shd w:fill="F5F8FB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V1.1 · amends V1.0 on new evidence: the Sponsor Phase-A Execution Boundary direction, 30 Aug 2026.</w:t>
            </w:r>
          </w:p>
        </w:tc>
      </w:tr>
      <w:tr>
        <w:tc>
          <w:tcPr>
            <w:tcW w:type="dxa" w:w="2339"/>
            <w:shd w:fill="FFFFFF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Supersedes</w:t>
            </w:r>
          </w:p>
        </w:tc>
        <w:tc>
          <w:tcPr>
            <w:tcW w:type="dxa" w:w="7407"/>
            <w:shd w:fill="FFFFFF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MVC-CLOSE-001 V1.0 for execution purposes. V1.0 is SUPERSEDED, not withdrawn — it may have entered custody legitimately and is cited historically.</w:t>
            </w:r>
          </w:p>
        </w:tc>
      </w:tr>
      <w:tr>
        <w:tc>
          <w:tcPr>
            <w:tcW w:type="dxa" w:w="2339"/>
            <w:shd w:fill="F5F8FB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Change of substance</w:t>
            </w:r>
          </w:p>
        </w:tc>
        <w:tc>
          <w:tcPr>
            <w:tcW w:type="dxa" w:w="7407"/>
            <w:shd w:fill="F5F8FB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The acceptance target splits into TWO certifications. Engineering may begin on Phase-A while four external clocks run.</w:t>
            </w:r>
          </w:p>
        </w:tc>
      </w:tr>
      <w:tr>
        <w:tc>
          <w:tcPr>
            <w:tcW w:type="dxa" w:w="2339"/>
            <w:shd w:fill="FFFFFF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Sponsor acts to run it</w:t>
            </w:r>
          </w:p>
        </w:tc>
        <w:tc>
          <w:tcPr>
            <w:tcW w:type="dxa" w:w="7407"/>
            <w:shd w:fill="FFFFFF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ZERO. Three irreversible acts are batched at CP-1, CP-2, CP-3 and never stall the run.</w:t>
            </w:r>
          </w:p>
        </w:tc>
      </w:tr>
      <w:tr>
        <w:tc>
          <w:tcPr>
            <w:tcW w:type="dxa" w:w="2339"/>
            <w:shd w:fill="F5F8FB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Closes</w:t>
            </w:r>
          </w:p>
        </w:tc>
        <w:tc>
          <w:tcPr>
            <w:tcW w:type="dxa" w:w="7407"/>
            <w:shd w:fill="F5F8FB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No gap by itself. Authorises no build. It is the instrument that closes gaps when run.</w:t>
            </w:r>
          </w:p>
        </w:tc>
      </w:tr>
    </w:tbl>
    <w:p>
      <w:pPr>
        <w:pBdr>
          <w:left w:val="single" w:color="1A3A5C" w:sz="18" w:space="10"/>
        </w:pBdr>
        <w:shd w:fill="EAF3F8" w:val="clear"/>
        <w:spacing w:after="145" w:before="145"/>
        <w:ind w:left="165" w:right="105"/>
      </w:pPr>
      <w:r>
        <w:rPr>
          <w:rFonts w:ascii="Calibri" w:cs="Calibri" w:eastAsia="Calibri" w:hAnsi="Calibri"/>
          <w:b/>
          <w:bCs/>
          <w:color w:val="1A3A5C"/>
          <w:sz w:val="21"/>
          <w:szCs w:val="21"/>
        </w:rPr>
        <w:t xml:space="preserve">WHAT CHANGED FROM V1.0  </w:t>
      </w:r>
      <w:r>
        <w:rPr>
          <w:rFonts w:ascii="Calibri" w:cs="Calibri" w:eastAsia="Calibri" w:hAnsi="Calibri"/>
          <w:sz w:val="21"/>
          <w:szCs w:val="21"/>
        </w:rPr>
        <w:t xml:space="preserve">V1.0 targeted a single BUILD-READY certification, which no amount of internal work could reach while ARCH-02, P2, REG-15 and EV-16 remain externally gated. V1.1 splits that into PHASE_A_EXECUTION_READY and FULL_PRODUCT_BUILD_READY. The four external items are not closed and are not pretended closed — they are removed from the Phase-A critical path by governed fences, or kept execution-blocking where the anti-defer rule says they must stay.</w:t>
      </w:r>
    </w:p>
    <w:p>
      <w:r>
        <w:br w:type="page"/>
      </w:r>
    </w:p>
    <w:p>
      <w:pPr>
        <w:pStyle w:val="Heading1"/>
        <w:spacing w:after="145" w:before="330"/>
      </w:pPr>
      <w:r>
        <w:rPr>
          <w:rFonts w:ascii="Calibri" w:cs="Calibri" w:eastAsia="Calibri" w:hAnsi="Calibri"/>
          <w:b/>
          <w:bCs/>
          <w:color w:val="1A3A5C"/>
          <w:sz w:val="29"/>
          <w:szCs w:val="29"/>
        </w:rPr>
        <w:t xml:space="preserve">1 · Honest position</w:t>
      </w:r>
    </w:p>
    <w:tbl>
      <w:tblPr>
        <w:tblW w:type="dxa" w:w="9746"/>
        <w:tblBorders>
          <w:top w:val="single" w:color="A9BACB" w:sz="4"/>
          <w:left w:val="single" w:color="A9BACB" w:sz="4"/>
          <w:bottom w:val="single" w:color="A9BACB" w:sz="4"/>
          <w:right w:val="single" w:color="A9BACB" w:sz="4"/>
          <w:insideH w:val="single" w:color="C8D3DF" w:sz="2"/>
          <w:insideV w:val="single" w:color="C8D3DF" w:sz="2"/>
        </w:tblBorders>
      </w:tblPr>
      <w:tblGrid>
        <w:gridCol w:w="2339"/>
        <w:gridCol w:w="4093"/>
        <w:gridCol w:w="3314"/>
      </w:tblGrid>
      <w:tr>
        <w:trPr>
          <w:tblHeader/>
        </w:trPr>
        <w:tc>
          <w:tcPr>
            <w:tcW w:type="dxa" w:w="2339"/>
            <w:shd w:fill="1A3A5C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4093"/>
            <w:shd w:fill="1A3A5C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3314"/>
            <w:shd w:fill="1A3A5C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Consumes internal effort?</w:t>
            </w:r>
          </w:p>
        </w:tc>
      </w:tr>
      <w:tr>
        <w:tc>
          <w:tcPr>
            <w:tcW w:type="dxa" w:w="2339"/>
            <w:shd w:fill="FFFFFF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Internal closure</w:t>
            </w:r>
          </w:p>
        </w:tc>
        <w:tc>
          <w:tcPr>
            <w:tcW w:type="dxa" w:w="4093"/>
            <w:shd w:fill="FFFFFF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Decisions and specification exist but are not yet propagated into the canonical BRD and ledger.</w:t>
            </w:r>
          </w:p>
        </w:tc>
        <w:tc>
          <w:tcPr>
            <w:tcW w:type="dxa" w:w="3314"/>
            <w:shd w:fill="FFFFFF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YES — burned down continuously by this package</w:t>
            </w:r>
          </w:p>
        </w:tc>
      </w:tr>
      <w:tr>
        <w:tc>
          <w:tcPr>
            <w:tcW w:type="dxa" w:w="2339"/>
            <w:shd w:fill="F5F8FB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External authority</w:t>
            </w:r>
          </w:p>
        </w:tc>
        <w:tc>
          <w:tcPr>
            <w:tcW w:type="dxa" w:w="4093"/>
            <w:shd w:fill="F5F8FB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ARCH-02 · P2 · REG-15 · D-6 payment determination.</w:t>
            </w:r>
          </w:p>
        </w:tc>
        <w:tc>
          <w:tcPr>
            <w:tcW w:type="dxa" w:w="3314"/>
            <w:shd w:fill="F5F8FB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A33A00"/>
                <w:sz w:val="18"/>
                <w:szCs w:val="18"/>
              </w:rPr>
              <w:t xml:space="preserve">NO — counsel clock. Fenced, not closed.</w:t>
            </w:r>
          </w:p>
        </w:tc>
      </w:tr>
      <w:tr>
        <w:tc>
          <w:tcPr>
            <w:tcW w:type="dxa" w:w="2339"/>
            <w:shd w:fill="FFFFFF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External commercial</w:t>
            </w:r>
          </w:p>
        </w:tc>
        <w:tc>
          <w:tcPr>
            <w:tcW w:type="dxa" w:w="4093"/>
            <w:shd w:fill="FFFFFF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EV-16 drug-reference licence.</w:t>
            </w:r>
          </w:p>
        </w:tc>
        <w:tc>
          <w:tcPr>
            <w:tcW w:type="dxa" w:w="3314"/>
            <w:shd w:fill="FFFFFF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B3261E"/>
                <w:sz w:val="18"/>
                <w:szCs w:val="18"/>
              </w:rPr>
              <w:t xml:space="preserve">NO — third-party negotiation. Fenced, not closed.</w:t>
            </w:r>
          </w:p>
        </w:tc>
      </w:tr>
    </w:tbl>
    <w:p>
      <w:pPr>
        <w:spacing w:after="115" w:line="27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 paragraph in this or any other instrument can close ARCH-02, P2, REG-15 or EV-16. The Phase-A boundary does not lower that standard — it changes which certification those items gate.</w:t>
      </w:r>
    </w:p>
    <w:p>
      <w:pPr>
        <w:pStyle w:val="Heading1"/>
        <w:spacing w:after="145" w:before="330"/>
      </w:pPr>
      <w:r>
        <w:rPr>
          <w:rFonts w:ascii="Calibri" w:cs="Calibri" w:eastAsia="Calibri" w:hAnsi="Calibri"/>
          <w:b/>
          <w:bCs/>
          <w:color w:val="1A3A5C"/>
          <w:sz w:val="29"/>
          <w:szCs w:val="29"/>
        </w:rPr>
        <w:t xml:space="preserve">2 · Enumerated writes</w:t>
      </w:r>
    </w:p>
    <w:p>
      <w:pPr>
        <w:spacing w:after="115" w:line="274"/>
      </w:pPr>
      <w:r>
        <w:rPr>
          <w:rFonts w:ascii="Calibri" w:cs="Calibri" w:eastAsia="Calibri" w:hAnsi="Calibri"/>
          <w:sz w:val="21"/>
          <w:szCs w:val="21"/>
        </w:rPr>
        <w:t xml:space="preserve">Every write the run makes, listed before any executes. Nothing outside this list is written.</w:t>
      </w:r>
    </w:p>
    <w:tbl>
      <w:tblPr>
        <w:tblW w:type="dxa" w:w="9746"/>
        <w:tblBorders>
          <w:top w:val="single" w:color="A9BACB" w:sz="4"/>
          <w:left w:val="single" w:color="A9BACB" w:sz="4"/>
          <w:bottom w:val="single" w:color="A9BACB" w:sz="4"/>
          <w:right w:val="single" w:color="A9BACB" w:sz="4"/>
          <w:insideH w:val="single" w:color="C8D3DF" w:sz="2"/>
          <w:insideV w:val="single" w:color="C8D3DF" w:sz="2"/>
        </w:tblBorders>
      </w:tblPr>
      <w:tblGrid>
        <w:gridCol w:w="487"/>
        <w:gridCol w:w="5555"/>
        <w:gridCol w:w="3704"/>
      </w:tblGrid>
      <w:tr>
        <w:trPr>
          <w:tblHeader/>
        </w:trPr>
        <w:tc>
          <w:tcPr>
            <w:tcW w:type="dxa" w:w="487"/>
            <w:shd w:fill="1A3A5C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555"/>
            <w:shd w:fill="1A3A5C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Write</w:t>
            </w:r>
          </w:p>
        </w:tc>
        <w:tc>
          <w:tcPr>
            <w:tcW w:type="dxa" w:w="3704"/>
            <w:shd w:fill="1A3A5C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Reversible?</w:t>
            </w:r>
          </w:p>
        </w:tc>
      </w:tr>
      <w:tr>
        <w:tc>
          <w:tcPr>
            <w:tcW w:type="dxa" w:w="487"/>
            <w:shd w:fill="FFFFFF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W1</w:t>
            </w:r>
          </w:p>
        </w:tc>
        <w:tc>
          <w:tcPr>
            <w:tcW w:type="dxa" w:w="5555"/>
            <w:shd w:fill="FFFFFF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Land MVC-BENCH-001 V1.1; record SHA-256. BENCH V1.0 never lands.</w:t>
            </w:r>
          </w:p>
        </w:tc>
        <w:tc>
          <w:tcPr>
            <w:tcW w:type="dxa" w:w="3704"/>
            <w:shd w:fill="FFFFFF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Create-only.</w:t>
            </w:r>
          </w:p>
        </w:tc>
      </w:tr>
      <w:tr>
        <w:tc>
          <w:tcPr>
            <w:tcW w:type="dxa" w:w="487"/>
            <w:shd w:fill="F5F8FB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W2</w:t>
            </w:r>
          </w:p>
        </w:tc>
        <w:tc>
          <w:tcPr>
            <w:tcW w:type="dxa" w:w="5555"/>
            <w:shd w:fill="F5F8FB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Issue MVC-GAP-001 V1.7; V1.6 preserved byte-for-byte.</w:t>
            </w:r>
          </w:p>
        </w:tc>
        <w:tc>
          <w:tcPr>
            <w:tcW w:type="dxa" w:w="3704"/>
            <w:shd w:fill="F5F8FB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Create-only.</w:t>
            </w:r>
          </w:p>
        </w:tc>
      </w:tr>
      <w:tr>
        <w:tc>
          <w:tcPr>
            <w:tcW w:type="dxa" w:w="487"/>
            <w:shd w:fill="FFFFFF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W3</w:t>
            </w:r>
          </w:p>
        </w:tc>
        <w:tc>
          <w:tcPr>
            <w:tcW w:type="dxa" w:w="5555"/>
            <w:shd w:fill="FFFFFF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Author ARCH-05 gap row with the D-2R disposition.</w:t>
            </w:r>
          </w:p>
        </w:tc>
        <w:tc>
          <w:tcPr>
            <w:tcW w:type="dxa" w:w="3704"/>
            <w:shd w:fill="FFFFFF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Create-only.</w:t>
            </w:r>
          </w:p>
        </w:tc>
      </w:tr>
      <w:tr>
        <w:tc>
          <w:tcPr>
            <w:tcW w:type="dxa" w:w="487"/>
            <w:shd w:fill="F5F8FB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W4</w:t>
            </w:r>
          </w:p>
        </w:tc>
        <w:tc>
          <w:tcPr>
            <w:tcW w:type="dxa" w:w="5555"/>
            <w:shd w:fill="F5F8FB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Record ARCH-01 per the applicable arithmetic branch (§4.3).</w:t>
            </w:r>
          </w:p>
        </w:tc>
        <w:tc>
          <w:tcPr>
            <w:tcW w:type="dxa" w:w="3704"/>
            <w:shd w:fill="F5F8FB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Create-only.</w:t>
            </w:r>
          </w:p>
        </w:tc>
      </w:tr>
      <w:tr>
        <w:tc>
          <w:tcPr>
            <w:tcW w:type="dxa" w:w="487"/>
            <w:shd w:fill="FFFFFF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W5</w:t>
            </w:r>
          </w:p>
        </w:tc>
        <w:tc>
          <w:tcPr>
            <w:tcW w:type="dxa" w:w="5555"/>
            <w:shd w:fill="FFFFFF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Record ENG-12 limb 8 = VOIDED_BY_RE_SCOPE, superseding authority D-2R.</w:t>
            </w:r>
          </w:p>
        </w:tc>
        <w:tc>
          <w:tcPr>
            <w:tcW w:type="dxa" w:w="3704"/>
            <w:shd w:fill="FFFFFF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Create-only.</w:t>
            </w:r>
          </w:p>
        </w:tc>
      </w:tr>
      <w:tr>
        <w:tc>
          <w:tcPr>
            <w:tcW w:type="dxa" w:w="487"/>
            <w:shd w:fill="F5F8FB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W6</w:t>
            </w:r>
          </w:p>
        </w:tc>
        <w:tc>
          <w:tcPr>
            <w:tcW w:type="dxa" w:w="5555"/>
            <w:shd w:fill="F5F8FB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Record EV-26 release in the Annex B evidence-allocation record.</w:t>
            </w:r>
          </w:p>
        </w:tc>
        <w:tc>
          <w:tcPr>
            <w:tcW w:type="dxa" w:w="3704"/>
            <w:shd w:fill="F5F8FB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Create-only.</w:t>
            </w:r>
          </w:p>
        </w:tc>
      </w:tr>
      <w:tr>
        <w:tc>
          <w:tcPr>
            <w:tcW w:type="dxa" w:w="487"/>
            <w:shd w:fill="FFFFFF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W7</w:t>
            </w:r>
          </w:p>
        </w:tc>
        <w:tc>
          <w:tcPr>
            <w:tcW w:type="dxa" w:w="5555"/>
            <w:shd w:fill="FFFFFF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Author §5 requirement texts into MVC-SPEC-001 V3.1. V3.0 preserved.</w:t>
            </w:r>
          </w:p>
        </w:tc>
        <w:tc>
          <w:tcPr>
            <w:tcW w:type="dxa" w:w="3704"/>
            <w:shd w:fill="FFFFFF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Create-only.</w:t>
            </w:r>
          </w:p>
        </w:tc>
      </w:tr>
      <w:tr>
        <w:tc>
          <w:tcPr>
            <w:tcW w:type="dxa" w:w="487"/>
            <w:shd w:fill="F5F8FB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W8</w:t>
            </w:r>
          </w:p>
        </w:tc>
        <w:tc>
          <w:tcPr>
            <w:tcW w:type="dxa" w:w="5555"/>
            <w:shd w:fill="F5F8FB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Author the four-class classification of every remaining gap into V1.7 Annex.</w:t>
            </w:r>
          </w:p>
        </w:tc>
        <w:tc>
          <w:tcPr>
            <w:tcW w:type="dxa" w:w="3704"/>
            <w:shd w:fill="F5F8FB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Create-only.</w:t>
            </w:r>
          </w:p>
        </w:tc>
      </w:tr>
      <w:tr>
        <w:tc>
          <w:tcPr>
            <w:tcW w:type="dxa" w:w="487"/>
            <w:shd w:fill="FFFFFF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W9</w:t>
            </w:r>
          </w:p>
        </w:tc>
        <w:tc>
          <w:tcPr>
            <w:tcW w:type="dxa" w:w="5555"/>
            <w:shd w:fill="FFFFFF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Author the counsel pack and EV-16 outreach artefacts at anchored paths.</w:t>
            </w:r>
          </w:p>
        </w:tc>
        <w:tc>
          <w:tcPr>
            <w:tcW w:type="dxa" w:w="3704"/>
            <w:shd w:fill="FFFFFF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Create-only.</w:t>
            </w:r>
          </w:p>
        </w:tc>
      </w:tr>
      <w:tr>
        <w:tc>
          <w:tcPr>
            <w:tcW w:type="dxa" w:w="487"/>
            <w:shd w:fill="F5F8FB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W10</w:t>
            </w:r>
          </w:p>
        </w:tc>
        <w:tc>
          <w:tcPr>
            <w:tcW w:type="dxa" w:w="5555"/>
            <w:shd w:fill="F5F8FB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Assemble MVC-BRD-001 V3.2 if and only if the §8.1 gate passes.</w:t>
            </w:r>
          </w:p>
        </w:tc>
        <w:tc>
          <w:tcPr>
            <w:tcW w:type="dxa" w:w="3704"/>
            <w:shd w:fill="F5F8FB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Create-only.</w:t>
            </w:r>
          </w:p>
        </w:tc>
      </w:tr>
      <w:tr>
        <w:tc>
          <w:tcPr>
            <w:tcW w:type="dxa" w:w="487"/>
            <w:shd w:fill="FFFFFF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W11</w:t>
            </w:r>
          </w:p>
        </w:tc>
        <w:tc>
          <w:tcPr>
            <w:tcW w:type="dxa" w:w="5555"/>
            <w:shd w:fill="FFFFFF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Author MVC-RT-003 final red-team report.</w:t>
            </w:r>
          </w:p>
        </w:tc>
        <w:tc>
          <w:tcPr>
            <w:tcW w:type="dxa" w:w="3704"/>
            <w:shd w:fill="FFFFFF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Create-only.</w:t>
            </w:r>
          </w:p>
        </w:tc>
      </w:tr>
      <w:tr>
        <w:tc>
          <w:tcPr>
            <w:tcW w:type="dxa" w:w="487"/>
            <w:shd w:fill="F5F8FB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W12</w:t>
            </w:r>
          </w:p>
        </w:tc>
        <w:tc>
          <w:tcPr>
            <w:tcW w:type="dxa" w:w="5555"/>
            <w:shd w:fill="F5F8FB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Author MVC-EXEC-001 V1.0 Phase-A Engineering Execution Contract.</w:t>
            </w:r>
          </w:p>
        </w:tc>
        <w:tc>
          <w:tcPr>
            <w:tcW w:type="dxa" w:w="3704"/>
            <w:shd w:fill="F5F8FB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Create-only. NEW in V1.1.</w:t>
            </w:r>
          </w:p>
        </w:tc>
      </w:tr>
      <w:tr>
        <w:tc>
          <w:tcPr>
            <w:tcW w:type="dxa" w:w="487"/>
            <w:shd w:fill="FFFFFF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W13</w:t>
            </w:r>
          </w:p>
        </w:tc>
        <w:tc>
          <w:tcPr>
            <w:tcW w:type="dxa" w:w="5555"/>
            <w:shd w:fill="FFFFFF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Create the ARCH-05 Decision Log row at Status = Proposed.</w:t>
            </w:r>
          </w:p>
        </w:tc>
        <w:tc>
          <w:tcPr>
            <w:tcW w:type="dxa" w:w="3704"/>
            <w:shd w:fill="FFFFFF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A33A00"/>
                <w:sz w:val="18"/>
                <w:szCs w:val="18"/>
              </w:rPr>
              <w:t xml:space="preserve">CREATE ONLY — lock NOT taken. Collected at CP-1.</w:t>
            </w:r>
          </w:p>
        </w:tc>
      </w:tr>
      <w:tr>
        <w:tc>
          <w:tcPr>
            <w:tcW w:type="dxa" w:w="487"/>
            <w:shd w:fill="F5F8FB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5555"/>
            <w:shd w:fill="F5F8FB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PHASE_A_EXECUTION_READY certification.</w:t>
            </w:r>
          </w:p>
        </w:tc>
        <w:tc>
          <w:tcPr>
            <w:tcW w:type="dxa" w:w="3704"/>
            <w:shd w:fill="F5F8FB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8"/>
                <w:szCs w:val="18"/>
              </w:rPr>
              <w:t xml:space="preserve">IRREVERSIBLE — Sponsor act. CP-2.</w:t>
            </w:r>
          </w:p>
        </w:tc>
      </w:tr>
      <w:tr>
        <w:tc>
          <w:tcPr>
            <w:tcW w:type="dxa" w:w="487"/>
            <w:shd w:fill="FFFFFF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5555"/>
            <w:shd w:fill="FFFFFF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FULL_PRODUCT_BUILD_READY certification.</w:t>
            </w:r>
          </w:p>
        </w:tc>
        <w:tc>
          <w:tcPr>
            <w:tcW w:type="dxa" w:w="3704"/>
            <w:shd w:fill="FFFFFF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8"/>
                <w:szCs w:val="18"/>
              </w:rPr>
              <w:t xml:space="preserve">IRREVERSIBLE — Sponsor act. CP-3.</w:t>
            </w:r>
          </w:p>
        </w:tc>
      </w:tr>
    </w:tbl>
    <w:p>
      <w:pPr>
        <w:spacing w:after="115" w:line="27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W1–W13 are create-only and mutate no ratified artefact. The run executes them without stopping. No certification is ever taken by the run.</w:t>
      </w:r>
    </w:p>
    <w:p>
      <w:r>
        <w:br w:type="page"/>
      </w:r>
    </w:p>
    <w:p>
      <w:pPr>
        <w:pStyle w:val="Heading1"/>
        <w:spacing w:after="145" w:before="330"/>
      </w:pPr>
      <w:r>
        <w:rPr>
          <w:rFonts w:ascii="Calibri" w:cs="Calibri" w:eastAsia="Calibri" w:hAnsi="Calibri"/>
          <w:b/>
          <w:bCs/>
          <w:color w:val="1A3A5C"/>
          <w:sz w:val="29"/>
          <w:szCs w:val="29"/>
        </w:rPr>
        <w:t xml:space="preserve">3 · Stage 1 — mechanical predicates</w:t>
      </w:r>
    </w:p>
    <w:p>
      <w:pPr>
        <w:spacing w:after="115" w:line="274"/>
      </w:pPr>
      <w:r>
        <w:rPr>
          <w:rFonts w:ascii="Calibri" w:cs="Calibri" w:eastAsia="Calibri" w:hAnsi="Calibri"/>
          <w:sz w:val="21"/>
          <w:szCs w:val="21"/>
        </w:rPr>
        <w:t xml:space="preserve">Run against the artefacts themselves. A Sponsor reading of a ledger is not a substitute — a Sponsor answer moves a question forward but does not make it E0.</w:t>
      </w:r>
    </w:p>
    <w:p>
      <w:pPr>
        <w:pBdr>
          <w:left w:val="single" w:color="2E5C86" w:sz="12" w:space="8"/>
        </w:pBdr>
        <w:shd w:fill="F2F4F7" w:val="clear"/>
        <w:spacing w:after="145" w:before="95"/>
        <w:ind w:left="165"/>
      </w:pPr>
      <w:r>
        <w:rPr>
          <w:rFonts w:ascii="Consolas" w:cs="Consolas" w:eastAsia="Consolas" w:hAnsi="Consolas"/>
          <w:sz w:val="16"/>
          <w:szCs w:val="16"/>
        </w:rPr>
        <w:t xml:space="preserve">P1  EV-26 CLASSIFICATION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P1.a  Enumerate all 87 frozen rows in MVC-GAP-001 V1.6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P1.b  Prove whether EV-26 is among them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P1.c  Read MVC-RUN-001 V1.0 directly. Prove EV-25..EV-44 allocation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chronology.  An identifier postdating the freeze cannot be one of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the 87.  Absence of MVC-RUN-001 = S-0 HALT; do not infer.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/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P2  IDENTIFIER OCCUPANCY  (current state, not V1.6 alone)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P2.a  Sweep ARCH namespace across V1.6 + MVC-RUN-001 + later allocations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P2.b  Prove ARCH-05 unoccupied before allocating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P2.c  OPS-11 is NOT allocated in MyVetiCare — the scale-1 Maqaleed CSID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obligation belongs to BILL-001 / finance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P2.d  OPS-08 / OPS-09 provenance established before ANY OPS reuse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P2.e  EXEC namespace swept before allocating MVC-EXEC-001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/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P3  ARCH-01 CLOSURE CONDITIONS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P3.a  ARCH-01 open in V1.6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P3.b  DS-1..DS-8 authored and traced at MVC-SPEC-001 V3.0 Annex H, with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the clause → requirement → acceptance-criterion table intact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P3.c  PGD-ARCH-01-OFFLINE-SEGMENT read from the LIVE register: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Status=Ratified · Immutable Lock=YES · Date Ratified=2026-08-28.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A document quoting the register is NOT substitute evidence.</w:t>
      </w:r>
    </w:p>
    <w:p>
      <w:pPr>
        <w:pStyle w:val="Heading2"/>
        <w:spacing w:after="105" w:before="235"/>
      </w:pPr>
      <w:r>
        <w:rPr>
          <w:rFonts w:ascii="Calibri" w:cs="Calibri" w:eastAsia="Calibri" w:hAnsi="Calibri"/>
          <w:b/>
          <w:bCs/>
          <w:color w:val="2E5C86"/>
          <w:sz w:val="23"/>
          <w:szCs w:val="23"/>
        </w:rPr>
        <w:t xml:space="preserve">3.1 · Two valid arithmetic branches</w:t>
      </w:r>
    </w:p>
    <w:p>
      <w:pPr>
        <w:spacing w:after="115" w:line="274"/>
      </w:pPr>
      <w:r>
        <w:rPr>
          <w:rFonts w:ascii="Calibri" w:cs="Calibri" w:eastAsia="Calibri" w:hAnsi="Calibri"/>
          <w:sz w:val="21"/>
          <w:szCs w:val="21"/>
        </w:rPr>
        <w:t xml:space="preserve">Live-register unavailability is a degraded path, not a contradiction. Encoding both branches prevents a false S-1 halt.</w:t>
      </w:r>
    </w:p>
    <w:p>
      <w:pPr>
        <w:pBdr>
          <w:left w:val="single" w:color="2E5C86" w:sz="12" w:space="8"/>
        </w:pBdr>
        <w:shd w:fill="F2F4F7" w:val="clear"/>
        <w:spacing w:after="145" w:before="95"/>
        <w:ind w:left="165"/>
      </w:pPr>
      <w:r>
        <w:rPr>
          <w:rFonts w:ascii="Consolas" w:cs="Consolas" w:eastAsia="Consolas" w:hAnsi="Consolas"/>
          <w:sz w:val="16"/>
          <w:szCs w:val="16"/>
        </w:rPr>
        <w:t xml:space="preserve">BRANCH A — P3.c PASSES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ARCH-01 = CLOSED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87 − 1 (ARCH-01) + 1 (ARCH-05) = 87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/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BRANCH B — P3.c PENDING (live register unreachable)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ARCH-01 = CONDITIONS_SATISFIED_PENDING_LIVE_REGISTER_CUSTODY_CHECK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87 − 0 + 1 (ARCH-05) = 88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VALID DEGRADED RESULT.  NOT S-1.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/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S-1 fires only on evidence contradicting the underlying row state: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EV-26 is actually one of the 87 · ARCH-05 occupied · ARCH-01 not open in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V1.6 · DS-1..DS-8 incomplete · live register reachable but its fields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contradict · arithmetic irreconcilable from actual row movements.</w:t>
      </w:r>
    </w:p>
    <w:p>
      <w:pPr>
        <w:pStyle w:val="Heading1"/>
        <w:spacing w:after="145" w:before="330"/>
      </w:pPr>
      <w:r>
        <w:rPr>
          <w:rFonts w:ascii="Calibri" w:cs="Calibri" w:eastAsia="Calibri" w:hAnsi="Calibri"/>
          <w:b/>
          <w:bCs/>
          <w:color w:val="1A3A5C"/>
          <w:sz w:val="29"/>
          <w:szCs w:val="29"/>
        </w:rPr>
        <w:t xml:space="preserve">4 · Stage 2 — the pre-authored requirement texts</w:t>
      </w:r>
    </w:p>
    <w:p>
      <w:pPr>
        <w:spacing w:after="115" w:line="274"/>
      </w:pPr>
      <w:r>
        <w:rPr>
          <w:rFonts w:ascii="Calibri" w:cs="Calibri" w:eastAsia="Calibri" w:hAnsi="Calibri"/>
          <w:sz w:val="21"/>
          <w:szCs w:val="21"/>
        </w:rPr>
        <w:t xml:space="preserve">Authored in full so the run inserts and reconciles them rather than re-deriving them. All derive from D-2R, which is settled. Insert semantically — check for duplication and conflict against existing V3.0 content; do not blindly append.</w:t>
      </w:r>
    </w:p>
    <w:p>
      <w:pPr>
        <w:pStyle w:val="Heading3"/>
        <w:spacing w:after="88" w:before="185"/>
      </w:pPr>
      <w:r>
        <w:rPr>
          <w:rFonts w:ascii="Calibri" w:cs="Calibri" w:eastAsia="Calibri" w:hAnsi="Calibri"/>
          <w:b/>
          <w:bCs/>
          <w:color w:val="3D3D3D"/>
          <w:sz w:val="21"/>
          <w:szCs w:val="21"/>
        </w:rPr>
        <w:t xml:space="preserve">4.1 · Gross-not-net — PRD-13</w:t>
      </w:r>
    </w:p>
    <w:p>
      <w:pPr>
        <w:pBdr>
          <w:left w:val="single" w:color="2E5C86" w:sz="12" w:space="8"/>
        </w:pBdr>
        <w:shd w:fill="F2F4F7" w:val="clear"/>
        <w:spacing w:after="145" w:before="95"/>
        <w:ind w:left="165"/>
      </w:pPr>
      <w:r>
        <w:rPr>
          <w:rFonts w:ascii="Consolas" w:cs="Consolas" w:eastAsia="Consolas" w:hAnsi="Consolas"/>
          <w:sz w:val="16"/>
          <w:szCs w:val="16"/>
        </w:rPr>
        <w:t xml:space="preserve">REQ-FIN-G1  Gross consideration is an immutable commercial fact. The recorded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gross value of a clinic→owner transaction is the total consideration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payable by the owner, exclusive of any platform fee, commission,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payment cost, or deduction of any kind.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REQ-FIN-G2  Platform fees, commissions, payment-processing costs, refunds,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chargebacks and every other deduction are recorded as SEPARATE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movements referencing the gross sale. They must never mutate,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replace, or net against the recorded gross value.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REQ-FIN-G3  Net settlement is a DERIVED value, computed as gross less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referenced deductions. Never stored as an authoritative fact.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ACCEPTANCE  Recorded gross equals the value on the clinic's own compliant tax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invoice; AND no write path reduces a stored gross value.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Worked case: 330.00 gross · 6.60 fee · 323.40 derived net.</w:t>
      </w:r>
    </w:p>
    <w:p>
      <w:pPr>
        <w:pStyle w:val="Heading3"/>
        <w:spacing w:after="88" w:before="185"/>
      </w:pPr>
      <w:r>
        <w:rPr>
          <w:rFonts w:ascii="Calibri" w:cs="Calibri" w:eastAsia="Calibri" w:hAnsi="Calibri"/>
          <w:b/>
          <w:bCs/>
          <w:color w:val="3D3D3D"/>
          <w:sz w:val="21"/>
          <w:szCs w:val="21"/>
        </w:rPr>
        <w:t xml:space="preserve">4.2 · Seller-identity invariant — ARCH-05, binds ARCH-04</w:t>
      </w:r>
    </w:p>
    <w:p>
      <w:pPr>
        <w:pBdr>
          <w:left w:val="single" w:color="2E5C86" w:sz="12" w:space="8"/>
        </w:pBdr>
        <w:shd w:fill="F2F4F7" w:val="clear"/>
        <w:spacing w:after="145" w:before="95"/>
        <w:ind w:left="165"/>
      </w:pPr>
      <w:r>
        <w:rPr>
          <w:rFonts w:ascii="Consolas" w:cs="Consolas" w:eastAsia="Consolas" w:hAnsi="Consolas"/>
          <w:sz w:val="16"/>
          <w:szCs w:val="16"/>
        </w:rPr>
        <w:t xml:space="preserve">REQ-FIN-S1  Seller / taxpayer identity is an attribute of the transaction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record, set at creation from the clinic's own registration record,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and immutable thereafter.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REQ-FIN-S2  No payment, settlement, marketplace or fee-collection component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holds write authority over the seller-identity field. Enforced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structurally, not by convention or code review.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REQ-FIN-S3  Payment routing, fund flow, and whichever party receives funds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first must never determine or alter seller / taxpayer identity.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ACCEPTANCE  A build in which any payment-layer component can write the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seller-identity field FAILS. Static write-authority check.</w:t>
      </w:r>
    </w:p>
    <w:p>
      <w:pPr>
        <w:pStyle w:val="Heading3"/>
        <w:spacing w:after="88" w:before="185"/>
      </w:pPr>
      <w:r>
        <w:rPr>
          <w:rFonts w:ascii="Calibri" w:cs="Calibri" w:eastAsia="Calibri" w:hAnsi="Calibri"/>
          <w:b/>
          <w:bCs/>
          <w:color w:val="3D3D3D"/>
          <w:sz w:val="21"/>
          <w:szCs w:val="21"/>
        </w:rPr>
        <w:t xml:space="preserve">4.3 · NOT_A_TAX_INVOICE contract — owner-facing surface</w:t>
      </w:r>
    </w:p>
    <w:p>
      <w:pPr>
        <w:pBdr>
          <w:left w:val="single" w:color="2E5C86" w:sz="12" w:space="8"/>
        </w:pBdr>
        <w:shd w:fill="F2F4F7" w:val="clear"/>
        <w:spacing w:after="145" w:before="95"/>
        <w:ind w:left="165"/>
      </w:pPr>
      <w:r>
        <w:rPr>
          <w:rFonts w:ascii="Consolas" w:cs="Consolas" w:eastAsia="Consolas" w:hAnsi="Consolas"/>
          <w:sz w:val="16"/>
          <w:szCs w:val="16"/>
        </w:rPr>
        <w:t xml:space="preserve">REQ-UX-NTI-1  Any owner-facing artefact displaying priced line items carries an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explicit machine- and human-readable NOT_A_TAX_INVOICE designation.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REQ-UX-NTI-2  Such an artefact must NOT present VAT as a charge levied by the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platform; carry a QR code, cryptographic stamp, invoice sequence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number, ICV, PIH or clearance reference; or use the terms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"tax invoice" / "simplified tax invoice" or Arabic equivalents.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REQ-UX-NTI-3  It must state that the clinic issues the tax invoice.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ACCEPTANCE    The artefact fails ZATCA tax-invoice form on inspection.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A disclaimer alone does not satisfy this requirement.</w:t>
      </w:r>
    </w:p>
    <w:p>
      <w:pPr>
        <w:pStyle w:val="Heading3"/>
        <w:spacing w:after="88" w:before="185"/>
      </w:pPr>
      <w:r>
        <w:rPr>
          <w:rFonts w:ascii="Calibri" w:cs="Calibri" w:eastAsia="Calibri" w:hAnsi="Calibri"/>
          <w:b/>
          <w:bCs/>
          <w:color w:val="3D3D3D"/>
          <w:sz w:val="21"/>
          <w:szCs w:val="21"/>
        </w:rPr>
        <w:t xml:space="preserve">4.4 · No-show revenue owner — PRD-12</w:t>
      </w:r>
    </w:p>
    <w:p>
      <w:pPr>
        <w:pBdr>
          <w:left w:val="single" w:color="2E5C86" w:sz="12" w:space="8"/>
        </w:pBdr>
        <w:shd w:fill="F2F4F7" w:val="clear"/>
        <w:spacing w:after="145" w:before="95"/>
        <w:ind w:left="165"/>
      </w:pPr>
      <w:r>
        <w:rPr>
          <w:rFonts w:ascii="Consolas" w:cs="Consolas" w:eastAsia="Consolas" w:hAnsi="Consolas"/>
          <w:sz w:val="16"/>
          <w:szCs w:val="16"/>
        </w:rPr>
        <w:t xml:space="preserve">REQ-PRD12-NS  Every no-show, late-cancellation or deposit-forfeiture charge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carries an explicit revenue owner — CLINIC or PLATFORM —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determined at scheme configuration time, not at charge time.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ACCEPTANCE    No code path raises a charge whose revenue owner is null,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inferred, or defaulted.</w:t>
      </w:r>
    </w:p>
    <w:p>
      <w:r>
        <w:br w:type="page"/>
      </w:r>
    </w:p>
    <w:p>
      <w:pPr>
        <w:pStyle w:val="Heading1"/>
        <w:spacing w:after="145" w:before="330"/>
      </w:pPr>
      <w:r>
        <w:rPr>
          <w:rFonts w:ascii="Calibri" w:cs="Calibri" w:eastAsia="Calibri" w:hAnsi="Calibri"/>
          <w:b/>
          <w:bCs/>
          <w:color w:val="1A3A5C"/>
          <w:sz w:val="29"/>
          <w:szCs w:val="29"/>
        </w:rPr>
        <w:t xml:space="preserve">5 · Stage 3 — internal burn-down</w:t>
      </w:r>
    </w:p>
    <w:p>
      <w:pPr>
        <w:spacing w:after="115" w:line="274"/>
      </w:pPr>
      <w:r>
        <w:rPr>
          <w:rFonts w:ascii="Calibri" w:cs="Calibri" w:eastAsia="Calibri" w:hAnsi="Calibri"/>
          <w:sz w:val="21"/>
          <w:szCs w:val="21"/>
        </w:rPr>
        <w:t xml:space="preserve">Executed continuously. No Sponsor check-in between items. An item that cannot close is classified per §6 and the run proceeds.</w:t>
      </w:r>
    </w:p>
    <w:p>
      <w:pPr>
        <w:pBdr>
          <w:left w:val="single" w:color="2E5C86" w:sz="12" w:space="8"/>
        </w:pBdr>
        <w:shd w:fill="F2F4F7" w:val="clear"/>
        <w:spacing w:after="145" w:before="95"/>
        <w:ind w:left="165"/>
      </w:pPr>
      <w:r>
        <w:rPr>
          <w:rFonts w:ascii="Consolas" w:cs="Consolas" w:eastAsia="Consolas" w:hAnsi="Consolas"/>
          <w:sz w:val="16"/>
          <w:szCs w:val="16"/>
        </w:rPr>
        <w:t xml:space="preserve"> 1 ARCH-05 allocate + propagate §4.1–4.4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2 ARCH-03 re-direct — MVC owns invoice semantics, idempotency, workflow,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evidence. No ZATCA execution provider contract for clinic transactions.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3 ARCH-04 bind to REQ-FIN-S1..S3; marketplace release stays fenced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4 PRD-13 insert REQ-FIN-G1..G3; prove no requirement stores net as the sale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5 PRD-12 insert REQ-PRD12-NS; reconcile appointment/check-in/no-show model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6 PRD-14 resolve sole-practitioner initial authority grant explicitly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7 PRD-15 finish REQ-UX-8/9 corrections; no fifth surface class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8 ENG-13 enrollment → attestation → sealing authorisation → revocation/loss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→ reissue.  Device authority stays distinct from human authority.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9 SPEC-02 INT-MVC-5..8 under ratified deferral authority; INT-9 author or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withdraw; fix DST and provisional-trace defects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10 SPEC-01 to the genuine ARCH-02 boundary — do not author around it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11 GOV-11/12/14/15/16/17 batch · GOV-18/19 together · GOV-20 Tier-2 row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12 OPS-01 operating model · OPS-07 observability + G-5 · OPS-10 reconcile to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actual deployed-but-not-serving posture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13 REG-03/P3/X2 residency · REG-04 DPIA · REG-14 configurable retention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(invent no statutory periods)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14 EV-25..EV-44 integration across ~60 referencing lines, nine modules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15 architectural compatibility reconciliation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/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STANDING: no reopening GOV-21 · no reopening ARCH-01 once validly closed ·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no closure-by-drafting · Governed Audit Chain cryptography stays independent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of ZATCA · MyVetiCare executes no clinic ZATCA · clinic is seller/taxpayer ·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Maqaleed is seller/taxpayer only for its own platform fees (BILL-001).</w:t>
      </w:r>
    </w:p>
    <w:p>
      <w:pPr>
        <w:pStyle w:val="Heading1"/>
        <w:spacing w:after="145" w:before="330"/>
      </w:pPr>
      <w:r>
        <w:rPr>
          <w:rFonts w:ascii="Calibri" w:cs="Calibri" w:eastAsia="Calibri" w:hAnsi="Calibri"/>
          <w:b/>
          <w:bCs/>
          <w:color w:val="1A3A5C"/>
          <w:sz w:val="29"/>
          <w:szCs w:val="29"/>
        </w:rPr>
        <w:t xml:space="preserve">6 · Stage 4 — classification and the anti-defer rule</w:t>
      </w:r>
    </w:p>
    <w:p>
      <w:pPr>
        <w:pBdr>
          <w:left w:val="single" w:color="2E5C86" w:sz="12" w:space="8"/>
        </w:pBdr>
        <w:shd w:fill="F2F4F7" w:val="clear"/>
        <w:spacing w:after="145" w:before="95"/>
        <w:ind w:left="165"/>
      </w:pPr>
      <w:r>
        <w:rPr>
          <w:rFonts w:ascii="Consolas" w:cs="Consolas" w:eastAsia="Consolas" w:hAnsi="Consolas"/>
          <w:sz w:val="16"/>
          <w:szCs w:val="16"/>
        </w:rPr>
        <w:t xml:space="preserve">EXECUTION_BLOCKING  Changes the Phase-A build contract, OR fixes a data model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      whose later correction would require restating immutable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      history, OR is an authority the build must not proceed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      without.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RELEASE_BLOCKING    Build may proceed; the affected capability may not ship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      until it closes.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GOVERNED_DEFERRED   Outside Phase A with an explicit seam, a named reopening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      trigger, and a named owner. All three required.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CUSTODY_HYGIENE     Administrative or register correction.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/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TIE-BREAK  If later closure would require restating immutable history,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EXECUTION_BLOCKING wins regardless of apparent size.</w:t>
      </w:r>
    </w:p>
    <w:p>
      <w:pPr>
        <w:pStyle w:val="Heading2"/>
        <w:spacing w:after="105" w:before="235"/>
      </w:pPr>
      <w:r>
        <w:rPr>
          <w:rFonts w:ascii="Calibri" w:cs="Calibri" w:eastAsia="Calibri" w:hAnsi="Calibri"/>
          <w:b/>
          <w:bCs/>
          <w:color w:val="2E5C86"/>
          <w:sz w:val="23"/>
          <w:szCs w:val="23"/>
        </w:rPr>
        <w:t xml:space="preserve">6.1 · Anti-defer rule — binding</w:t>
      </w:r>
    </w:p>
    <w:p>
      <w:pPr>
        <w:spacing w:after="115" w:line="274"/>
      </w:pPr>
      <w:r>
        <w:rPr>
          <w:rFonts w:ascii="Calibri" w:cs="Calibri" w:eastAsia="Calibri" w:hAnsi="Calibri"/>
          <w:sz w:val="21"/>
          <w:szCs w:val="21"/>
        </w:rPr>
        <w:t xml:space="preserve">An item MUST remain EXECUTION_BLOCKING if deferring or fencing it would:</w:t>
      </w:r>
    </w:p>
    <w:p>
      <w:pPr>
        <w:pBdr>
          <w:left w:val="single" w:color="2E5C86" w:sz="12" w:space="8"/>
        </w:pBdr>
        <w:shd w:fill="F2F4F7" w:val="clear"/>
        <w:spacing w:after="145" w:before="95"/>
        <w:ind w:left="165"/>
      </w:pPr>
      <w:r>
        <w:rPr>
          <w:rFonts w:ascii="Consolas" w:cs="Consolas" w:eastAsia="Consolas" w:hAnsi="Consolas"/>
          <w:sz w:val="16"/>
          <w:szCs w:val="16"/>
        </w:rPr>
        <w:t xml:space="preserve">· change a Phase-A database invariant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· require rewriting immutable historical records later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· alter tenancy, or seller / taxpayer identity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· alter audit-chain partitioning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· alter authorization semantics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· change the legal actor responsible for an act already recorded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· require destructive migration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· make an included Phase-A requirement non-failable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· leave an externally-blocked capability reachable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/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This rule overrides convenience, schedule and commercial preference.</w:t>
      </w:r>
    </w:p>
    <w:p>
      <w:r>
        <w:br w:type="page"/>
      </w:r>
    </w:p>
    <w:p>
      <w:pPr>
        <w:pStyle w:val="Heading1"/>
        <w:spacing w:after="145" w:before="330"/>
      </w:pPr>
      <w:r>
        <w:rPr>
          <w:rFonts w:ascii="Calibri" w:cs="Calibri" w:eastAsia="Calibri" w:hAnsi="Calibri"/>
          <w:b/>
          <w:bCs/>
          <w:color w:val="1A3A5C"/>
          <w:sz w:val="29"/>
          <w:szCs w:val="29"/>
        </w:rPr>
        <w:t xml:space="preserve">7 · Stage 5 — Phase-A Execution Certification</w:t>
      </w:r>
    </w:p>
    <w:p>
      <w:pPr>
        <w:pStyle w:val="Heading2"/>
        <w:spacing w:after="105" w:before="235"/>
      </w:pPr>
      <w:r>
        <w:rPr>
          <w:rFonts w:ascii="Calibri" w:cs="Calibri" w:eastAsia="Calibri" w:hAnsi="Calibri"/>
          <w:b/>
          <w:bCs/>
          <w:color w:val="2E5C86"/>
          <w:sz w:val="23"/>
          <w:szCs w:val="23"/>
        </w:rPr>
        <w:t xml:space="preserve">7.1 · Two certifications, never conflated</w:t>
      </w:r>
    </w:p>
    <w:p>
      <w:pPr>
        <w:pBdr>
          <w:left w:val="single" w:color="2E5C86" w:sz="12" w:space="8"/>
        </w:pBdr>
        <w:shd w:fill="F2F4F7" w:val="clear"/>
        <w:spacing w:after="145" w:before="95"/>
        <w:ind w:left="165"/>
      </w:pPr>
      <w:r>
        <w:rPr>
          <w:rFonts w:ascii="Consolas" w:cs="Consolas" w:eastAsia="Consolas" w:hAnsi="Consolas"/>
          <w:sz w:val="16"/>
          <w:szCs w:val="16"/>
        </w:rPr>
        <w:t xml:space="preserve">A. PHASE_A_EXECUTION_READY     may become YES while external clocks run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B. FULL_PRODUCT_BUILD_READY    remains NO until every external item closes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/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FULL_PRODUCT_BUILD_READY = NO does NOT prevent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PHASE_A_EXECUTION_READY = YES and SEND_PHASE_A_TO_EXECUTION_TEAM = YES.</w:t>
      </w:r>
    </w:p>
    <w:p>
      <w:pPr>
        <w:spacing w:after="115" w:line="274"/>
      </w:pPr>
      <w:r>
        <w:rPr>
          <w:rFonts w:ascii="Calibri" w:cs="Calibri" w:eastAsia="Calibri" w:hAnsi="Calibri"/>
          <w:sz w:val="21"/>
          <w:szCs w:val="21"/>
        </w:rPr>
        <w:t xml:space="preserve">PHASE_A_EXECUTION_READY may become YES when all eleven hold:</w:t>
      </w:r>
    </w:p>
    <w:p>
      <w:pPr>
        <w:pBdr>
          <w:left w:val="single" w:color="2E5C86" w:sz="12" w:space="8"/>
        </w:pBdr>
        <w:shd w:fill="F2F4F7" w:val="clear"/>
        <w:spacing w:after="145" w:before="95"/>
        <w:ind w:left="165"/>
      </w:pPr>
      <w:r>
        <w:rPr>
          <w:rFonts w:ascii="Consolas" w:cs="Consolas" w:eastAsia="Consolas" w:hAnsi="Consolas"/>
          <w:sz w:val="16"/>
          <w:szCs w:val="16"/>
        </w:rPr>
        <w:t xml:space="preserve"> 1 every internally resolvable EXECUTION_BLOCKING item is CLOSED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2 all Phase-A requirements authored, failable and traced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3 all Phase-A architecture contradictions resolved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4 immutable data-model decisions settled NOW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5 every open external item classified RELEASE_BLOCKING or GOVERNED_DEFERRED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6 every governed deferral has seam + owner + reopening trigger + disabled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capability + no later immutable-history restatement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7 every release blocker has an enforceable fence per §7.3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8 FUNCTIONAL_COMPLETENESS (included Phase-A scope) = PASS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9 ARCHITECTURAL_COMPATIBILITY (included Phase-A scope) = PASS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10 EXECUTION_SPECIFICATION_COMPLETENESS (included Phase-A scope) = PASS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11 MVC-RT-003 finds no unresolved Class-A defect in the Phase-A contract</w:t>
      </w:r>
    </w:p>
    <w:p>
      <w:pPr>
        <w:pStyle w:val="Heading2"/>
        <w:spacing w:after="105" w:before="235"/>
      </w:pPr>
      <w:r>
        <w:rPr>
          <w:rFonts w:ascii="Calibri" w:cs="Calibri" w:eastAsia="Calibri" w:hAnsi="Calibri"/>
          <w:b/>
          <w:bCs/>
          <w:color w:val="2E5C86"/>
          <w:sz w:val="23"/>
          <w:szCs w:val="23"/>
        </w:rPr>
        <w:t xml:space="preserve">7.2 · External item dispositions</w:t>
      </w:r>
    </w:p>
    <w:tbl>
      <w:tblPr>
        <w:tblW w:type="dxa" w:w="9746"/>
        <w:tblBorders>
          <w:top w:val="single" w:color="A9BACB" w:sz="4"/>
          <w:left w:val="single" w:color="A9BACB" w:sz="4"/>
          <w:bottom w:val="single" w:color="A9BACB" w:sz="4"/>
          <w:right w:val="single" w:color="A9BACB" w:sz="4"/>
          <w:insideH w:val="single" w:color="C8D3DF" w:sz="2"/>
          <w:insideV w:val="single" w:color="C8D3DF" w:sz="2"/>
        </w:tblBorders>
      </w:tblPr>
      <w:tblGrid>
        <w:gridCol w:w="1072"/>
        <w:gridCol w:w="2437"/>
        <w:gridCol w:w="6237"/>
      </w:tblGrid>
      <w:tr>
        <w:trPr>
          <w:tblHeader/>
        </w:trPr>
        <w:tc>
          <w:tcPr>
            <w:tcW w:type="dxa" w:w="1072"/>
            <w:shd w:fill="1A3A5C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437"/>
            <w:shd w:fill="1A3A5C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Phase-A disposition</w:t>
            </w:r>
          </w:p>
        </w:tc>
        <w:tc>
          <w:tcPr>
            <w:tcW w:type="dxa" w:w="6237"/>
            <w:shd w:fill="1A3A5C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Instruction to the run</w:t>
            </w:r>
          </w:p>
        </w:tc>
      </w:tr>
      <w:tr>
        <w:tc>
          <w:tcPr>
            <w:tcW w:type="dxa" w:w="1072"/>
            <w:shd w:fill="FFFFFF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6"/>
                <w:szCs w:val="16"/>
              </w:rPr>
              <w:t xml:space="preserve">ARCH-02</w:t>
            </w:r>
          </w:p>
        </w:tc>
        <w:tc>
          <w:tcPr>
            <w:tcW w:type="dxa" w:w="2437"/>
            <w:shd w:fill="FFFFFF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GOVERNED_DEFERRED, conditional</w:t>
            </w:r>
          </w:p>
        </w:tc>
        <w:tc>
          <w:tcPr>
            <w:tcW w:type="dxa" w:w="6237"/>
            <w:shd w:fill="FFFFFF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52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Under D-2R MyVetiCare performs no clinic ZATCA execution. If no Phase-A behaviour depends on ARCH-02, defer it: owner = tax counsel; trigger = any proposal for MVC-managed clinic e-invoicing.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MANDATORY CHECK BEFORE DEFERRING: the Maqaleed→clinic PLATFORM FEE invoice is a B2B standard tax invoice requiring clearance. If MyVetiCare originates the fee/subscription billing events, the invoice-type and taxpayer attributes it emits are Phase-A and may carry a residual ARCH-02 dependency. Prove the fee-billing path is wholly inside BILL-001 before deferring. Do not defer by assumption.</w:t>
            </w:r>
          </w:p>
        </w:tc>
      </w:tr>
      <w:tr>
        <w:tc>
          <w:tcPr>
            <w:tcW w:type="dxa" w:w="1072"/>
            <w:shd w:fill="F5F8FB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6"/>
                <w:szCs w:val="16"/>
              </w:rPr>
              <w:t xml:space="preserve">P2</w:t>
            </w:r>
          </w:p>
        </w:tc>
        <w:tc>
          <w:tcPr>
            <w:tcW w:type="dxa" w:w="2437"/>
            <w:shd w:fill="F5F8FB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RELEASE_BLOCKING</w:t>
            </w:r>
          </w:p>
        </w:tc>
        <w:tc>
          <w:tcPr>
            <w:tcW w:type="dxa" w:w="6237"/>
            <w:shd w:fill="F5F8FB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52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Remote consultation disabled by default; no route or surface exposes it; core consultation, records, scheduling and clinic operation must not depend on its activation. Owner = regulatory/legal. Trigger = written telemedicine counsel clearance.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DO NOT pre-build telemedicine-specific PERSISTED entities. Build an extension point, not dormant schema — if counsel returns a different consent model, practitioner-jurisdiction binding or record class, dormant schema becomes a restatement, which §6.1 forbids.</w:t>
            </w:r>
          </w:p>
        </w:tc>
      </w:tr>
      <w:tr>
        <w:tc>
          <w:tcPr>
            <w:tcW w:type="dxa" w:w="1072"/>
            <w:shd w:fill="FFFFFF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6"/>
                <w:szCs w:val="16"/>
              </w:rPr>
              <w:t xml:space="preserve">REG-15</w:t>
            </w:r>
          </w:p>
        </w:tc>
        <w:tc>
          <w:tcPr>
            <w:tcW w:type="dxa" w:w="2437"/>
            <w:shd w:fill="FFFFFF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RELEASE_BLOCKING</w:t>
            </w:r>
          </w:p>
        </w:tc>
        <w:tc>
          <w:tcPr>
            <w:tcW w:type="dxa" w:w="6237"/>
            <w:shd w:fill="FFFFFF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Build what is safe without the legal answer: clinical case state separate from statutory filing state; no automatic legal-discharge assumption; unresolved filing obligation visible and non-terminal. The discharge/24-hour automation is release-blocked. Never represent a statutory obligation as discharged while open.</w:t>
            </w:r>
          </w:p>
        </w:tc>
      </w:tr>
      <w:tr>
        <w:tc>
          <w:tcPr>
            <w:tcW w:type="dxa" w:w="1072"/>
            <w:shd w:fill="F5F8FB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6"/>
                <w:szCs w:val="16"/>
              </w:rPr>
              <w:t xml:space="preserve">EV-16</w:t>
            </w:r>
          </w:p>
        </w:tc>
        <w:tc>
          <w:tcPr>
            <w:tcW w:type="dxa" w:w="2437"/>
            <w:shd w:fill="F5F8FB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RELEASE_BLOCKING</w:t>
            </w:r>
          </w:p>
        </w:tc>
        <w:tc>
          <w:tcPr>
            <w:tcW w:type="dxa" w:w="6237"/>
            <w:shd w:fill="F5F8FB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52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Fence: external drug-reference content, interaction/reference intelligence dependent on the licensed source, the EV-16-dependent portions of INT-MVC-3/4, and the veterinarian A4 criterion to that extent. EV16_DEPENDENT_CAPABILITY = DISABLED. Owner = commercial/licensing. Trigger = executed licence accepted into the evidence estate. No substitute dataset may be invented.</w:t>
            </w:r>
          </w:p>
          <w:p>
            <w:pPr>
              <w:spacing w:after="52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Remains buildable: deterministic dose arithmetic independent of licensed content, medication records, prescription workflow otherwise supported.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SAFETY REQUIREMENT — see §7.4. A silently disabled interaction check is more dangerous than an absent one.</w:t>
            </w:r>
          </w:p>
        </w:tc>
      </w:tr>
    </w:tbl>
    <w:p>
      <w:pPr>
        <w:pStyle w:val="Heading2"/>
        <w:spacing w:after="105" w:before="235"/>
      </w:pPr>
      <w:r>
        <w:rPr>
          <w:rFonts w:ascii="Calibri" w:cs="Calibri" w:eastAsia="Calibri" w:hAnsi="Calibri"/>
          <w:b/>
          <w:bCs/>
          <w:color w:val="2E5C86"/>
          <w:sz w:val="23"/>
          <w:szCs w:val="23"/>
        </w:rPr>
        <w:t xml:space="preserve">7.3 · What counts as a fence</w:t>
      </w:r>
    </w:p>
    <w:p>
      <w:pPr>
        <w:spacing w:after="115" w:line="274"/>
      </w:pPr>
      <w:r>
        <w:rPr>
          <w:rFonts w:ascii="Calibri" w:cs="Calibri" w:eastAsia="Calibri" w:hAnsi="Calibri"/>
          <w:sz w:val="21"/>
          <w:szCs w:val="21"/>
        </w:rPr>
        <w:t xml:space="preserve">A fence is not a UI fence. The acceptance test must prove the capability is unreachable at every layer:</w:t>
      </w:r>
    </w:p>
    <w:p>
      <w:pPr>
        <w:pBdr>
          <w:left w:val="single" w:color="2E5C86" w:sz="12" w:space="8"/>
        </w:pBdr>
        <w:shd w:fill="F2F4F7" w:val="clear"/>
        <w:spacing w:after="145" w:before="95"/>
        <w:ind w:left="165"/>
      </w:pPr>
      <w:r>
        <w:rPr>
          <w:rFonts w:ascii="Consolas" w:cs="Consolas" w:eastAsia="Consolas" w:hAnsi="Consolas"/>
          <w:sz w:val="16"/>
          <w:szCs w:val="16"/>
        </w:rPr>
        <w:t xml:space="preserve">FENCE-1  No UI route, surface, menu, deep link or search result reaches it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FENCE-2  No API route, RPC, webhook or background job invokes it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FENCE-3  No permission or role grant can enable it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FENCE-4  No feature-flag default, environment variable or runtime config can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flip it in production WITHOUT a recorded governance act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FENCE-5  Its absence cannot be mistaken for its presence — see §7.4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/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ACCEPTANCE  A negative test per fenced capability, asserting unreachability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at all five layers. A capability reachable at any layer is NOT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fenced, and PHASE_A_EXECUTION_READY = NO.</w:t>
      </w:r>
    </w:p>
    <w:p>
      <w:pPr>
        <w:pStyle w:val="Heading2"/>
        <w:spacing w:after="105" w:before="235"/>
      </w:pPr>
      <w:r>
        <w:rPr>
          <w:rFonts w:ascii="Calibri" w:cs="Calibri" w:eastAsia="Calibri" w:hAnsi="Calibri"/>
          <w:b/>
          <w:bCs/>
          <w:color w:val="2E5C86"/>
          <w:sz w:val="23"/>
          <w:szCs w:val="23"/>
        </w:rPr>
        <w:t xml:space="preserve">7.4 · Clinical-absence disclosure — new, binding</w:t>
      </w:r>
    </w:p>
    <w:p>
      <w:pPr>
        <w:pBdr>
          <w:left w:val="single" w:color="B3261E" w:sz="18" w:space="10"/>
        </w:pBdr>
        <w:shd w:fill="FDECEC" w:val="clear"/>
        <w:spacing w:after="145" w:before="145"/>
        <w:ind w:left="165" w:right="105"/>
      </w:pPr>
      <w:r>
        <w:rPr>
          <w:rFonts w:ascii="Calibri" w:cs="Calibri" w:eastAsia="Calibri" w:hAnsi="Calibri"/>
          <w:b/>
          <w:bCs/>
          <w:color w:val="B3261E"/>
          <w:sz w:val="21"/>
          <w:szCs w:val="21"/>
        </w:rPr>
        <w:t xml:space="preserve">SAFETY  </w:t>
      </w:r>
      <w:r>
        <w:rPr>
          <w:rFonts w:ascii="Calibri" w:cs="Calibri" w:eastAsia="Calibri" w:hAnsi="Calibri"/>
          <w:sz w:val="21"/>
          <w:szCs w:val="21"/>
        </w:rPr>
        <w:t xml:space="preserve">This is a veterinary clinical platform. A fenced clinical-safety capability creates a silent gap: a clinician who sees dose arithmetic may reasonably infer that interaction and contraindication checking also ran. It did not.</w:t>
      </w:r>
    </w:p>
    <w:p>
      <w:pPr>
        <w:pBdr>
          <w:left w:val="single" w:color="2E5C86" w:sz="12" w:space="8"/>
        </w:pBdr>
        <w:shd w:fill="F2F4F7" w:val="clear"/>
        <w:spacing w:after="145" w:before="95"/>
        <w:ind w:left="165"/>
      </w:pPr>
      <w:r>
        <w:rPr>
          <w:rFonts w:ascii="Consolas" w:cs="Consolas" w:eastAsia="Consolas" w:hAnsi="Consolas"/>
          <w:sz w:val="16"/>
          <w:szCs w:val="16"/>
        </w:rPr>
        <w:t xml:space="preserve">REQ-SAF-F1  Where a clinical-decision-support capability is fenced, its absence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must be AFFIRMATIVELY disclosed at the point of clinical use — not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merely omitted from the interface.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REQ-SAF-F2  No screen may present a partial clinical computation in a form that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implies a completed safety check. Dose arithmetic shown without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interaction screening must say so where the clinician reads it.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REQ-SAF-F3  The disclosure is part of the fence and is tested with it.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Removing the disclosure when the capability is later enabled is a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governed change, not a cleanup.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ACCEPTANCE  A clinician-facing review confirms no screen implies a safety check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that the Phase-A build does not perform.</w:t>
      </w:r>
    </w:p>
    <w:p>
      <w:r>
        <w:br w:type="page"/>
      </w:r>
    </w:p>
    <w:p>
      <w:pPr>
        <w:pStyle w:val="Heading1"/>
        <w:spacing w:after="145" w:before="330"/>
      </w:pPr>
      <w:r>
        <w:rPr>
          <w:rFonts w:ascii="Calibri" w:cs="Calibri" w:eastAsia="Calibri" w:hAnsi="Calibri"/>
          <w:b/>
          <w:bCs/>
          <w:color w:val="1A3A5C"/>
          <w:sz w:val="29"/>
          <w:szCs w:val="29"/>
        </w:rPr>
        <w:t xml:space="preserve">8 · MVC-EXEC-001 — the Phase-A build contract</w:t>
      </w:r>
    </w:p>
    <w:p>
      <w:pPr>
        <w:spacing w:after="115" w:line="274"/>
      </w:pPr>
      <w:r>
        <w:rPr>
          <w:rFonts w:ascii="Calibri" w:cs="Calibri" w:eastAsia="Calibri" w:hAnsi="Calibri"/>
          <w:sz w:val="21"/>
          <w:szCs w:val="21"/>
        </w:rPr>
        <w:t xml:space="preserve">W12 creates a dedicated successor instrument. It is NOT a replacement for MVC-BRD-001; it is the executable Phase-A subset derived from it. Allocate only after the P2.e EXEC-namespace sweep.</w:t>
      </w:r>
    </w:p>
    <w:p>
      <w:pPr>
        <w:pBdr>
          <w:left w:val="single" w:color="2E5C86" w:sz="12" w:space="8"/>
        </w:pBdr>
        <w:shd w:fill="F2F4F7" w:val="clear"/>
        <w:spacing w:after="145" w:before="95"/>
        <w:ind w:left="165"/>
      </w:pPr>
      <w:r>
        <w:rPr>
          <w:rFonts w:ascii="Consolas" w:cs="Consolas" w:eastAsia="Consolas" w:hAnsi="Consolas"/>
          <w:sz w:val="16"/>
          <w:szCs w:val="16"/>
        </w:rPr>
        <w:t xml:space="preserve">MVC-EXEC-001 V1.0  Phase-A Engineering Execution Contract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/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INCLUDED   every capability actually cleared for Phase A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/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FENCED     P2-dependent remote consultation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REG-15-dependent statutory discharge automation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EV-16-dependent licensed drug-reference intelligence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any residual ARCH-02-dependent capability proven by the corpus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/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For EACH fenced item record: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reason · current authority/evidence state · technical fence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(all five layers, §7.3) · owner · reopening trigger ·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negative acceptance test proving unreachability ·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clinical-absence disclosure where §7.4 applies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/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For the INCLUDED scope record: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the settled immutable decisions engineering must not revisit —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split taxpayer responsibility · gross-not-net · immutable seller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identity · audit-chain partitioning · authorization model</w:t>
      </w:r>
    </w:p>
    <w:p>
      <w:pPr>
        <w:pStyle w:val="Heading1"/>
        <w:spacing w:after="145" w:before="330"/>
      </w:pPr>
      <w:r>
        <w:rPr>
          <w:rFonts w:ascii="Calibri" w:cs="Calibri" w:eastAsia="Calibri" w:hAnsi="Calibri"/>
          <w:b/>
          <w:bCs/>
          <w:color w:val="1A3A5C"/>
          <w:sz w:val="29"/>
          <w:szCs w:val="29"/>
        </w:rPr>
        <w:t xml:space="preserve">9 · Stage 6 — MVC-RT-003</w:t>
      </w:r>
    </w:p>
    <w:p>
      <w:pPr>
        <w:pBdr>
          <w:left w:val="single" w:color="2E5C86" w:sz="12" w:space="8"/>
        </w:pBdr>
        <w:shd w:fill="F2F4F7" w:val="clear"/>
        <w:spacing w:after="145" w:before="95"/>
        <w:ind w:left="165"/>
      </w:pPr>
      <w:r>
        <w:rPr>
          <w:rFonts w:ascii="Consolas" w:cs="Consolas" w:eastAsia="Consolas" w:hAnsi="Consolas"/>
          <w:sz w:val="16"/>
          <w:szCs w:val="16"/>
        </w:rPr>
        <w:t xml:space="preserve">TARGETS   1. MVC-BRD-001 V3.2 consistency, where assembly was possible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2. MVC-EXEC-001 Phase-A contract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/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MUST ATTEMPT TO PROVE: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· a fenced capability is accidentally reachable (all five layers)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· a deferred decision has leaked into the Phase-A schema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· a future feature would require immutable-history restatement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· Phase-A implementation requires an unanswered external decision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· a screen implies a safety check the build does not perform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If any holds: PHASE_A_EXECUTION_READY = NO.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/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SCOPE     Explicitly CROSS-PORTFOLIO. Operative claims of shared or ratified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portfolio capability verified against the LIVE register.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METHOD    Attempt to disprove. Not a review pass. ONE pass.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CITATIONS Positional. Superseded references inside correction, supersession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or historical blocks are expected and are NOT findings.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OUT OF    MVC-RT-002 · Gate B · Wave-1 · GOV-21 · closed mechanical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SCOPE     conformance findings. No reopening on reinterpretation.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EXIT      A / B / C / D triage. Remediate A and B only.</w:t>
      </w:r>
    </w:p>
    <w:p>
      <w:pPr>
        <w:pStyle w:val="Heading1"/>
        <w:spacing w:after="145" w:before="330"/>
      </w:pPr>
      <w:r>
        <w:rPr>
          <w:rFonts w:ascii="Calibri" w:cs="Calibri" w:eastAsia="Calibri" w:hAnsi="Calibri"/>
          <w:b/>
          <w:bCs/>
          <w:color w:val="1A3A5C"/>
          <w:sz w:val="29"/>
          <w:szCs w:val="29"/>
        </w:rPr>
        <w:t xml:space="preserve">10 · Collection points and stop conditions</w:t>
      </w:r>
    </w:p>
    <w:tbl>
      <w:tblPr>
        <w:tblW w:type="dxa" w:w="9746"/>
        <w:tblBorders>
          <w:top w:val="single" w:color="A9BACB" w:sz="4"/>
          <w:left w:val="single" w:color="A9BACB" w:sz="4"/>
          <w:bottom w:val="single" w:color="A9BACB" w:sz="4"/>
          <w:right w:val="single" w:color="A9BACB" w:sz="4"/>
          <w:insideH w:val="single" w:color="C8D3DF" w:sz="2"/>
          <w:insideV w:val="single" w:color="C8D3DF" w:sz="2"/>
        </w:tblBorders>
      </w:tblPr>
      <w:tblGrid>
        <w:gridCol w:w="877"/>
        <w:gridCol w:w="3898"/>
        <w:gridCol w:w="4971"/>
      </w:tblGrid>
      <w:tr>
        <w:trPr>
          <w:tblHeader/>
        </w:trPr>
        <w:tc>
          <w:tcPr>
            <w:tcW w:type="dxa" w:w="877"/>
            <w:shd w:fill="1A3A5C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98"/>
            <w:shd w:fill="1A3A5C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</w:t>
            </w:r>
          </w:p>
        </w:tc>
        <w:tc>
          <w:tcPr>
            <w:tcW w:type="dxa" w:w="4971"/>
            <w:shd w:fill="1A3A5C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877"/>
            <w:shd w:fill="FFFFFF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CP-1</w:t>
            </w:r>
          </w:p>
        </w:tc>
        <w:tc>
          <w:tcPr>
            <w:tcW w:type="dxa" w:w="3898"/>
            <w:shd w:fill="FFFFFF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Lock the ARCH-05 Decision Log row.</w:t>
            </w:r>
          </w:p>
        </w:tc>
        <w:tc>
          <w:tcPr>
            <w:tcW w:type="dxa" w:w="4971"/>
            <w:shd w:fill="FFFFFF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Run creates it Proposed (W13) and CONTINUES. Never waits.</w:t>
            </w:r>
          </w:p>
        </w:tc>
      </w:tr>
      <w:tr>
        <w:tc>
          <w:tcPr>
            <w:tcW w:type="dxa" w:w="877"/>
            <w:shd w:fill="F5F8FB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CP-2</w:t>
            </w:r>
          </w:p>
        </w:tc>
        <w:tc>
          <w:tcPr>
            <w:tcW w:type="dxa" w:w="3898"/>
            <w:shd w:fill="F5F8FB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PHASE_A_EXECUTION_READY certification and Phase-A release to engineering.</w:t>
            </w:r>
          </w:p>
        </w:tc>
        <w:tc>
          <w:tcPr>
            <w:tcW w:type="dxa" w:w="4971"/>
            <w:shd w:fill="F5F8FB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B3261E"/>
                <w:sz w:val="18"/>
                <w:szCs w:val="18"/>
              </w:rPr>
              <w:t xml:space="preserve">Sponsor act. Never taken by the run.</w:t>
            </w:r>
          </w:p>
        </w:tc>
      </w:tr>
      <w:tr>
        <w:tc>
          <w:tcPr>
            <w:tcW w:type="dxa" w:w="877"/>
            <w:shd w:fill="FFFFFF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CP-3</w:t>
            </w:r>
          </w:p>
        </w:tc>
        <w:tc>
          <w:tcPr>
            <w:tcW w:type="dxa" w:w="3898"/>
            <w:shd w:fill="FFFFFF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FULL_PRODUCT_BUILD_READY certification.</w:t>
            </w:r>
          </w:p>
        </w:tc>
        <w:tc>
          <w:tcPr>
            <w:tcW w:type="dxa" w:w="4971"/>
            <w:shd w:fill="FFFFFF" w:val="clear"/>
            <w:tcMar>
              <w:top w:type="dxa" w:w="66"/>
              <w:left w:type="dxa" w:w="102"/>
              <w:bottom w:type="dxa" w:w="66"/>
              <w:right w:type="dxa" w:w="102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B3261E"/>
                <w:sz w:val="18"/>
                <w:szCs w:val="18"/>
              </w:rPr>
              <w:t xml:space="preserve">Sponsor act. Reachable only when all four external items close.</w:t>
            </w:r>
          </w:p>
        </w:tc>
      </w:tr>
    </w:tbl>
    <w:p>
      <w:pPr>
        <w:pBdr>
          <w:left w:val="single" w:color="2E5C86" w:sz="12" w:space="8"/>
        </w:pBdr>
        <w:shd w:fill="F2F4F7" w:val="clear"/>
        <w:spacing w:after="145" w:before="95"/>
        <w:ind w:left="165"/>
      </w:pPr>
      <w:r>
        <w:rPr>
          <w:rFonts w:ascii="Consolas" w:cs="Consolas" w:eastAsia="Consolas" w:hAnsi="Consolas"/>
          <w:sz w:val="16"/>
          <w:szCs w:val="16"/>
        </w:rPr>
        <w:t xml:space="preserve">S-0  CUSTODY CONTRADICTION — canonical root, deliverable bytes, duplicate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custody candidates, successor artefact without a resumption record, or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BENCH V1.0 found as operative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S-1  P1–P3 contradicts the underlying row state (NOT mere register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unavailability — see §3.1)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S-2  live ratified portfolio authority contradicts a settled MVC decision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S-3  identifier collision or unexplained occupied namespace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S-4  required closure would mutate a Ratified artefact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S-5  new internally resolvable EXECUTION_BLOCKING item discovered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/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CONTEXT OR SESSION EXHAUSTION IS NOT A STOP CONDITION.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Write RESUMPTION_RECORD.md, resume, never restart.</w:t>
      </w:r>
    </w:p>
    <w:p>
      <w:pPr>
        <w:pStyle w:val="Heading1"/>
        <w:spacing w:after="145" w:before="330"/>
      </w:pPr>
      <w:r>
        <w:rPr>
          <w:rFonts w:ascii="Calibri" w:cs="Calibri" w:eastAsia="Calibri" w:hAnsi="Calibri"/>
          <w:b/>
          <w:bCs/>
          <w:color w:val="1A3A5C"/>
          <w:sz w:val="29"/>
          <w:szCs w:val="29"/>
        </w:rPr>
        <w:t xml:space="preserve">11 · What this instrument does not do</w:t>
      </w:r>
    </w:p>
    <w:p>
      <w:pPr>
        <w:spacing w:after="115" w:line="274"/>
      </w:pPr>
      <w:r>
        <w:rPr>
          <w:rFonts w:ascii="Calibri" w:cs="Calibri" w:eastAsia="Calibri" w:hAnsi="Calibri"/>
          <w:sz w:val="21"/>
          <w:szCs w:val="21"/>
        </w:rPr>
        <w:t xml:space="preserve">It closes no gap by itself. It authorises no implementation, deployment, schema mutation, procurement or delivery tranche. It issues no engineering estimate. It does not amend MVC-GAP-001 and asserts no count other than the register's own. Tranche 3 remains unauthored; an estimate covering journeys (f), (g) and (h) would be quoting on requirements that do not exist.</w:t>
      </w:r>
    </w:p>
    <w:p>
      <w:pPr>
        <w:spacing w:after="115" w:line="274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It has not been read against MVC-SPEC-001 V3.0, MVC-GAP-001 V1.6 or MVC-BRD-001 V3.1, which remain unreachable from the issuing session. Custody exception MVC-CUST-004 stands. The §7.2 ARCH-02 platform-fee dependency is a HYPOTHESIS TO TEST against the corpus, not a finding — the run proves or disproves it and reports which.</w:t>
      </w:r>
    </w:p>
    <w:p>
      <w:pPr>
        <w:pBdr>
          <w:bottom w:val="single" w:color="C8D3DF" w:sz="6" w:space="4"/>
        </w:pBdr>
        <w:spacing w:after="105" w:before="105"/>
      </w:pPr>
      <w:r>
        <w:t xml:space="preserve"/>
      </w:r>
    </w:p>
    <w:p>
      <w:pPr>
        <w:spacing w:after="115" w:line="274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MVC-CLOSE-001 V1.1 · Issued 30 August 2026 · Jeddah, KSA · Execution package, non-authorising · Supersedes V1.0 for execution · Closes no gap, authorises no build.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2026-08-30T20:01:27.126Z</dcterms:created>
  <dcterms:modified xsi:type="dcterms:W3CDTF">2026-08-30T20:01:27.143Z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