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mvc-brd-001-v30--draft"/>
    <w:p>
      <w:pPr>
        <w:pStyle w:val="Heading1"/>
      </w:pPr>
      <w:r>
        <w:t xml:space="preserve">MVC-BRD-001 V3.0 — DRAFT</w:t>
      </w:r>
    </w:p>
    <w:bookmarkStart w:id="20" w:name="Xe7d5cb339322221e751ee3bae17e8673873e289"/>
    <w:p>
      <w:pPr>
        <w:pStyle w:val="Heading2"/>
      </w:pPr>
      <w:r>
        <w:t xml:space="preserve">MyVetiCare Master Business Requirements Document</w:t>
      </w:r>
    </w:p>
    <w:p>
      <w:pPr>
        <w:pStyle w:val="FirstParagraph"/>
      </w:pPr>
      <w:r>
        <w:rPr>
          <w:bCs/>
          <w:b/>
        </w:rPr>
        <w:t xml:space="preserve">Instrument ID:</w:t>
      </w:r>
      <w:r>
        <w:t xml:space="preserve"> </w:t>
      </w:r>
      <w:r>
        <w:t xml:space="preserve">MVC-BRD-001</w:t>
      </w:r>
      <w:r>
        <w:t xml:space="preserve"> </w:t>
      </w:r>
      <w:r>
        <w:rPr>
          <w:bCs/>
          <w:b/>
        </w:rPr>
        <w:t xml:space="preserve">Version:</w:t>
      </w:r>
      <w:r>
        <w:t xml:space="preserve"> </w:t>
      </w:r>
      <w:r>
        <w:t xml:space="preserve">V3.0 —</w:t>
      </w:r>
      <w:r>
        <w:t xml:space="preserve"> </w:t>
      </w:r>
      <w:r>
        <w:rPr>
          <w:bCs/>
          <w:b/>
        </w:rPr>
        <w:t xml:space="preserve">DRAFT · NON-AUTHORISING · NOT FOR RATIFICATION</w:t>
      </w:r>
      <w:r>
        <w:t xml:space="preserve"> </w:t>
      </w:r>
      <w:r>
        <w:rPr>
          <w:bCs/>
          <w:b/>
        </w:rPr>
        <w:t xml:space="preserve">Date:</w:t>
      </w:r>
      <w:r>
        <w:t xml:space="preserve"> </w:t>
      </w:r>
      <w:r>
        <w:t xml:space="preserve">28 August 2026 · Jeddah, KSA</w:t>
      </w:r>
      <w:r>
        <w:t xml:space="preserve"> </w:t>
      </w:r>
      <w:r>
        <w:rPr>
          <w:bCs/>
          <w:b/>
        </w:rPr>
        <w:t xml:space="preserve">Platform:</w:t>
      </w:r>
      <w:r>
        <w:t xml:space="preserve"> </w:t>
      </w:r>
      <w:r>
        <w:t xml:space="preserve">MyVetiCare · backend identifier</w:t>
      </w:r>
      <w:r>
        <w:t xml:space="preserve"> </w:t>
      </w:r>
      <w:r>
        <w:rPr>
          <w:rStyle w:val="VerbatimChar"/>
        </w:rPr>
        <w:t xml:space="preserve">myveticare</w:t>
      </w:r>
      <w:r>
        <w:t xml:space="preserve"> </w:t>
      </w:r>
      <w:r>
        <w:t xml:space="preserve">(immutable)</w:t>
      </w:r>
      <w:r>
        <w:t xml:space="preserve"> </w:t>
      </w:r>
      <w:r>
        <w:rPr>
          <w:bCs/>
          <w:b/>
        </w:rPr>
        <w:t xml:space="preserve">Public surfaces:</w:t>
      </w:r>
      <w:r>
        <w:t xml:space="preserve"> </w:t>
      </w:r>
      <w:r>
        <w:rPr>
          <w:iCs/>
          <w:i/>
        </w:rPr>
        <w:t xml:space="preserve">VetiCare</w:t>
      </w:r>
      <w:r>
        <w:t xml:space="preserve"> </w:t>
      </w:r>
      <w:r>
        <w:t xml:space="preserve">(commercial / B2C-SMB) ·</w:t>
      </w:r>
      <w:r>
        <w:t xml:space="preserve"> </w:t>
      </w:r>
      <w:r>
        <w:rPr>
          <w:iCs/>
          <w:i/>
        </w:rPr>
        <w:t xml:space="preserve">Maqaleed Vet</w:t>
      </w:r>
      <w:r>
        <w:t xml:space="preserve"> </w:t>
      </w:r>
      <w:r>
        <w:t xml:space="preserve">(corporate / B2G) ·</w:t>
      </w:r>
      <w:r>
        <w:t xml:space="preserve"> </w:t>
      </w:r>
      <w:r>
        <w:rPr>
          <w:iCs/>
          <w:i/>
        </w:rPr>
        <w:t xml:space="preserve">Maqaleed Vet by VetiCare</w:t>
      </w:r>
      <w:r>
        <w:t xml:space="preserve"> </w:t>
      </w:r>
      <w:r>
        <w:t xml:space="preserve">(portfolio-public composition)</w:t>
      </w:r>
      <w:r>
        <w:t xml:space="preserve"> </w:t>
      </w:r>
      <w:r>
        <w:rPr>
          <w:bCs/>
          <w:b/>
        </w:rPr>
        <w:t xml:space="preserve">Authoring authority:</w:t>
      </w:r>
      <w:r>
        <w:t xml:space="preserve"> </w:t>
      </w:r>
      <w:r>
        <w:rPr>
          <w:rStyle w:val="VerbatimChar"/>
        </w:rPr>
        <w:t xml:space="preserve">MVC-BRD-001 V2.0 / V1 Contract V1.0.1 (Stage A)</w:t>
      </w:r>
      <w:r>
        <w:t xml:space="preserve">, Ratified 23 May 2026 — Stage C body</w:t>
      </w:r>
      <w:r>
        <w:t xml:space="preserve"> </w:t>
      </w:r>
      <w:r>
        <w:rPr>
          <w:bCs/>
          <w:b/>
        </w:rPr>
        <w:t xml:space="preserve">Prepared for:</w:t>
      </w:r>
      <w:r>
        <w:t xml:space="preserve"> </w:t>
      </w:r>
      <w:r>
        <w:t xml:space="preserve">Sponsor (Waheeb Ghassan Mahmoud, CEO · Portfolio Sponsor)</w:t>
      </w:r>
    </w:p>
    <w:p>
      <w:r>
        <w:pict>
          <v:rect style="width:0;height:1.5pt" o:hralign="center" o:hrstd="t" o:hr="t"/>
        </w:pict>
      </w:r>
    </w:p>
    <w:bookmarkEnd w:id="20"/>
    <w:bookmarkStart w:id="24" w:name="s0--document-control"/>
    <w:p>
      <w:pPr>
        <w:pStyle w:val="Heading2"/>
      </w:pPr>
      <w:r>
        <w:t xml:space="preserve">S0 · Document control</w:t>
      </w:r>
    </w:p>
    <w:bookmarkStart w:id="21" w:name="s01-status-and-authority-posture"/>
    <w:p>
      <w:pPr>
        <w:pStyle w:val="Heading3"/>
      </w:pPr>
      <w:r>
        <w:t xml:space="preserve">S0.1 Status and authority posture</w:t>
      </w:r>
    </w:p>
    <w:p>
      <w:pPr>
        <w:pStyle w:val="FirstParagraph"/>
      </w:pPr>
      <w:r>
        <w:t xml:space="preserve">This is a</w:t>
      </w:r>
      <w:r>
        <w:t xml:space="preserve"> </w:t>
      </w:r>
      <w:r>
        <w:rPr>
          <w:bCs/>
          <w:b/>
        </w:rPr>
        <w:t xml:space="preserve">draft requirements body</w:t>
      </w:r>
      <w:r>
        <w:t xml:space="preserve">. It authorises nothing, ratifies nothing, supersedes nothing, and changes no register state. It does not become the product requirements baseline until the Sponsor approves it, and it must not be approved until the three preconditions in §S1.6 are discharged.</w:t>
      </w:r>
    </w:p>
    <w:p>
      <w:pPr>
        <w:pStyle w:val="BodyText"/>
      </w:pPr>
      <w:r>
        <w:t xml:space="preserve">Per the portfolio doctrine established for</w:t>
      </w:r>
      <w:r>
        <w:t xml:space="preserve"> </w:t>
      </w:r>
      <w:r>
        <w:rPr>
          <w:rStyle w:val="VerbatimChar"/>
        </w:rPr>
        <w:t xml:space="preserve">MAQ-MBRD-001 V2.0</w:t>
      </w:r>
      <w:r>
        <w:t xml:space="preserve">:</w:t>
      </w:r>
      <w:r>
        <w:t xml:space="preserve"> </w:t>
      </w:r>
      <w:r>
        <w:rPr>
          <w:bCs/>
          <w:b/>
        </w:rPr>
        <w:t xml:space="preserve">on Sponsor approval this instrument becomes the authoritative product requirements baseline for MyVetiCare.</w:t>
      </w:r>
      <w:r>
        <w:t xml:space="preserve"> </w:t>
      </w:r>
      <w:r>
        <w:t xml:space="preserve">Constitutional documents remain governing constraints above it. Current implementation state does not live here — it belongs in a companion</w:t>
      </w:r>
      <w:r>
        <w:t xml:space="preserve"> </w:t>
      </w:r>
      <w:r>
        <w:rPr>
          <w:rStyle w:val="VerbatimChar"/>
        </w:rPr>
        <w:t xml:space="preserve">MVC-BRD-001 IMPLEMENTATION BASELINE</w:t>
      </w:r>
      <w:r>
        <w:t xml:space="preserve">.</w:t>
      </w:r>
    </w:p>
    <w:bookmarkEnd w:id="21"/>
    <w:bookmarkStart w:id="22" w:name="Xe958f71884c6b72bee61e0e2e395750d9ad70b5"/>
    <w:p>
      <w:pPr>
        <w:pStyle w:val="Heading3"/>
      </w:pPr>
      <w:r>
        <w:t xml:space="preserve">S0.2 What this document is written against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Role</w:t>
            </w:r>
          </w:p>
        </w:tc>
      </w:tr>
      <w:tr>
        <w:tc>
          <w:tcPr/>
          <w:p>
            <w:pPr>
              <w:pStyle w:val="Compact"/>
              <w:jc w:val="left"/>
            </w:pPr>
            <w:r>
              <w:rPr>
                <w:rStyle w:val="VerbatimChar"/>
              </w:rPr>
              <w:t xml:space="preserve">MVC-BRD-001 V2.0 Stage A Contract V1.0.1</w:t>
            </w:r>
            <w:r>
              <w:t xml:space="preserve"> </w:t>
            </w:r>
            <w:r>
              <w:t xml:space="preserve">(Ratified 23 May 2026)</w:t>
            </w:r>
          </w:p>
        </w:tc>
        <w:tc>
          <w:tcPr/>
          <w:p>
            <w:pPr>
              <w:pStyle w:val="Compact"/>
              <w:jc w:val="left"/>
            </w:pPr>
            <w:r>
              <w:t xml:space="preserve">The authoring contract. Scope lock, two-gate framework, ten-section plan.</w:t>
            </w:r>
            <w:r>
              <w:t xml:space="preserve"> </w:t>
            </w:r>
            <w:r>
              <w:rPr>
                <w:bCs/>
                <w:b/>
              </w:rPr>
              <w:t xml:space="preserve">Governs the shape of this document.</w:t>
            </w:r>
          </w:p>
        </w:tc>
      </w:tr>
      <w:tr>
        <w:tc>
          <w:tcPr/>
          <w:p>
            <w:pPr>
              <w:pStyle w:val="Compact"/>
              <w:jc w:val="left"/>
            </w:pPr>
            <w:r>
              <w:rPr>
                <w:rStyle w:val="VerbatimChar"/>
              </w:rPr>
              <w:t xml:space="preserve">MVC-RT-001 V1.0</w:t>
            </w:r>
            <w:r>
              <w:t xml:space="preserve"> </w:t>
            </w:r>
            <w:r>
              <w:t xml:space="preserve">+</w:t>
            </w:r>
            <w:r>
              <w:t xml:space="preserve"> </w:t>
            </w:r>
            <w:r>
              <w:rPr>
                <w:rStyle w:val="VerbatimChar"/>
              </w:rPr>
              <w:t xml:space="preserve">MVC-RT-001-AMD-A</w:t>
            </w:r>
            <w:r>
              <w:t xml:space="preserve"> </w:t>
            </w:r>
            <w:r>
              <w:t xml:space="preserve">(28 Aug 2026)</w:t>
            </w:r>
          </w:p>
        </w:tc>
        <w:tc>
          <w:tcPr/>
          <w:p>
            <w:pPr>
              <w:pStyle w:val="Compact"/>
              <w:jc w:val="left"/>
            </w:pPr>
            <w:r>
              <w:t xml:space="preserve">The red-team assessment and its identity/requirements amendment.</w:t>
            </w:r>
            <w:r>
              <w:t xml:space="preserve"> </w:t>
            </w:r>
            <w:r>
              <w:rPr>
                <w:bCs/>
                <w:b/>
              </w:rPr>
              <w:t xml:space="preserve">Governs what this document must not repeat.</w:t>
            </w:r>
          </w:p>
        </w:tc>
      </w:tr>
      <w:tr>
        <w:tc>
          <w:tcPr/>
          <w:p>
            <w:pPr>
              <w:pStyle w:val="Compact"/>
              <w:jc w:val="left"/>
            </w:pPr>
            <w:r>
              <w:rPr>
                <w:rStyle w:val="VerbatimChar"/>
              </w:rPr>
              <w:t xml:space="preserve">PetCare KSA BRD v1.0</w:t>
            </w:r>
            <w:r>
              <w:t xml:space="preserve"> </w:t>
            </w:r>
            <w:r>
              <w:t xml:space="preserve">(SHA</w:t>
            </w:r>
            <w:r>
              <w:t xml:space="preserve"> </w:t>
            </w:r>
            <w:r>
              <w:rPr>
                <w:rStyle w:val="VerbatimChar"/>
              </w:rPr>
              <w:t xml:space="preserve">5450f783…</w:t>
            </w:r>
            <w:r>
              <w:t xml:space="preserve">)</w:t>
            </w:r>
          </w:p>
        </w:tc>
        <w:tc>
          <w:tcPr/>
          <w:p>
            <w:pPr>
              <w:pStyle w:val="Compact"/>
              <w:jc w:val="left"/>
            </w:pPr>
            <w:r>
              <w:rPr>
                <w:bCs/>
                <w:b/>
              </w:rPr>
              <w:t xml:space="preserve">Ancestral requirements source, mined under explicit disposition</w:t>
            </w:r>
            <w:r>
              <w:t xml:space="preserve"> </w:t>
            </w:r>
            <w:r>
              <w:t xml:space="preserve">— see Annex A. Not an authority.</w:t>
            </w:r>
          </w:p>
        </w:tc>
      </w:tr>
      <w:tr>
        <w:tc>
          <w:tcPr/>
          <w:p>
            <w:pPr>
              <w:pStyle w:val="Compact"/>
              <w:jc w:val="left"/>
            </w:pPr>
            <w:r>
              <w:rPr>
                <w:rStyle w:val="VerbatimChar"/>
              </w:rPr>
              <w:t xml:space="preserve">PetCare KSA BRD v1.1 Board-Ready</w:t>
            </w:r>
            <w:r>
              <w:t xml:space="preserve"> </w:t>
            </w:r>
            <w:r>
              <w:t xml:space="preserve">(SHA</w:t>
            </w:r>
            <w:r>
              <w:t xml:space="preserve"> </w:t>
            </w:r>
            <w:r>
              <w:rPr>
                <w:rStyle w:val="VerbatimChar"/>
              </w:rPr>
              <w:t xml:space="preserve">c4880c79…</w:t>
            </w:r>
            <w:r>
              <w:t xml:space="preserve">)</w:t>
            </w:r>
          </w:p>
        </w:tc>
        <w:tc>
          <w:tcPr/>
          <w:p>
            <w:pPr>
              <w:pStyle w:val="Compact"/>
              <w:jc w:val="left"/>
            </w:pPr>
            <w:r>
              <w:t xml:space="preserve">Ancestral, insufficient. Contributes nothing this document retains.</w:t>
            </w:r>
          </w:p>
        </w:tc>
      </w:tr>
      <w:tr>
        <w:tc>
          <w:tcPr/>
          <w:p>
            <w:pPr>
              <w:pStyle w:val="Compact"/>
              <w:jc w:val="left"/>
            </w:pPr>
            <w:r>
              <w:rPr>
                <w:rStyle w:val="VerbatimChar"/>
              </w:rPr>
              <w:t xml:space="preserve">MPP-BA-001 V1.1 §11.2</w:t>
            </w:r>
            <w:r>
              <w:t xml:space="preserve"> </w:t>
            </w:r>
            <w:r>
              <w:t xml:space="preserve">·</w:t>
            </w:r>
            <w:r>
              <w:t xml:space="preserve"> </w:t>
            </w:r>
            <w:r>
              <w:rPr>
                <w:rStyle w:val="VerbatimChar"/>
              </w:rPr>
              <w:t xml:space="preserve">DL-037</w:t>
            </w:r>
            <w:r>
              <w:t xml:space="preserve"> </w:t>
            </w:r>
            <w:r>
              <w:t xml:space="preserve">·</w:t>
            </w:r>
            <w:r>
              <w:t xml:space="preserve"> </w:t>
            </w:r>
            <w:r>
              <w:rPr>
                <w:rStyle w:val="VerbatimChar"/>
              </w:rPr>
              <w:t xml:space="preserve">DL-031</w:t>
            </w:r>
            <w:r>
              <w:t xml:space="preserve"> </w:t>
            </w:r>
            <w:r>
              <w:t xml:space="preserve">·</w:t>
            </w:r>
            <w:r>
              <w:t xml:space="preserve"> </w:t>
            </w:r>
            <w:r>
              <w:rPr>
                <w:rStyle w:val="VerbatimChar"/>
              </w:rPr>
              <w:t xml:space="preserve">DL-MBRD-ACT-002</w:t>
            </w:r>
          </w:p>
        </w:tc>
        <w:tc>
          <w:tcPr/>
          <w:p>
            <w:pPr>
              <w:pStyle w:val="Compact"/>
              <w:jc w:val="left"/>
            </w:pPr>
            <w:r>
              <w:t xml:space="preserve">Brand, naming and spelling authority. Binding.</w:t>
            </w:r>
          </w:p>
        </w:tc>
      </w:tr>
      <w:tr>
        <w:tc>
          <w:tcPr/>
          <w:p>
            <w:pPr>
              <w:pStyle w:val="Compact"/>
              <w:jc w:val="left"/>
            </w:pPr>
            <w:r>
              <w:rPr>
                <w:rStyle w:val="VerbatimChar"/>
              </w:rPr>
              <w:t xml:space="preserve">MPP-PDS-001 V1.1 §9</w:t>
            </w:r>
          </w:p>
        </w:tc>
        <w:tc>
          <w:tcPr/>
          <w:p>
            <w:pPr>
              <w:pStyle w:val="Compact"/>
              <w:jc w:val="left"/>
            </w:pPr>
            <w:r>
              <w:t xml:space="preserve">Sector Pilot #1 authority —</w:t>
            </w:r>
            <w:r>
              <w:t xml:space="preserve"> </w:t>
            </w:r>
            <w:r>
              <w:rPr>
                <w:bCs/>
                <w:b/>
              </w:rPr>
              <w:t xml:space="preserve">cited with its own status caveat</w:t>
            </w:r>
            <w:r>
              <w:t xml:space="preserve"> </w:t>
            </w:r>
            <w:r>
              <w:t xml:space="preserve">(§S1.4).</w:t>
            </w:r>
          </w:p>
        </w:tc>
      </w:tr>
      <w:tr>
        <w:tc>
          <w:tcPr/>
          <w:p>
            <w:pPr>
              <w:pStyle w:val="Compact"/>
              <w:jc w:val="left"/>
            </w:pPr>
            <w:r>
              <w:rPr>
                <w:rStyle w:val="VerbatimChar"/>
              </w:rPr>
              <w:t xml:space="preserve">MPC-V1.0 §2.1.3 / §4.2.3</w:t>
            </w:r>
          </w:p>
        </w:tc>
        <w:tc>
          <w:tcPr/>
          <w:p>
            <w:pPr>
              <w:pStyle w:val="Compact"/>
              <w:jc w:val="left"/>
            </w:pPr>
            <w:r>
              <w:t xml:space="preserve">Companion-animal scope lock. Binding.</w:t>
            </w:r>
          </w:p>
        </w:tc>
      </w:tr>
      <w:tr>
        <w:tc>
          <w:tcPr/>
          <w:p>
            <w:pPr>
              <w:pStyle w:val="Compact"/>
              <w:jc w:val="left"/>
            </w:pPr>
            <w:r>
              <w:rPr>
                <w:rStyle w:val="VerbatimChar"/>
              </w:rPr>
              <w:t xml:space="preserve">MPP-MVC-RECON-001 V1.0</w:t>
            </w:r>
          </w:p>
        </w:tc>
        <w:tc>
          <w:tcPr/>
          <w:p>
            <w:pPr>
              <w:pStyle w:val="Compact"/>
              <w:jc w:val="left"/>
            </w:pPr>
            <w:r>
              <w:rPr>
                <w:bCs/>
                <w:b/>
              </w:rPr>
              <w:t xml:space="preserve">Cannot be produced. Recorded as a P0 custody exception.</w:t>
            </w:r>
            <w:r>
              <w:t xml:space="preserve"> </w:t>
            </w:r>
            <w:r>
              <w:t xml:space="preserve">Nothing in this document inherits from it (§S1.5).</w:t>
            </w:r>
          </w:p>
        </w:tc>
      </w:tr>
    </w:tbl>
    <w:bookmarkEnd w:id="22"/>
    <w:bookmarkStart w:id="23" w:name="s03-notation"/>
    <w:p>
      <w:pPr>
        <w:pStyle w:val="Heading3"/>
      </w:pPr>
      <w:r>
        <w:t xml:space="preserve">S0.3 Notation</w:t>
      </w:r>
    </w:p>
    <w:p>
      <w:pPr>
        <w:numPr>
          <w:ilvl w:val="0"/>
          <w:numId w:val="1001"/>
        </w:numPr>
        <w:pStyle w:val="Compact"/>
      </w:pPr>
      <w:r>
        <w:rPr>
          <w:rStyle w:val="VerbatimChar"/>
        </w:rPr>
        <w:t xml:space="preserve">[EVIDENCE REQUIRED]</w:t>
      </w:r>
      <w:r>
        <w:t xml:space="preserve"> </w:t>
      </w:r>
      <w:r>
        <w:t xml:space="preserve">— a factual claim that is not established. It must not be relied on, quoted externally, or built to, until sourced. Every instance is consolidated in Annex B.</w:t>
      </w:r>
    </w:p>
    <w:p>
      <w:pPr>
        <w:numPr>
          <w:ilvl w:val="0"/>
          <w:numId w:val="1001"/>
        </w:numPr>
        <w:pStyle w:val="Compact"/>
      </w:pPr>
      <w:r>
        <w:rPr>
          <w:rStyle w:val="VerbatimChar"/>
        </w:rPr>
        <w:t xml:space="preserve">[DESIGN POSITION]</w:t>
      </w:r>
      <w:r>
        <w:t xml:space="preserve"> </w:t>
      </w:r>
      <w:r>
        <w:t xml:space="preserve">— a decision made by the authoring team, with reasoning. It may be overturned, but only explicitly.</w:t>
      </w:r>
    </w:p>
    <w:p>
      <w:pPr>
        <w:numPr>
          <w:ilvl w:val="0"/>
          <w:numId w:val="1001"/>
        </w:numPr>
        <w:pStyle w:val="Compact"/>
      </w:pPr>
      <w:r>
        <w:rPr>
          <w:rStyle w:val="VerbatimChar"/>
        </w:rPr>
        <w:t xml:space="preserve">[HYPOTHESIS]</w:t>
      </w:r>
      <w:r>
        <w:t xml:space="preserve"> </w:t>
      </w:r>
      <w:r>
        <w:t xml:space="preserve">— a commercial or behavioural assumption stated as such, with the validation method named.</w:t>
      </w:r>
    </w:p>
    <w:p>
      <w:pPr>
        <w:numPr>
          <w:ilvl w:val="0"/>
          <w:numId w:val="1001"/>
        </w:numPr>
        <w:pStyle w:val="Compact"/>
      </w:pPr>
      <w:r>
        <w:t xml:space="preserve">Requirement IDs:</w:t>
      </w:r>
      <w:r>
        <w:t xml:space="preserve"> </w:t>
      </w:r>
      <w:r>
        <w:rPr>
          <w:rStyle w:val="VerbatimChar"/>
        </w:rPr>
        <w:t xml:space="preserve">P-</w:t>
      </w:r>
      <w:r>
        <w:t xml:space="preserve"> </w:t>
      </w:r>
      <w:r>
        <w:t xml:space="preserve">product ·</w:t>
      </w:r>
      <w:r>
        <w:t xml:space="preserve"> </w:t>
      </w:r>
      <w:r>
        <w:rPr>
          <w:rStyle w:val="VerbatimChar"/>
        </w:rPr>
        <w:t xml:space="preserve">X-</w:t>
      </w:r>
      <w:r>
        <w:t xml:space="preserve"> </w:t>
      </w:r>
      <w:r>
        <w:t xml:space="preserve">experience ·</w:t>
      </w:r>
      <w:r>
        <w:t xml:space="preserve"> </w:t>
      </w:r>
      <w:r>
        <w:rPr>
          <w:rStyle w:val="VerbatimChar"/>
        </w:rPr>
        <w:t xml:space="preserve">D-</w:t>
      </w:r>
      <w:r>
        <w:t xml:space="preserve"> </w:t>
      </w:r>
      <w:r>
        <w:t xml:space="preserve">decision support ·</w:t>
      </w:r>
      <w:r>
        <w:t xml:space="preserve"> </w:t>
      </w:r>
      <w:r>
        <w:rPr>
          <w:rStyle w:val="VerbatimChar"/>
        </w:rPr>
        <w:t xml:space="preserve">R-</w:t>
      </w:r>
      <w:r>
        <w:t xml:space="preserve"> </w:t>
      </w:r>
      <w:r>
        <w:t xml:space="preserve">regulatory ·</w:t>
      </w:r>
      <w:r>
        <w:t xml:space="preserve"> </w:t>
      </w:r>
      <w:r>
        <w:rPr>
          <w:rStyle w:val="VerbatimChar"/>
        </w:rPr>
        <w:t xml:space="preserve">M-</w:t>
      </w:r>
      <w:r>
        <w:t xml:space="preserve"> </w:t>
      </w:r>
      <w:r>
        <w:t xml:space="preserve">data model ·</w:t>
      </w:r>
      <w:r>
        <w:t xml:space="preserve"> </w:t>
      </w:r>
      <w:r>
        <w:rPr>
          <w:rStyle w:val="VerbatimChar"/>
        </w:rPr>
        <w:t xml:space="preserve">E-</w:t>
      </w:r>
      <w:r>
        <w:t xml:space="preserve"> </w:t>
      </w:r>
      <w:r>
        <w:t xml:space="preserve">engineering ·</w:t>
      </w:r>
      <w:r>
        <w:t xml:space="preserve"> </w:t>
      </w:r>
      <w:r>
        <w:rPr>
          <w:rStyle w:val="VerbatimChar"/>
        </w:rPr>
        <w:t xml:space="preserve">C-</w:t>
      </w:r>
      <w:r>
        <w:t xml:space="preserve"> </w:t>
      </w:r>
      <w:r>
        <w:t xml:space="preserve">commercial ·</w:t>
      </w:r>
      <w:r>
        <w:t xml:space="preserve"> </w:t>
      </w:r>
      <w:r>
        <w:rPr>
          <w:rStyle w:val="VerbatimChar"/>
        </w:rPr>
        <w:t xml:space="preserve">N-</w:t>
      </w:r>
      <w:r>
        <w:t xml:space="preserve"> </w:t>
      </w:r>
      <w:r>
        <w:t xml:space="preserve">non-functional.</w:t>
      </w:r>
    </w:p>
    <w:p>
      <w:r>
        <w:pict>
          <v:rect style="width:0;height:1.5pt" o:hralign="center" o:hrstd="t" o:hr="t"/>
        </w:pict>
      </w:r>
    </w:p>
    <w:bookmarkEnd w:id="23"/>
    <w:bookmarkEnd w:id="24"/>
    <w:bookmarkEnd w:id="25"/>
    <w:bookmarkStart w:id="34" w:name="s1--foundations-and-inheritance"/>
    <w:p>
      <w:pPr>
        <w:pStyle w:val="Heading1"/>
      </w:pPr>
      <w:r>
        <w:t xml:space="preserve">S1 · Foundations and Inheritance</w:t>
      </w:r>
    </w:p>
    <w:bookmarkStart w:id="28" w:name="Xa37c0480433a5a11a15d896d745c63d975c6ce9"/>
    <w:p>
      <w:pPr>
        <w:pStyle w:val="Heading2"/>
      </w:pPr>
      <w:r>
        <w:t xml:space="preserve">S1.1 The two findings that govern this document</w:t>
      </w:r>
    </w:p>
    <w:bookmarkStart w:id="26" w:name="identity--closed"/>
    <w:p>
      <w:pPr>
        <w:pStyle w:val="Heading3"/>
      </w:pPr>
      <w:r>
        <w:t xml:space="preserve">Identity —</w:t>
      </w:r>
      <w:r>
        <w:t xml:space="preserve"> </w:t>
      </w:r>
      <w:r>
        <w:rPr>
          <w:bCs/>
          <w:b/>
        </w:rPr>
        <w:t xml:space="preserve">CLOSED</w:t>
      </w:r>
    </w:p>
    <w:p>
      <w:pPr>
        <w:pStyle w:val="FirstParagraph"/>
      </w:pPr>
      <w:r>
        <w:rPr>
          <w:rStyle w:val="VerbatimChar"/>
        </w:rPr>
        <w:t xml:space="preserve">PetCare KSA</w:t>
      </w:r>
      <w:r>
        <w:t xml:space="preserve">,</w:t>
      </w:r>
      <w:r>
        <w:t xml:space="preserve"> </w:t>
      </w:r>
      <w:r>
        <w:rPr>
          <w:rStyle w:val="VerbatimChar"/>
        </w:rPr>
        <w:t xml:space="preserve">PetCare</w:t>
      </w:r>
      <w:r>
        <w:t xml:space="preserve">,</w:t>
      </w:r>
      <w:r>
        <w:t xml:space="preserve"> </w:t>
      </w:r>
      <w:r>
        <w:rPr>
          <w:rStyle w:val="VerbatimChar"/>
        </w:rPr>
        <w:t xml:space="preserve">MyVetCare</w:t>
      </w:r>
      <w:r>
        <w:t xml:space="preserve">,</w:t>
      </w:r>
      <w:r>
        <w:t xml:space="preserve"> </w:t>
      </w:r>
      <w:r>
        <w:rPr>
          <w:rStyle w:val="VerbatimChar"/>
        </w:rPr>
        <w:t xml:space="preserve">MyVetiCare</w:t>
      </w:r>
      <w:r>
        <w:t xml:space="preserve">,</w:t>
      </w:r>
      <w:r>
        <w:t xml:space="preserve"> </w:t>
      </w:r>
      <w:r>
        <w:rPr>
          <w:rStyle w:val="VerbatimChar"/>
        </w:rPr>
        <w:t xml:space="preserve">VetiCare</w:t>
      </w:r>
      <w:r>
        <w:t xml:space="preserve"> </w:t>
      </w:r>
      <w:r>
        <w:t xml:space="preserve">and</w:t>
      </w:r>
      <w:r>
        <w:t xml:space="preserve"> </w:t>
      </w:r>
      <w:r>
        <w:rPr>
          <w:rStyle w:val="VerbatimChar"/>
        </w:rPr>
        <w:t xml:space="preserve">Maqaleed Vet</w:t>
      </w:r>
      <w:r>
        <w:t xml:space="preserve"> </w:t>
      </w:r>
      <w:r>
        <w:t xml:space="preserve">belong to</w:t>
      </w:r>
      <w:r>
        <w:t xml:space="preserve"> </w:t>
      </w:r>
      <w:r>
        <w:rPr>
          <w:bCs/>
          <w:b/>
        </w:rPr>
        <w:t xml:space="preserve">one platform lineage</w:t>
      </w:r>
      <w:r>
        <w:t xml:space="preserve">, anchored on the immutable backend identifier</w:t>
      </w:r>
      <w:r>
        <w:t xml:space="preserve"> </w:t>
      </w:r>
      <w:r>
        <w:rPr>
          <w:rStyle w:val="VerbatimChar"/>
        </w:rPr>
        <w:t xml:space="preserve">myveticare</w:t>
      </w:r>
      <w:r>
        <w:t xml:space="preserve">. The lineage is:</w:t>
      </w:r>
    </w:p>
    <w:p>
      <w:pPr>
        <w:pStyle w:val="SourceCode"/>
      </w:pPr>
      <w:r>
        <w:rPr>
          <w:rStyle w:val="VerbatimChar"/>
        </w:rPr>
        <w:t xml:space="preserve">PetCare KSA                        original concept &amp; document identity</w:t>
      </w:r>
      <w:r>
        <w:br/>
      </w:r>
      <w:r>
        <w:rPr>
          <w:rStyle w:val="VerbatimChar"/>
        </w:rPr>
        <w:t xml:space="preserve">    → myveticare                   backend / platform identity (immutable, DL-031 D26)</w:t>
      </w:r>
      <w:r>
        <w:br/>
      </w:r>
      <w:r>
        <w:rPr>
          <w:rStyle w:val="VerbatimChar"/>
        </w:rPr>
        <w:t xml:space="preserve">        → MyVetiCare               canonical internal spelling (DL-MBRD-ACT-002, 25 Aug 2026)</w:t>
      </w:r>
      <w:r>
        <w:br/>
      </w:r>
      <w:r>
        <w:rPr>
          <w:rStyle w:val="VerbatimChar"/>
        </w:rPr>
        <w:t xml:space="preserve">            → VetiCare             commercial / B2C-SMB brand</w:t>
      </w:r>
      <w:r>
        <w:br/>
      </w:r>
      <w:r>
        <w:rPr>
          <w:rStyle w:val="VerbatimChar"/>
        </w:rPr>
        <w:t xml:space="preserve">            → Maqaleed Vet         corporate / sovereign B2G brand</w:t>
      </w:r>
      <w:r>
        <w:br/>
      </w:r>
      <w:r>
        <w:rPr>
          <w:rStyle w:val="VerbatimChar"/>
        </w:rPr>
        <w:t xml:space="preserve">            → Maqaleed Vet by VetiCare   portfolio-public composition (BA-001 V1.1 §11.2, §8)</w:t>
      </w:r>
    </w:p>
    <w:p>
      <w:pPr>
        <w:pStyle w:val="FirstParagraph"/>
      </w:pPr>
      <w:r>
        <w:t xml:space="preserve">The portfolio deliberately separated</w:t>
      </w:r>
      <w:r>
        <w:t xml:space="preserve"> </w:t>
      </w:r>
      <w:r>
        <w:rPr>
          <w:bCs/>
          <w:b/>
        </w:rPr>
        <w:t xml:space="preserve">backend identity</w:t>
      </w:r>
      <w:r>
        <w:t xml:space="preserve"> </w:t>
      </w:r>
      <w:r>
        <w:t xml:space="preserve">from</w:t>
      </w:r>
      <w:r>
        <w:t xml:space="preserve"> </w:t>
      </w:r>
      <w:r>
        <w:rPr>
          <w:bCs/>
          <w:b/>
        </w:rPr>
        <w:t xml:space="preserve">public identity</w:t>
      </w:r>
      <w:r>
        <w:t xml:space="preserve"> </w:t>
      </w:r>
      <w:r>
        <w:t xml:space="preserve">in May 2026, and used PetCare → MyVetCare as the worked example of that rule. Legacy technical identifiers — repositories, GCP project IDs, evidence paths, service names still carrying</w:t>
      </w:r>
      <w:r>
        <w:t xml:space="preserve"> </w:t>
      </w:r>
      <w:r>
        <w:rPr>
          <w:rStyle w:val="VerbatimChar"/>
        </w:rPr>
        <w:t xml:space="preserve">petcare</w:t>
      </w:r>
      <w:r>
        <w:t xml:space="preserve"> </w:t>
      </w:r>
      <w:r>
        <w:t xml:space="preserve">— are</w:t>
      </w:r>
      <w:r>
        <w:t xml:space="preserve"> </w:t>
      </w:r>
      <w:r>
        <w:rPr>
          <w:bCs/>
          <w:b/>
        </w:rPr>
        <w:t xml:space="preserve">intentional retention</w:t>
      </w:r>
      <w:r>
        <w:t xml:space="preserve">, recorded as Constitutional Complete / Operational Legacy Retained. They must not be renamed for brand consistency, and their presence is never a finding.</w:t>
      </w:r>
    </w:p>
    <w:p>
      <w:pPr>
        <w:pStyle w:val="BodyText"/>
      </w:pPr>
      <w:r>
        <w:t xml:space="preserve">This closes the "product-identity reconciliation" question that Gate A raised and could not name.</w:t>
      </w:r>
    </w:p>
    <w:bookmarkEnd w:id="26"/>
    <w:bookmarkStart w:id="27" w:name="X02c28a9064adea68694fc42823196c1eb8e31f2"/>
    <w:p>
      <w:pPr>
        <w:pStyle w:val="Heading3"/>
      </w:pPr>
      <w:r>
        <w:t xml:space="preserve">Requirements inheritance —</w:t>
      </w:r>
      <w:r>
        <w:t xml:space="preserve"> </w:t>
      </w:r>
      <w:r>
        <w:rPr>
          <w:bCs/>
          <w:b/>
        </w:rPr>
        <w:t xml:space="preserve">NOT ESTABLISHED</w:t>
      </w:r>
    </w:p>
    <w:p>
      <w:pPr>
        <w:pStyle w:val="FirstParagraph"/>
      </w:pPr>
      <w:r>
        <w:t xml:space="preserve">Identity continuity does</w:t>
      </w:r>
      <w:r>
        <w:t xml:space="preserve"> </w:t>
      </w:r>
      <w:r>
        <w:rPr>
          <w:bCs/>
          <w:b/>
        </w:rPr>
        <w:t xml:space="preserve">not</w:t>
      </w:r>
      <w:r>
        <w:t xml:space="preserve"> </w:t>
      </w:r>
      <w:r>
        <w:t xml:space="preserve">establish requirements continuity. The constitutional work says a public brand may evolve while lineage and backend identity remain stable. It does not say that old requirements survive a later rescope.</w:t>
      </w:r>
    </w:p>
    <w:p>
      <w:pPr>
        <w:pStyle w:val="BodyText"/>
      </w:pPr>
      <w:r>
        <w:t xml:space="preserve">And a rescope is exactly what happened. The platform moved from a</w:t>
      </w:r>
      <w:r>
        <w:t xml:space="preserve"> </w:t>
      </w:r>
      <w:r>
        <w:rPr>
          <w:bCs/>
          <w:b/>
        </w:rPr>
        <w:t xml:space="preserve">pharmacy-chain digitisation model</w:t>
      </w:r>
      <w:r>
        <w:t xml:space="preserve"> </w:t>
      </w:r>
      <w:r>
        <w:t xml:space="preserve">to a</w:t>
      </w:r>
      <w:r>
        <w:t xml:space="preserve"> </w:t>
      </w:r>
      <w:r>
        <w:rPr>
          <w:bCs/>
          <w:b/>
        </w:rPr>
        <w:t xml:space="preserve">sector ecosystem with companion-animal practice management as the initial bounded release</w:t>
      </w:r>
      <w:r>
        <w:t xml:space="preserve">, with equine, livestock, manufacturer and B2G extensions gated behind it. Between those two models sit: the companion-animal scope lock, the procedural-support boundary, the fenced-capability list, the two-gate framework, the Pattern B brand assignment, and the sector absorption.</w:t>
      </w:r>
    </w:p>
    <w:p>
      <w:pPr>
        <w:pStyle w:val="BodyText"/>
      </w:pPr>
      <w:r>
        <w:t xml:space="preserve">Therefore:</w:t>
      </w:r>
    </w:p>
    <w:p>
      <w:pPr>
        <w:pStyle w:val="BlockText"/>
      </w:pPr>
      <w:r>
        <w:rPr>
          <w:rStyle w:val="VerbatimChar"/>
          <w:bCs/>
          <w:b/>
        </w:rPr>
        <w:t xml:space="preserve">PetCare KSA BRD v1.0</w:t>
      </w:r>
      <w:r>
        <w:rPr>
          <w:bCs/>
          <w:b/>
        </w:rPr>
        <w:t xml:space="preserve"> </w:t>
      </w:r>
      <w:r>
        <w:rPr>
          <w:bCs/>
          <w:b/>
        </w:rPr>
        <w:t xml:space="preserve">is unquestionably ancestral. It is not unquestionably authoritative.</w:t>
      </w:r>
    </w:p>
    <w:p>
      <w:pPr>
        <w:pStyle w:val="FirstParagraph"/>
      </w:pPr>
      <w:r>
        <w:t xml:space="preserve">The correct governance chain — and the chain this document instantiates — is:</w:t>
      </w:r>
    </w:p>
    <w:p>
      <w:pPr>
        <w:pStyle w:val="SourceCode"/>
      </w:pPr>
      <w:r>
        <w:rPr>
          <w:rStyle w:val="VerbatimChar"/>
        </w:rPr>
        <w:t xml:space="preserve">PetCare KSA legacy requirements</w:t>
      </w:r>
      <w:r>
        <w:br/>
      </w:r>
      <w:r>
        <w:rPr>
          <w:rStyle w:val="VerbatimChar"/>
        </w:rPr>
        <w:t xml:space="preserve">    → explicit reconciliation &amp; disposition        [Annex A of this document]</w:t>
      </w:r>
      <w:r>
        <w:br/>
      </w:r>
      <w:r>
        <w:rPr>
          <w:rStyle w:val="VerbatimChar"/>
        </w:rPr>
        <w:t xml:space="preserve">        → current MyVetiCare scope constitution     [§S2]</w:t>
      </w:r>
      <w:r>
        <w:br/>
      </w:r>
      <w:r>
        <w:rPr>
          <w:rStyle w:val="VerbatimChar"/>
        </w:rPr>
        <w:t xml:space="preserve">            → MVC-BRD-001 V3.0                      [this document]</w:t>
      </w:r>
      <w:r>
        <w:br/>
      </w:r>
      <w:r>
        <w:rPr>
          <w:rStyle w:val="VerbatimChar"/>
        </w:rPr>
        <w:t xml:space="preserve">                → VetiCare / Maqaleed Vet public surfaces</w:t>
      </w:r>
    </w:p>
    <w:p>
      <w:pPr>
        <w:pStyle w:val="FirstParagraph"/>
      </w:pPr>
      <w:r>
        <w:rPr>
          <w:bCs/>
          <w:b/>
        </w:rPr>
        <w:t xml:space="preserve">This document therefore does not start from a blank sheet.</w:t>
      </w:r>
      <w:r>
        <w:t xml:space="preserve"> </w:t>
      </w:r>
      <w:r>
        <w:t xml:space="preserve">Every legacy requirement is carried through Annex A and receives one of five dispositions —</w:t>
      </w:r>
      <w:r>
        <w:t xml:space="preserve"> </w:t>
      </w:r>
      <w:r>
        <w:rPr>
          <w:bCs/>
          <w:b/>
        </w:rPr>
        <w:t xml:space="preserve">RETAIN · MODIFY · FENCE · DEFER · REJECT</w:t>
      </w:r>
      <w:r>
        <w:t xml:space="preserve"> </w:t>
      </w:r>
      <w:r>
        <w:t xml:space="preserve">— with a reason. Nothing is silently inherited, and nothing useful is silently discarded.</w:t>
      </w:r>
    </w:p>
    <w:bookmarkEnd w:id="27"/>
    <w:bookmarkEnd w:id="28"/>
    <w:bookmarkStart w:id="29" w:name="X9fbcaa5fd3e029236bf10f38bce5ec5ab973cee"/>
    <w:p>
      <w:pPr>
        <w:pStyle w:val="Heading2"/>
      </w:pPr>
      <w:r>
        <w:t xml:space="preserve">S1.2 The register-construction defect this exposes</w:t>
      </w:r>
    </w:p>
    <w:p>
      <w:pPr>
        <w:pStyle w:val="FirstParagraph"/>
      </w:pPr>
      <w:r>
        <w:t xml:space="preserve">The estate already possessed the mechanism needed to handle this correctly. The correct canonicalisation path was:</w:t>
      </w:r>
    </w:p>
    <w:p>
      <w:pPr>
        <w:pStyle w:val="BlockText"/>
      </w:pPr>
      <w:r>
        <w:rPr>
          <w:bCs/>
          <w:b/>
        </w:rPr>
        <w:t xml:space="preserve">backend identity → lineage → authority decision → substantive fitness</w:t>
      </w:r>
    </w:p>
    <w:p>
      <w:pPr>
        <w:pStyle w:val="FirstParagraph"/>
      </w:pPr>
      <w:r>
        <w:t xml:space="preserve">What actually happened was:</w:t>
      </w:r>
    </w:p>
    <w:p>
      <w:pPr>
        <w:pStyle w:val="BlockText"/>
      </w:pPr>
      <w:r>
        <w:rPr>
          <w:bCs/>
          <w:b/>
        </w:rPr>
        <w:t xml:space="preserve">filename → apparent version number → canonical</w:t>
      </w:r>
    </w:p>
    <w:p>
      <w:pPr>
        <w:pStyle w:val="FirstParagraph"/>
      </w:pPr>
      <w:r>
        <w:t xml:space="preserve">The result: the Authority Register canonicalised a 3,505-character summary because its filename contained</w:t>
      </w:r>
      <w:r>
        <w:t xml:space="preserve"> </w:t>
      </w:r>
      <w:r>
        <w:rPr>
          <w:rStyle w:val="VerbatimChar"/>
        </w:rPr>
        <w:t xml:space="preserve">BRD</w:t>
      </w:r>
      <w:r>
        <w:t xml:space="preserve"> </w:t>
      </w:r>
      <w:r>
        <w:t xml:space="preserve">and the higher version number, while ~130,000 characters of genuine requirement substance —</w:t>
      </w:r>
      <w:r>
        <w:t xml:space="preserve"> </w:t>
      </w:r>
      <w:r>
        <w:rPr>
          <w:rStyle w:val="VerbatimChar"/>
        </w:rPr>
        <w:t xml:space="preserve">PetCare_KSA_Operating_Model_v2_0.docx</w:t>
      </w:r>
      <w:r>
        <w:t xml:space="preserve"> </w:t>
      </w:r>
      <w:r>
        <w:t xml:space="preserve">(72,498 chars) and</w:t>
      </w:r>
      <w:r>
        <w:t xml:space="preserve"> </w:t>
      </w:r>
      <w:r>
        <w:rPr>
          <w:rStyle w:val="VerbatimChar"/>
        </w:rPr>
        <w:t xml:space="preserve">PetCare_KSA_Ecosystem_Extensibility_Position_v1_0.docx</w:t>
      </w:r>
      <w:r>
        <w:t xml:space="preserve"> </w:t>
      </w:r>
      <w:r>
        <w:t xml:space="preserve">(57,971 chars) — sat outside the authority layer entirely.</w:t>
      </w:r>
    </w:p>
    <w:p>
      <w:pPr>
        <w:pStyle w:val="BodyText"/>
      </w:pPr>
      <w:r>
        <w:t xml:space="preserve">This is</w:t>
      </w:r>
      <w:r>
        <w:t xml:space="preserve"> </w:t>
      </w:r>
      <w:r>
        <w:rPr>
          <w:bCs/>
          <w:b/>
        </w:rPr>
        <w:t xml:space="preserve">not a MyVetiCare defect</w:t>
      </w:r>
      <w:r>
        <w:t xml:space="preserve">. It is a register-construction defect, and the same selection rule should be audited across the estate. Carried as gap</w:t>
      </w:r>
      <w:r>
        <w:t xml:space="preserve"> </w:t>
      </w:r>
      <w:r>
        <w:rPr>
          <w:rStyle w:val="VerbatimChar"/>
        </w:rPr>
        <w:t xml:space="preserve">GOV-05</w:t>
      </w:r>
      <w:r>
        <w:t xml:space="preserve"> </w:t>
      </w:r>
      <w:r>
        <w:t xml:space="preserve">(Annex D of</w:t>
      </w:r>
      <w:r>
        <w:t xml:space="preserve"> </w:t>
      </w:r>
      <w:r>
        <w:rPr>
          <w:rStyle w:val="VerbatimChar"/>
        </w:rPr>
        <w:t xml:space="preserve">MVC-GAP-001</w:t>
      </w:r>
      <w:r>
        <w:t xml:space="preserve">).</w:t>
      </w:r>
    </w:p>
    <w:bookmarkEnd w:id="29"/>
    <w:bookmarkStart w:id="30" w:name="X5571342e8a64c868ea6a67b3a786257ed818224"/>
    <w:p>
      <w:pPr>
        <w:pStyle w:val="Heading2"/>
      </w:pPr>
      <w:r>
        <w:t xml:space="preserve">S1.3 What MyVetiCare inherits, and from what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Inherited constraint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Binding on</w:t>
            </w:r>
          </w:p>
        </w:tc>
      </w:tr>
      <w:tr>
        <w:tc>
          <w:tcPr/>
          <w:p>
            <w:pPr>
              <w:pStyle w:val="Compact"/>
              <w:jc w:val="left"/>
            </w:pPr>
            <w:r>
              <w:t xml:space="preserve">Companion-animal only; livestock deferred to Phase 2</w:t>
            </w:r>
          </w:p>
        </w:tc>
        <w:tc>
          <w:tcPr/>
          <w:p>
            <w:pPr>
              <w:pStyle w:val="Compact"/>
              <w:jc w:val="left"/>
            </w:pPr>
            <w:r>
              <w:rPr>
                <w:rStyle w:val="VerbatimChar"/>
              </w:rPr>
              <w:t xml:space="preserve">MPC-V1.0 §2.1.3</w:t>
            </w:r>
            <w:r>
              <w:t xml:space="preserve"> </w:t>
            </w:r>
            <w:r>
              <w:t xml:space="preserve">/</w:t>
            </w:r>
            <w:r>
              <w:t xml:space="preserve"> </w:t>
            </w:r>
            <w:r>
              <w:rPr>
                <w:rStyle w:val="VerbatimChar"/>
              </w:rPr>
              <w:t xml:space="preserve">§4.2.3</w:t>
            </w:r>
          </w:p>
        </w:tc>
        <w:tc>
          <w:tcPr/>
          <w:p>
            <w:pPr>
              <w:pStyle w:val="Compact"/>
              <w:jc w:val="left"/>
            </w:pPr>
            <w:r>
              <w:t xml:space="preserve">Ratified</w:t>
            </w:r>
          </w:p>
        </w:tc>
        <w:tc>
          <w:tcPr/>
          <w:p>
            <w:pPr>
              <w:pStyle w:val="Compact"/>
              <w:jc w:val="left"/>
            </w:pPr>
            <w:r>
              <w:t xml:space="preserve">§S2.1</w:t>
            </w:r>
          </w:p>
        </w:tc>
      </w:tr>
      <w:tr>
        <w:tc>
          <w:tcPr/>
          <w:p>
            <w:pPr>
              <w:pStyle w:val="Compact"/>
              <w:jc w:val="left"/>
            </w:pPr>
            <w:r>
              <w:t xml:space="preserve">Procedural-support only; licensed vet holds decision authority</w:t>
            </w:r>
          </w:p>
        </w:tc>
        <w:tc>
          <w:tcPr/>
          <w:p>
            <w:pPr>
              <w:pStyle w:val="Compact"/>
              <w:jc w:val="left"/>
            </w:pPr>
            <w:r>
              <w:t xml:space="preserve">Stage A contract;</w:t>
            </w:r>
            <w:r>
              <w:t xml:space="preserve"> </w:t>
            </w:r>
            <w:r>
              <w:rPr>
                <w:rStyle w:val="VerbatimChar"/>
              </w:rPr>
              <w:t xml:space="preserve">MPC-LO-003</w:t>
            </w:r>
            <w:r>
              <w:t xml:space="preserve"> </w:t>
            </w:r>
            <w:r>
              <w:t xml:space="preserve">scope framing</w:t>
            </w:r>
          </w:p>
        </w:tc>
        <w:tc>
          <w:tcPr/>
          <w:p>
            <w:pPr>
              <w:pStyle w:val="Compact"/>
              <w:jc w:val="left"/>
            </w:pPr>
            <w:r>
              <w:t xml:space="preserve">Ratified (contract) / opinion</w:t>
            </w:r>
            <w:r>
              <w:t xml:space="preserve"> </w:t>
            </w:r>
            <w:r>
              <w:rPr>
                <w:bCs/>
                <w:b/>
              </w:rPr>
              <w:t xml:space="preserve">pending</w:t>
            </w:r>
          </w:p>
        </w:tc>
        <w:tc>
          <w:tcPr/>
          <w:p>
            <w:pPr>
              <w:pStyle w:val="Compact"/>
              <w:jc w:val="left"/>
            </w:pPr>
            <w:r>
              <w:t xml:space="preserve">§S5</w:t>
            </w:r>
          </w:p>
        </w:tc>
      </w:tr>
      <w:tr>
        <w:tc>
          <w:tcPr/>
          <w:p>
            <w:pPr>
              <w:pStyle w:val="Compact"/>
              <w:jc w:val="left"/>
            </w:pPr>
            <w:r>
              <w:t xml:space="preserve">Fenced capabilities: livestock · emergency routing · video · payment · marketplace · AI clinical · public registration</w:t>
            </w:r>
          </w:p>
        </w:tc>
        <w:tc>
          <w:tcPr/>
          <w:p>
            <w:pPr>
              <w:pStyle w:val="Compact"/>
              <w:jc w:val="left"/>
            </w:pPr>
            <w:r>
              <w:t xml:space="preserve">Stage A contract §scope</w:t>
            </w:r>
          </w:p>
        </w:tc>
        <w:tc>
          <w:tcPr/>
          <w:p>
            <w:pPr>
              <w:pStyle w:val="Compact"/>
              <w:jc w:val="left"/>
            </w:pPr>
            <w:r>
              <w:t xml:space="preserve">Ratified</w:t>
            </w:r>
          </w:p>
        </w:tc>
        <w:tc>
          <w:tcPr/>
          <w:p>
            <w:pPr>
              <w:pStyle w:val="Compact"/>
              <w:jc w:val="left"/>
            </w:pPr>
            <w:r>
              <w:t xml:space="preserve">§S2.2</w:t>
            </w:r>
          </w:p>
        </w:tc>
      </w:tr>
      <w:tr>
        <w:tc>
          <w:tcPr/>
          <w:p>
            <w:pPr>
              <w:pStyle w:val="Compact"/>
              <w:jc w:val="left"/>
            </w:pPr>
            <w:r>
              <w:t xml:space="preserve">Two-gate framework: engineering (G-C1…G-A1) vs commercial (G-1…G-5); never conflated</w:t>
            </w:r>
          </w:p>
        </w:tc>
        <w:tc>
          <w:tcPr/>
          <w:p>
            <w:pPr>
              <w:pStyle w:val="Compact"/>
              <w:jc w:val="left"/>
            </w:pPr>
            <w:r>
              <w:t xml:space="preserve">Stage A contract</w:t>
            </w:r>
          </w:p>
        </w:tc>
        <w:tc>
          <w:tcPr/>
          <w:p>
            <w:pPr>
              <w:pStyle w:val="Compact"/>
              <w:jc w:val="left"/>
            </w:pPr>
            <w:r>
              <w:t xml:space="preserve">Ratified —</w:t>
            </w:r>
            <w:r>
              <w:t xml:space="preserve"> </w:t>
            </w:r>
            <w:r>
              <w:rPr>
                <w:bCs/>
                <w:b/>
              </w:rPr>
              <w:t xml:space="preserve">but its stated derivation is unverifiable, see §S1.5</w:t>
            </w:r>
          </w:p>
        </w:tc>
        <w:tc>
          <w:tcPr/>
          <w:p>
            <w:pPr>
              <w:pStyle w:val="Compact"/>
              <w:jc w:val="left"/>
            </w:pPr>
            <w:r>
              <w:t xml:space="preserve">§S10</w:t>
            </w:r>
          </w:p>
        </w:tc>
      </w:tr>
      <w:tr>
        <w:tc>
          <w:tcPr/>
          <w:p>
            <w:pPr>
              <w:pStyle w:val="Compact"/>
              <w:jc w:val="left"/>
            </w:pPr>
            <w:r>
              <w:t xml:space="preserve">Backend</w:t>
            </w:r>
            <w:r>
              <w:t xml:space="preserve"> </w:t>
            </w:r>
            <w:r>
              <w:rPr>
                <w:rStyle w:val="VerbatimChar"/>
              </w:rPr>
              <w:t xml:space="preserve">myveticare</w:t>
            </w:r>
            <w:r>
              <w:t xml:space="preserve"> </w:t>
            </w:r>
            <w:r>
              <w:t xml:space="preserve">immutable</w:t>
            </w:r>
          </w:p>
        </w:tc>
        <w:tc>
          <w:tcPr/>
          <w:p>
            <w:pPr>
              <w:pStyle w:val="Compact"/>
              <w:jc w:val="left"/>
            </w:pPr>
            <w:r>
              <w:rPr>
                <w:rStyle w:val="VerbatimChar"/>
              </w:rPr>
              <w:t xml:space="preserve">DL-031</w:t>
            </w:r>
            <w:r>
              <w:t xml:space="preserve"> </w:t>
            </w:r>
            <w:r>
              <w:t xml:space="preserve">(D26)</w:t>
            </w:r>
          </w:p>
        </w:tc>
        <w:tc>
          <w:tcPr/>
          <w:p>
            <w:pPr>
              <w:pStyle w:val="Compact"/>
              <w:jc w:val="left"/>
            </w:pPr>
            <w:r>
              <w:t xml:space="preserve">Ratified · Immutable Lock</w:t>
            </w:r>
          </w:p>
        </w:tc>
        <w:tc>
          <w:tcPr/>
          <w:p>
            <w:pPr>
              <w:pStyle w:val="Compact"/>
              <w:jc w:val="left"/>
            </w:pPr>
            <w:r>
              <w:t xml:space="preserve">§S0</w:t>
            </w:r>
          </w:p>
        </w:tc>
      </w:tr>
      <w:tr>
        <w:tc>
          <w:tcPr/>
          <w:p>
            <w:pPr>
              <w:pStyle w:val="Compact"/>
              <w:jc w:val="left"/>
            </w:pPr>
            <w:r>
              <w:t xml:space="preserve">Pattern B dual brand + "Maqaleed Vet by VetiCare" composition; operational customer surfaces never use the composition form</w:t>
            </w:r>
          </w:p>
        </w:tc>
        <w:tc>
          <w:tcPr/>
          <w:p>
            <w:pPr>
              <w:pStyle w:val="Compact"/>
              <w:jc w:val="left"/>
            </w:pPr>
            <w:r>
              <w:rPr>
                <w:rStyle w:val="VerbatimChar"/>
              </w:rPr>
              <w:t xml:space="preserve">MPP-BA-001 V1.1 §8</w:t>
            </w:r>
            <w:r>
              <w:t xml:space="preserve">,</w:t>
            </w:r>
            <w:r>
              <w:t xml:space="preserve"> </w:t>
            </w:r>
            <w:r>
              <w:rPr>
                <w:rStyle w:val="VerbatimChar"/>
              </w:rPr>
              <w:t xml:space="preserve">§11.2</w:t>
            </w:r>
            <w:r>
              <w:t xml:space="preserve">;</w:t>
            </w:r>
            <w:r>
              <w:t xml:space="preserve"> </w:t>
            </w:r>
            <w:r>
              <w:rPr>
                <w:rStyle w:val="VerbatimChar"/>
              </w:rPr>
              <w:t xml:space="preserve">DL-037</w:t>
            </w:r>
          </w:p>
        </w:tc>
        <w:tc>
          <w:tcPr/>
          <w:p>
            <w:pPr>
              <w:pStyle w:val="Compact"/>
              <w:jc w:val="left"/>
            </w:pPr>
            <w:r>
              <w:t xml:space="preserve">Ratified</w:t>
            </w:r>
          </w:p>
        </w:tc>
        <w:tc>
          <w:tcPr/>
          <w:p>
            <w:pPr>
              <w:pStyle w:val="Compact"/>
              <w:jc w:val="left"/>
            </w:pPr>
            <w:r>
              <w:t xml:space="preserve">§S4, §S9</w:t>
            </w:r>
          </w:p>
        </w:tc>
      </w:tr>
      <w:tr>
        <w:tc>
          <w:tcPr/>
          <w:p>
            <w:pPr>
              <w:pStyle w:val="Compact"/>
              <w:jc w:val="left"/>
            </w:pPr>
            <w:r>
              <w:t xml:space="preserve">Canonical spelling</w:t>
            </w:r>
            <w:r>
              <w:t xml:space="preserve"> </w:t>
            </w:r>
            <w:r>
              <w:rPr>
                <w:rStyle w:val="VerbatimChar"/>
              </w:rPr>
              <w:t xml:space="preserve">MyVetiCare</w:t>
            </w:r>
          </w:p>
        </w:tc>
        <w:tc>
          <w:tcPr/>
          <w:p>
            <w:pPr>
              <w:pStyle w:val="Compact"/>
              <w:jc w:val="left"/>
            </w:pPr>
            <w:r>
              <w:rPr>
                <w:rStyle w:val="VerbatimChar"/>
              </w:rPr>
              <w:t xml:space="preserve">DL-MBRD-ACT-002 §2b</w:t>
            </w:r>
          </w:p>
        </w:tc>
        <w:tc>
          <w:tcPr/>
          <w:p>
            <w:pPr>
              <w:pStyle w:val="Compact"/>
              <w:jc w:val="left"/>
            </w:pPr>
            <w:r>
              <w:t xml:space="preserve">Ratified · Immutable Lock</w:t>
            </w:r>
          </w:p>
        </w:tc>
        <w:tc>
          <w:tcPr/>
          <w:p>
            <w:pPr>
              <w:pStyle w:val="Compact"/>
              <w:jc w:val="left"/>
            </w:pPr>
            <w:r>
              <w:t xml:space="preserve">Throughout</w:t>
            </w:r>
          </w:p>
        </w:tc>
      </w:tr>
      <w:tr>
        <w:tc>
          <w:tcPr/>
          <w:p>
            <w:pPr>
              <w:pStyle w:val="Compact"/>
              <w:jc w:val="left"/>
            </w:pPr>
            <w:r>
              <w:t xml:space="preserve">Sector Pilot #1 positioning</w:t>
            </w:r>
          </w:p>
        </w:tc>
        <w:tc>
          <w:tcPr/>
          <w:p>
            <w:pPr>
              <w:pStyle w:val="Compact"/>
              <w:jc w:val="left"/>
            </w:pPr>
            <w:r>
              <w:rPr>
                <w:rStyle w:val="VerbatimChar"/>
              </w:rPr>
              <w:t xml:space="preserve">MPP-PDS-001 V1.1 §9</w:t>
            </w:r>
          </w:p>
        </w:tc>
        <w:tc>
          <w:tcPr/>
          <w:p>
            <w:pPr>
              <w:pStyle w:val="Compact"/>
              <w:jc w:val="left"/>
            </w:pPr>
            <w:r>
              <w:rPr>
                <w:bCs/>
                <w:b/>
              </w:rPr>
              <w:t xml:space="preserve">Contested — see §S1.4</w:t>
            </w:r>
          </w:p>
        </w:tc>
        <w:tc>
          <w:tcPr/>
          <w:p>
            <w:pPr>
              <w:pStyle w:val="Compact"/>
              <w:jc w:val="left"/>
            </w:pPr>
            <w:r>
              <w:t xml:space="preserve">§S2.4</w:t>
            </w:r>
          </w:p>
        </w:tc>
      </w:tr>
      <w:tr>
        <w:tc>
          <w:tcPr/>
          <w:p>
            <w:pPr>
              <w:pStyle w:val="Compact"/>
              <w:jc w:val="left"/>
            </w:pPr>
            <w:r>
              <w:t xml:space="preserve">Platform state</w:t>
            </w:r>
            <w:r>
              <w:t xml:space="preserve"> </w:t>
            </w:r>
            <w:r>
              <w:rPr>
                <w:rStyle w:val="VerbatimChar"/>
              </w:rPr>
              <w:t xml:space="preserve">SPECIFIED — NOT AUTHORIZED</w:t>
            </w:r>
            <w:r>
              <w:t xml:space="preserve">; deferred out of Phase 1</w:t>
            </w:r>
          </w:p>
        </w:tc>
        <w:tc>
          <w:tcPr/>
          <w:p>
            <w:pPr>
              <w:pStyle w:val="Compact"/>
              <w:jc w:val="left"/>
            </w:pPr>
            <w:r>
              <w:rPr>
                <w:rStyle w:val="VerbatimChar"/>
              </w:rPr>
              <w:t xml:space="preserve">DL-P1-SCOPE-001</w:t>
            </w:r>
            <w:r>
              <w:t xml:space="preserve">;</w:t>
            </w:r>
            <w:r>
              <w:t xml:space="preserve"> </w:t>
            </w:r>
            <w:r>
              <w:rPr>
                <w:rStyle w:val="VerbatimChar"/>
              </w:rPr>
              <w:t xml:space="preserve">DL-MBRD-ACT-002</w:t>
            </w:r>
          </w:p>
        </w:tc>
        <w:tc>
          <w:tcPr/>
          <w:p>
            <w:pPr>
              <w:pStyle w:val="Compact"/>
              <w:jc w:val="left"/>
            </w:pPr>
            <w:r>
              <w:t xml:space="preserve">Ratified · Immutable Lock</w:t>
            </w:r>
          </w:p>
        </w:tc>
        <w:tc>
          <w:tcPr/>
          <w:p>
            <w:pPr>
              <w:pStyle w:val="Compact"/>
              <w:jc w:val="left"/>
            </w:pPr>
            <w:r>
              <w:t xml:space="preserve">§S10.6</w:t>
            </w:r>
          </w:p>
        </w:tc>
      </w:tr>
    </w:tbl>
    <w:bookmarkEnd w:id="30"/>
    <w:bookmarkStart w:id="31" w:name="X1d81baa276fcfd1a1d9a710cf28d77c7b0ad338"/>
    <w:p>
      <w:pPr>
        <w:pStyle w:val="Heading2"/>
      </w:pPr>
      <w:r>
        <w:t xml:space="preserve">S1.4 Inheritance caveat — the sector authority</w:t>
      </w:r>
    </w:p>
    <w:p>
      <w:pPr>
        <w:pStyle w:val="FirstParagraph"/>
      </w:pPr>
      <w:r>
        <w:rPr>
          <w:rStyle w:val="VerbatimChar"/>
        </w:rPr>
        <w:t xml:space="preserve">MPP-PDS-001 V1.1 §9</w:t>
      </w:r>
      <w:r>
        <w:t xml:space="preserve"> </w:t>
      </w:r>
      <w:r>
        <w:t xml:space="preserve">is cited by the</w:t>
      </w:r>
      <w:r>
        <w:t xml:space="preserve"> </w:t>
      </w:r>
      <w:r>
        <w:rPr>
          <w:rStyle w:val="VerbatimChar"/>
        </w:rPr>
        <w:t xml:space="preserve">PetCare Sector Absorption Memo</w:t>
      </w:r>
      <w:r>
        <w:t xml:space="preserve"> </w:t>
      </w:r>
      <w:r>
        <w:t xml:space="preserve">as ratifying Sector Pilot #1. The Portfolio Authority Register — which wins on any disagreement about authority state — records</w:t>
      </w:r>
      <w:r>
        <w:t xml:space="preserve"> </w:t>
      </w:r>
      <w:r>
        <w:rPr>
          <w:rStyle w:val="VerbatimChar"/>
        </w:rPr>
        <w:t xml:space="preserve">MPP-PDS-001 V1.1</w:t>
      </w:r>
      <w:r>
        <w:t xml:space="preserve"> </w:t>
      </w:r>
      <w:r>
        <w:t xml:space="preserve">as</w:t>
      </w:r>
      <w:r>
        <w:t xml:space="preserve"> </w:t>
      </w:r>
      <w:r>
        <w:rPr>
          <w:rStyle w:val="VerbatimChar"/>
        </w:rPr>
        <w:t xml:space="preserve">Authority: Candidate-Sponsor · Status: Candidate · PIAF: Pending</w:t>
      </w:r>
      <w:r>
        <w:t xml:space="preserve">, and its Notion body is blank so §9 cannot be read in the workspace at all.</w:t>
      </w:r>
    </w:p>
    <w:p>
      <w:pPr>
        <w:pStyle w:val="BodyText"/>
      </w:pPr>
      <w:r>
        <w:rPr>
          <w:bCs/>
          <w:b/>
        </w:rPr>
        <w:t xml:space="preserve">This document therefore cites the sector positioning as context, not as authority</w:t>
      </w:r>
      <w:r>
        <w:t xml:space="preserve">, and does not build any requirement whose validity depends on it. Resolution is carried as gap</w:t>
      </w:r>
      <w:r>
        <w:t xml:space="preserve"> </w:t>
      </w:r>
      <w:r>
        <w:rPr>
          <w:rStyle w:val="VerbatimChar"/>
        </w:rPr>
        <w:t xml:space="preserve">GOV-02</w:t>
      </w:r>
      <w:r>
        <w:t xml:space="preserve">.</w:t>
      </w:r>
    </w:p>
    <w:bookmarkEnd w:id="31"/>
    <w:bookmarkStart w:id="32" w:name="Xd7671aea23b2a48c3ff1fdc24e1a6c30f584872"/>
    <w:p>
      <w:pPr>
        <w:pStyle w:val="Heading2"/>
      </w:pPr>
      <w:r>
        <w:t xml:space="preserve">S1.5 Inheritance exception —</w:t>
      </w:r>
      <w:r>
        <w:t xml:space="preserve"> </w:t>
      </w:r>
      <w:r>
        <w:rPr>
          <w:rStyle w:val="VerbatimChar"/>
        </w:rPr>
        <w:t xml:space="preserve">MPP-MVC-RECON-001 V1.0</w:t>
      </w:r>
    </w:p>
    <w:p>
      <w:pPr>
        <w:pStyle w:val="FirstParagraph"/>
      </w:pPr>
      <w:r>
        <w:t xml:space="preserve">The Stage A contract names</w:t>
      </w:r>
      <w:r>
        <w:t xml:space="preserve"> </w:t>
      </w:r>
      <w:r>
        <w:rPr>
          <w:rStyle w:val="VerbatimChar"/>
        </w:rPr>
        <w:t xml:space="preserve">MPP-MVC-RECON-001 V1.0</w:t>
      </w:r>
      <w:r>
        <w:t xml:space="preserve"> </w:t>
      </w:r>
      <w:r>
        <w:t xml:space="preserve">as the</w:t>
      </w:r>
      <w:r>
        <w:t xml:space="preserve"> </w:t>
      </w:r>
      <w:r>
        <w:rPr>
          <w:bCs/>
          <w:b/>
        </w:rPr>
        <w:t xml:space="preserve">inheritance anchor that "governs above all prior MyVet docs."</w:t>
      </w:r>
      <w:r>
        <w:t xml:space="preserve"> </w:t>
      </w:r>
      <w:r>
        <w:t xml:space="preserve">It is further cited as the canonical state reference of the</w:t>
      </w:r>
      <w:r>
        <w:t xml:space="preserve"> </w:t>
      </w:r>
      <w:r>
        <w:rPr>
          <w:rStyle w:val="VerbatimChar"/>
        </w:rPr>
        <w:t xml:space="preserve">M3 Launch Decision Pack V1.1</w:t>
      </w:r>
      <w:r>
        <w:t xml:space="preserve">, the revision basis of</w:t>
      </w:r>
      <w:r>
        <w:t xml:space="preserve"> </w:t>
      </w:r>
      <w:r>
        <w:rPr>
          <w:rStyle w:val="VerbatimChar"/>
        </w:rPr>
        <w:t xml:space="preserve">MVC-TRUST-001 V1.1</w:t>
      </w:r>
      <w:r>
        <w:t xml:space="preserve"> </w:t>
      </w:r>
      <w:r>
        <w:t xml:space="preserve">and</w:t>
      </w:r>
      <w:r>
        <w:t xml:space="preserve"> </w:t>
      </w:r>
      <w:r>
        <w:rPr>
          <w:rStyle w:val="VerbatimChar"/>
        </w:rPr>
        <w:t xml:space="preserve">E5 V1.1</w:t>
      </w:r>
      <w:r>
        <w:t xml:space="preserve">, and the origin of the two-framework gate correction.</w:t>
      </w:r>
    </w:p>
    <w:p>
      <w:pPr>
        <w:pStyle w:val="BodyText"/>
      </w:pPr>
      <w:r>
        <w:rPr>
          <w:bCs/>
          <w:b/>
        </w:rPr>
        <w:t xml:space="preserve">It has no Notion page, no register row, and no file on the Sponsor's device.</w:t>
      </w:r>
      <w:r>
        <w:t xml:space="preserve"> </w:t>
      </w:r>
      <w:r>
        <w:t xml:space="preserve">It is recorded as a P0 custody exception and is</w:t>
      </w:r>
      <w:r>
        <w:t xml:space="preserve"> </w:t>
      </w:r>
      <w:r>
        <w:rPr>
          <w:bCs/>
          <w:b/>
        </w:rPr>
        <w:t xml:space="preserve">not</w:t>
      </w:r>
      <w:r>
        <w:t xml:space="preserve"> </w:t>
      </w:r>
      <w:r>
        <w:t xml:space="preserve">reconstructed from the instruments that cite it.</w:t>
      </w:r>
    </w:p>
    <w:p>
      <w:pPr>
        <w:pStyle w:val="BodyText"/>
      </w:pPr>
      <w:r>
        <w:t xml:space="preserve">The precise diagnosis, per the Sponsor's amendment:</w:t>
      </w:r>
      <w:r>
        <w:t xml:space="preserve"> </w:t>
      </w:r>
      <w:r>
        <w:rPr>
          <w:bCs/>
          <w:b/>
        </w:rPr>
        <w:t xml:space="preserve">the estate successfully governed identity continuity and never completed the corresponding requirements continuity.</w:t>
      </w:r>
      <w:r>
        <w:t xml:space="preserve"> </w:t>
      </w:r>
      <w:r>
        <w:rPr>
          <w:rStyle w:val="VerbatimChar"/>
        </w:rPr>
        <w:t xml:space="preserve">MPP-MVC-RECON-001</w:t>
      </w:r>
      <w:r>
        <w:t xml:space="preserve"> </w:t>
      </w:r>
      <w:r>
        <w:t xml:space="preserve">was very likely the instrument intended to perform exactly the bridge this document's Annex A now performs — legacy PetCare requirements → MyVetiCare identity → brand architecture → sector rescope → current requirements authority. It apparently does not exist.</w:t>
      </w:r>
    </w:p>
    <w:p>
      <w:pPr>
        <w:pStyle w:val="BodyText"/>
      </w:pPr>
      <w:r>
        <w:rPr>
          <w:bCs/>
          <w:b/>
        </w:rPr>
        <w:t xml:space="preserve">Consequence for this document:</w:t>
      </w:r>
      <w:r>
        <w:t xml:space="preserve"> </w:t>
      </w:r>
      <w:r>
        <w:t xml:space="preserve">nothing here inherits from</w:t>
      </w:r>
      <w:r>
        <w:t xml:space="preserve"> </w:t>
      </w:r>
      <w:r>
        <w:rPr>
          <w:rStyle w:val="VerbatimChar"/>
        </w:rPr>
        <w:t xml:space="preserve">MPP-MVC-RECON-001</w:t>
      </w:r>
      <w:r>
        <w:t xml:space="preserve">. Where its content is materially useful — principally the two-gate framework — that content is</w:t>
      </w:r>
      <w:r>
        <w:t xml:space="preserve"> </w:t>
      </w:r>
      <w:r>
        <w:rPr>
          <w:bCs/>
          <w:b/>
        </w:rPr>
        <w:t xml:space="preserve">re-derived and re-authored under this document's own authority</w:t>
      </w:r>
      <w:r>
        <w:t xml:space="preserve"> </w:t>
      </w:r>
      <w:r>
        <w:t xml:space="preserve">in §S10.1, rather than cited to an unproducible parent. If the original is later produced, this document is reconciled against it; if it is not, the two-gate framework stands on its own re-authored basis.</w:t>
      </w:r>
    </w:p>
    <w:bookmarkEnd w:id="32"/>
    <w:bookmarkStart w:id="33" w:name="s16-preconditions-to-approval"/>
    <w:p>
      <w:pPr>
        <w:pStyle w:val="Heading2"/>
      </w:pPr>
      <w:r>
        <w:t xml:space="preserve">S1.6 Preconditions to approval</w:t>
      </w:r>
    </w:p>
    <w:p>
      <w:pPr>
        <w:pStyle w:val="FirstParagraph"/>
      </w:pPr>
      <w:r>
        <w:t xml:space="preserve">This draft is complete enough to be reviewed, costed and argued with. It is</w:t>
      </w:r>
      <w:r>
        <w:t xml:space="preserve"> </w:t>
      </w:r>
      <w:r>
        <w:rPr>
          <w:bCs/>
          <w:b/>
        </w:rPr>
        <w:t xml:space="preserve">not</w:t>
      </w:r>
      <w:r>
        <w:t xml:space="preserve"> </w:t>
      </w:r>
      <w:r>
        <w:t xml:space="preserve">complete enough to be approved. Three preconditions, in order: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Precondition</w:t>
            </w:r>
          </w:p>
        </w:tc>
        <w:tc>
          <w:tcPr/>
          <w:p>
            <w:pPr>
              <w:pStyle w:val="Compact"/>
              <w:jc w:val="left"/>
            </w:pPr>
            <w:r>
              <w:t xml:space="preserve">Why it gates approval, not merely implementation</w:t>
            </w:r>
          </w:p>
        </w:tc>
      </w:tr>
      <w:tr>
        <w:tc>
          <w:tcPr/>
          <w:p>
            <w:pPr>
              <w:pStyle w:val="Compact"/>
              <w:jc w:val="left"/>
            </w:pPr>
            <w:r>
              <w:rPr>
                <w:bCs/>
                <w:b/>
              </w:rPr>
              <w:t xml:space="preserve">P1</w:t>
            </w:r>
          </w:p>
        </w:tc>
        <w:tc>
          <w:tcPr/>
          <w:p>
            <w:pPr>
              <w:pStyle w:val="Compact"/>
              <w:jc w:val="left"/>
            </w:pPr>
            <w:r>
              <w:t xml:space="preserve">Resolve the</w:t>
            </w:r>
            <w:r>
              <w:t xml:space="preserve"> </w:t>
            </w:r>
            <w:r>
              <w:rPr>
                <w:rStyle w:val="VerbatimChar"/>
              </w:rPr>
              <w:t xml:space="preserve">MPP-MVC-RECON-001</w:t>
            </w:r>
            <w:r>
              <w:t xml:space="preserve"> </w:t>
            </w:r>
            <w:r>
              <w:t xml:space="preserve">custody exception — produce it, or formally re-author the two-gate framework as a new instrument under its own authority</w:t>
            </w:r>
          </w:p>
        </w:tc>
        <w:tc>
          <w:tcPr/>
          <w:p>
            <w:pPr>
              <w:pStyle w:val="Compact"/>
              <w:jc w:val="left"/>
            </w:pPr>
            <w:r>
              <w:t xml:space="preserve">§S1 cannot rest on an unproducible anchor. Approving a baseline whose inheritance is unverifiable repeats, for a third time, the defect this document exists to correct</w:t>
            </w:r>
          </w:p>
        </w:tc>
      </w:tr>
      <w:tr>
        <w:tc>
          <w:tcPr/>
          <w:p>
            <w:pPr>
              <w:pStyle w:val="Compact"/>
              <w:jc w:val="left"/>
            </w:pPr>
            <w:r>
              <w:rPr>
                <w:bCs/>
                <w:b/>
              </w:rPr>
              <w:t xml:space="preserve">P2</w:t>
            </w:r>
          </w:p>
        </w:tc>
        <w:tc>
          <w:tcPr/>
          <w:p>
            <w:pPr>
              <w:pStyle w:val="Compact"/>
              <w:jc w:val="left"/>
            </w:pPr>
            <w:r>
              <w:t xml:space="preserve">Determine the KSA veterinary telemedicine position (MEWA/Weqaa,</w:t>
            </w:r>
            <w:r>
              <w:t xml:space="preserve"> </w:t>
            </w:r>
            <w:r>
              <w:rPr>
                <w:rStyle w:val="VerbatimChar"/>
              </w:rPr>
              <w:t xml:space="preserve">L-1</w:t>
            </w:r>
            <w:r>
              <w:t xml:space="preserve">) and obtain</w:t>
            </w:r>
            <w:r>
              <w:t xml:space="preserve"> </w:t>
            </w:r>
            <w:r>
              <w:rPr>
                <w:rStyle w:val="VerbatimChar"/>
              </w:rPr>
              <w:t xml:space="preserve">MPC-LO-003</w:t>
            </w:r>
          </w:p>
        </w:tc>
        <w:tc>
          <w:tcPr/>
          <w:p>
            <w:pPr>
              <w:pStyle w:val="Compact"/>
              <w:jc w:val="left"/>
            </w:pPr>
            <w:r>
              <w:t xml:space="preserve">If remote consultation is not lawfully established, the product's centre of gravity moves decisively to practice management and compliance evidencing —</w:t>
            </w:r>
            <w:r>
              <w:t xml:space="preserve"> </w:t>
            </w:r>
            <w:r>
              <w:rPr>
                <w:bCs/>
                <w:b/>
              </w:rPr>
              <w:t xml:space="preserve">which changes the outcome contract in §S3.2, not merely a section</w:t>
            </w:r>
          </w:p>
        </w:tc>
      </w:tr>
      <w:tr>
        <w:tc>
          <w:tcPr/>
          <w:p>
            <w:pPr>
              <w:pStyle w:val="Compact"/>
              <w:jc w:val="left"/>
            </w:pPr>
            <w:r>
              <w:rPr>
                <w:bCs/>
                <w:b/>
              </w:rPr>
              <w:t xml:space="preserve">P3</w:t>
            </w:r>
          </w:p>
        </w:tc>
        <w:tc>
          <w:tcPr/>
          <w:p>
            <w:pPr>
              <w:pStyle w:val="Compact"/>
              <w:jc w:val="left"/>
            </w:pPr>
            <w:r>
              <w:t xml:space="preserve">Sign the KSA data-residency declaration</w:t>
            </w:r>
          </w:p>
        </w:tc>
        <w:tc>
          <w:tcPr/>
          <w:p>
            <w:pPr>
              <w:pStyle w:val="Compact"/>
              <w:jc w:val="left"/>
            </w:pPr>
            <w:r>
              <w:t xml:space="preserve">Named by the estate as the highest-leverage unblock; gates</w:t>
            </w:r>
            <w:r>
              <w:t xml:space="preserve"> </w:t>
            </w:r>
            <w:r>
              <w:rPr>
                <w:rStyle w:val="VerbatimChar"/>
              </w:rPr>
              <w:t xml:space="preserve">G-3</w:t>
            </w:r>
            <w:r>
              <w:t xml:space="preserve">; determines §S7 and §S8.6</w:t>
            </w:r>
          </w:p>
        </w:tc>
      </w:tr>
    </w:tbl>
    <w:p>
      <w:pPr>
        <w:pStyle w:val="BodyText"/>
      </w:pPr>
      <w:r>
        <w:rPr>
          <w:bCs/>
          <w:b/>
        </w:rPr>
        <w:t xml:space="preserve">Not a precondition:</w:t>
      </w:r>
      <w:r>
        <w:t xml:space="preserve"> </w:t>
      </w:r>
      <w:r>
        <w:t xml:space="preserve">GCP identity recovery. It gates engineering, not authoring — and authoring this document is the right work to do while the infrastructure is unreachable.</w:t>
      </w:r>
    </w:p>
    <w:p>
      <w:pPr>
        <w:pStyle w:val="BodyText"/>
      </w:pPr>
      <w:r>
        <w:t xml:space="preserve">The original Stage A decision</w:t>
      </w:r>
      <w:r>
        <w:t xml:space="preserve"> </w:t>
      </w:r>
      <w:r>
        <w:rPr>
          <w:bCs/>
          <w:b/>
        </w:rPr>
        <w:t xml:space="preserve">D-2</w:t>
      </w:r>
      <w:r>
        <w:t xml:space="preserve"> </w:t>
      </w:r>
      <w:r>
        <w:t xml:space="preserve">deferred the body to protect founder bandwidth against the operational chain. That reasoning is not overturned. What has changed is that the deferral no longer buys anything: the operational chain is itself blocked at P1–P3, so the bandwidth D-2 protected is not being spent on the alternative.</w:t>
      </w:r>
    </w:p>
    <w:p>
      <w:r>
        <w:pict>
          <v:rect style="width:0;height:1.5pt" o:hralign="center" o:hrstd="t" o:hr="t"/>
        </w:pict>
      </w:r>
    </w:p>
    <w:bookmarkEnd w:id="33"/>
    <w:bookmarkEnd w:id="34"/>
    <w:bookmarkStart w:id="40" w:name="s2--scope-boundary-and-mode"/>
    <w:p>
      <w:pPr>
        <w:pStyle w:val="Heading1"/>
      </w:pPr>
      <w:r>
        <w:t xml:space="preserve">S2 · Scope, Boundary and Mode</w:t>
      </w:r>
    </w:p>
    <w:bookmarkStart w:id="35" w:name="s21-the-scope-lock-restated-as-normative"/>
    <w:p>
      <w:pPr>
        <w:pStyle w:val="Heading2"/>
      </w:pPr>
      <w:r>
        <w:t xml:space="preserve">S2.1 The scope lock, restated as normative</w:t>
      </w:r>
    </w:p>
    <w:p>
      <w:pPr>
        <w:pStyle w:val="FirstParagraph"/>
      </w:pPr>
      <w:r>
        <w:rPr>
          <w:rStyle w:val="VerbatimChar"/>
          <w:bCs/>
          <w:b/>
        </w:rPr>
        <w:t xml:space="preserve">P-001</w:t>
      </w:r>
      <w:r>
        <w:rPr>
          <w:bCs/>
          <w:b/>
        </w:rPr>
        <w:t xml:space="preserve"> </w:t>
      </w:r>
      <w:r>
        <w:rPr>
          <w:bCs/>
          <w:b/>
        </w:rPr>
        <w:t xml:space="preserve">— MyVetiCare Phase 1 serves licensed companion-animal veterinary practices in the Kingdom of Saudi Arabia. Companion animal is defined as the species set</w:t>
      </w:r>
      <w:r>
        <w:rPr>
          <w:bCs/>
          <w:b/>
        </w:rPr>
        <w:t xml:space="preserve"> </w:t>
      </w:r>
      <w:r>
        <w:rPr>
          <w:rStyle w:val="VerbatimChar"/>
          <w:bCs/>
          <w:b/>
        </w:rPr>
        <w:t xml:space="preserve">[dog, cat, bird]</w:t>
      </w:r>
      <w:r>
        <w:rPr>
          <w:bCs/>
          <w:b/>
        </w:rPr>
        <w:t xml:space="preserve"> </w:t>
      </w:r>
      <w:r>
        <w:rPr>
          <w:bCs/>
          <w:b/>
        </w:rPr>
        <w:t xml:space="preserve">as locked in the existing build's species keys.</w:t>
      </w:r>
      <w:r>
        <w:t xml:space="preserve"> </w:t>
      </w:r>
      <w:r>
        <w:t xml:space="preserve">Livestock, equine, camelid, poultry-production and wildlife are out of scope and are not addressable by configuration.</w:t>
      </w:r>
    </w:p>
    <w:p>
      <w:pPr>
        <w:pStyle w:val="BodyText"/>
      </w:pPr>
      <w:r>
        <w:rPr>
          <w:rStyle w:val="VerbatimChar"/>
          <w:bCs/>
          <w:b/>
        </w:rPr>
        <w:t xml:space="preserve">P-002</w:t>
      </w:r>
      <w:r>
        <w:rPr>
          <w:bCs/>
          <w:b/>
        </w:rPr>
        <w:t xml:space="preserve"> </w:t>
      </w:r>
      <w:r>
        <w:rPr>
          <w:bCs/>
          <w:b/>
        </w:rPr>
        <w:t xml:space="preserve">— MyVetiCare is procedural support. It never makes, and must never be capable of making, a clinical decision.</w:t>
      </w:r>
      <w:r>
        <w:t xml:space="preserve"> </w:t>
      </w:r>
      <w:r>
        <w:t xml:space="preserve">The licensed veterinarian decides; the platform evidences, checks against cited references, calculates transparently, and remembers. §S5 specifies how this is enforced structurally rather than asserted.</w:t>
      </w:r>
    </w:p>
    <w:p>
      <w:pPr>
        <w:pStyle w:val="BodyText"/>
      </w:pPr>
      <w:r>
        <w:rPr>
          <w:rStyle w:val="VerbatimChar"/>
          <w:bCs/>
          <w:b/>
        </w:rPr>
        <w:t xml:space="preserve">P-003</w:t>
      </w:r>
      <w:r>
        <w:rPr>
          <w:bCs/>
          <w:b/>
        </w:rPr>
        <w:t xml:space="preserve"> </w:t>
      </w:r>
      <w:r>
        <w:rPr>
          <w:bCs/>
          <w:b/>
        </w:rPr>
        <w:t xml:space="preserve">— The economic buyer is the clinic principal.</w:t>
      </w:r>
      <w:r>
        <w:t xml:space="preserve"> </w:t>
      </w:r>
      <w:r>
        <w:t xml:space="preserve">The pet owner is a beneficiary reached through the clinic, never the Phase-1 purchaser. Any requirement whose business case depends on direct-to-consumer acquisition is out of scope.</w:t>
      </w:r>
    </w:p>
    <w:bookmarkEnd w:id="35"/>
    <w:bookmarkStart w:id="36" w:name="X121caf96c4adff3134548cd136e37a59e6873d0"/>
    <w:p>
      <w:pPr>
        <w:pStyle w:val="Heading2"/>
      </w:pPr>
      <w:r>
        <w:t xml:space="preserve">S2.2 Fenced capabilities — normative exclusions with reasons</w:t>
      </w:r>
    </w:p>
    <w:p>
      <w:pPr>
        <w:pStyle w:val="FirstParagraph"/>
      </w:pPr>
      <w:r>
        <w:t xml:space="preserve">Fencing is not deferral by another name. A fenced capability may not be built, may not be configured on, and may not appear in market-facing material.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Fenced</w:t>
            </w:r>
          </w:p>
        </w:tc>
        <w:tc>
          <w:tcPr/>
          <w:p>
            <w:pPr>
              <w:pStyle w:val="Compact"/>
              <w:jc w:val="left"/>
            </w:pPr>
            <w:r>
              <w:t xml:space="preserve">Reason the fence exists</w:t>
            </w:r>
          </w:p>
        </w:tc>
        <w:tc>
          <w:tcPr/>
          <w:p>
            <w:pPr>
              <w:pStyle w:val="Compact"/>
              <w:jc w:val="left"/>
            </w:pPr>
            <w:r>
              <w:t xml:space="preserve">What replaces it in Phase 1</w:t>
            </w:r>
          </w:p>
        </w:tc>
      </w:tr>
      <w:tr>
        <w:tc>
          <w:tcPr/>
          <w:p>
            <w:pPr>
              <w:pStyle w:val="Compact"/>
              <w:jc w:val="left"/>
            </w:pPr>
            <w:r>
              <w:rPr>
                <w:bCs/>
                <w:b/>
              </w:rPr>
              <w:t xml:space="preserve">Livestock and production animals</w:t>
            </w:r>
          </w:p>
        </w:tc>
        <w:tc>
          <w:tcPr/>
          <w:p>
            <w:pPr>
              <w:pStyle w:val="Compact"/>
              <w:jc w:val="left"/>
            </w:pPr>
            <w:r>
              <w:t xml:space="preserve">Constitutional scope lock. Different regulator posture, different economics, different clinical reference data</w:t>
            </w:r>
          </w:p>
        </w:tc>
        <w:tc>
          <w:tcPr/>
          <w:p>
            <w:pPr>
              <w:pStyle w:val="Compact"/>
              <w:jc w:val="left"/>
            </w:pPr>
            <w:r>
              <w:t xml:space="preserve">Nothing. Phase 2 gate</w:t>
            </w:r>
          </w:p>
        </w:tc>
      </w:tr>
      <w:tr>
        <w:tc>
          <w:tcPr/>
          <w:p>
            <w:pPr>
              <w:pStyle w:val="Compact"/>
              <w:jc w:val="left"/>
            </w:pPr>
            <w:r>
              <w:rPr>
                <w:bCs/>
                <w:b/>
              </w:rPr>
              <w:t xml:space="preserve">Emergency dispatch / triage routing</w:t>
            </w:r>
          </w:p>
        </w:tc>
        <w:tc>
          <w:tcPr/>
          <w:p>
            <w:pPr>
              <w:pStyle w:val="Compact"/>
              <w:jc w:val="left"/>
            </w:pPr>
            <w:r>
              <w:t xml:space="preserve">Requires the platform to hold a position on clinical urgency. Structurally prohibited (§S5.1,</w:t>
            </w:r>
            <w:r>
              <w:t xml:space="preserve"> </w:t>
            </w:r>
            <w:r>
              <w:rPr>
                <w:rStyle w:val="VerbatimChar"/>
              </w:rPr>
              <w:t xml:space="preserve">R-1</w:t>
            </w:r>
            <w:r>
              <w:t xml:space="preserve">)</w:t>
            </w:r>
          </w:p>
        </w:tc>
        <w:tc>
          <w:tcPr/>
          <w:p>
            <w:pPr>
              <w:pStyle w:val="Compact"/>
              <w:jc w:val="left"/>
            </w:pPr>
            <w:r>
              <w:t xml:space="preserve">A static, vet-authored, non-adaptive "contact your clinic" message plus the clinic's own published emergency number</w:t>
            </w:r>
          </w:p>
        </w:tc>
      </w:tr>
      <w:tr>
        <w:tc>
          <w:tcPr/>
          <w:p>
            <w:pPr>
              <w:pStyle w:val="Compact"/>
              <w:jc w:val="left"/>
            </w:pPr>
            <w:r>
              <w:rPr>
                <w:bCs/>
                <w:b/>
              </w:rPr>
              <w:t xml:space="preserve">Consumer video as a product</w:t>
            </w:r>
          </w:p>
        </w:tc>
        <w:tc>
          <w:tcPr/>
          <w:p>
            <w:pPr>
              <w:pStyle w:val="Compact"/>
              <w:jc w:val="left"/>
            </w:pPr>
            <w:r>
              <w:t xml:space="preserve">Telemedicine legality is unresolved (§S6.2). A video-first product built on an unresolved legal position is uninsurable</w:t>
            </w:r>
          </w:p>
        </w:tc>
        <w:tc>
          <w:tcPr/>
          <w:p>
            <w:pPr>
              <w:pStyle w:val="Compact"/>
              <w:jc w:val="left"/>
            </w:pPr>
            <w:r>
              <w:t xml:space="preserve">Teleconsultation exists as a</w:t>
            </w:r>
            <w:r>
              <w:t xml:space="preserve"> </w:t>
            </w:r>
            <w:r>
              <w:rPr>
                <w:bCs/>
                <w:b/>
              </w:rPr>
              <w:t xml:space="preserve">constrained modality</w:t>
            </w:r>
            <w:r>
              <w:t xml:space="preserve"> </w:t>
            </w:r>
            <w:r>
              <w:t xml:space="preserve">with hard prescribing gates (§S4.4h), never as the product's centre</w:t>
            </w:r>
          </w:p>
        </w:tc>
      </w:tr>
      <w:tr>
        <w:tc>
          <w:tcPr/>
          <w:p>
            <w:pPr>
              <w:pStyle w:val="Compact"/>
              <w:jc w:val="left"/>
            </w:pPr>
            <w:r>
              <w:rPr>
                <w:bCs/>
                <w:b/>
              </w:rPr>
              <w:t xml:space="preserve">Marketplace / e-commerce</w:t>
            </w:r>
          </w:p>
        </w:tc>
        <w:tc>
          <w:tcPr/>
          <w:p>
            <w:pPr>
              <w:pStyle w:val="Compact"/>
              <w:jc w:val="left"/>
            </w:pPr>
            <w:r>
              <w:t xml:space="preserve">The pharmacy-chain business model that justified it does not exist for this company (Annex A, disposition</w:t>
            </w:r>
            <w:r>
              <w:t xml:space="preserve"> </w:t>
            </w:r>
            <w:r>
              <w:rPr>
                <w:rStyle w:val="VerbatimChar"/>
              </w:rPr>
              <w:t xml:space="preserve">REJECT-BM</w:t>
            </w:r>
            <w:r>
              <w:t xml:space="preserve">)</w:t>
            </w:r>
          </w:p>
        </w:tc>
        <w:tc>
          <w:tcPr/>
          <w:p>
            <w:pPr>
              <w:pStyle w:val="Compact"/>
              <w:jc w:val="left"/>
            </w:pPr>
            <w:r>
              <w:t xml:space="preserve">In-clinic dispensing and stock only. No third-party sales surface</w:t>
            </w:r>
          </w:p>
        </w:tc>
      </w:tr>
      <w:tr>
        <w:tc>
          <w:tcPr/>
          <w:p>
            <w:pPr>
              <w:pStyle w:val="Compact"/>
              <w:jc w:val="left"/>
            </w:pPr>
            <w:r>
              <w:rPr>
                <w:bCs/>
                <w:b/>
              </w:rPr>
              <w:t xml:space="preserve">Consumer payments as a product line</w:t>
            </w:r>
          </w:p>
        </w:tc>
        <w:tc>
          <w:tcPr/>
          <w:p>
            <w:pPr>
              <w:pStyle w:val="Compact"/>
              <w:jc w:val="left"/>
            </w:pPr>
            <w:r>
              <w:t xml:space="preserve">Payment is a clinic operation, not a MyVetiCare revenue product, in Phase 1</w:t>
            </w:r>
          </w:p>
        </w:tc>
        <w:tc>
          <w:tcPr/>
          <w:p>
            <w:pPr>
              <w:pStyle w:val="Compact"/>
              <w:jc w:val="left"/>
            </w:pPr>
            <w:r>
              <w:t xml:space="preserve">Clinic-side collection via a SAMA-licensed PSP, tokenised (§S8.5)</w:t>
            </w:r>
          </w:p>
        </w:tc>
      </w:tr>
      <w:tr>
        <w:tc>
          <w:tcPr/>
          <w:p>
            <w:pPr>
              <w:pStyle w:val="Compact"/>
              <w:jc w:val="left"/>
            </w:pPr>
            <w:r>
              <w:rPr>
                <w:bCs/>
                <w:b/>
              </w:rPr>
              <w:t xml:space="preserve">Autonomous clinical AI</w:t>
            </w:r>
          </w:p>
        </w:tc>
        <w:tc>
          <w:tcPr/>
          <w:p>
            <w:pPr>
              <w:pStyle w:val="Compact"/>
              <w:jc w:val="left"/>
            </w:pPr>
            <w:r>
              <w:rPr>
                <w:rStyle w:val="VerbatimChar"/>
              </w:rPr>
              <w:t xml:space="preserve">P-002</w:t>
            </w:r>
            <w:r>
              <w:t xml:space="preserve">. No</w:t>
            </w:r>
            <w:r>
              <w:t xml:space="preserve"> </w:t>
            </w:r>
            <w:r>
              <w:rPr>
                <w:rStyle w:val="VerbatimChar"/>
              </w:rPr>
              <w:t xml:space="preserve">RECOMMENDATION</w:t>
            </w:r>
            <w:r>
              <w:t xml:space="preserve"> </w:t>
            </w:r>
            <w:r>
              <w:t xml:space="preserve">or</w:t>
            </w:r>
            <w:r>
              <w:t xml:space="preserve"> </w:t>
            </w:r>
            <w:r>
              <w:rPr>
                <w:rStyle w:val="VerbatimChar"/>
              </w:rPr>
              <w:t xml:space="preserve">ASSESSMENT</w:t>
            </w:r>
            <w:r>
              <w:t xml:space="preserve"> </w:t>
            </w:r>
            <w:r>
              <w:t xml:space="preserve">output type exists in the schema</w:t>
            </w:r>
          </w:p>
        </w:tc>
        <w:tc>
          <w:tcPr/>
          <w:p>
            <w:pPr>
              <w:pStyle w:val="Compact"/>
              <w:jc w:val="left"/>
            </w:pPr>
            <w:r>
              <w:t xml:space="preserve">Cited reference lookup, transparent arithmetic, statutory triggers (§S5)</w:t>
            </w:r>
          </w:p>
        </w:tc>
      </w:tr>
      <w:tr>
        <w:tc>
          <w:tcPr/>
          <w:p>
            <w:pPr>
              <w:pStyle w:val="Compact"/>
              <w:jc w:val="left"/>
            </w:pPr>
            <w:r>
              <w:rPr>
                <w:bCs/>
                <w:b/>
              </w:rPr>
              <w:t xml:space="preserve">Public self-registration by pet owners</w:t>
            </w:r>
          </w:p>
        </w:tc>
        <w:tc>
          <w:tcPr/>
          <w:p>
            <w:pPr>
              <w:pStyle w:val="Compact"/>
              <w:jc w:val="left"/>
            </w:pPr>
            <w:r>
              <w:t xml:space="preserve">Consumer-first is the rejected model. Owner access is link-based and OTP-gated, with no account (§S4.1e)</w:t>
            </w:r>
          </w:p>
        </w:tc>
        <w:tc>
          <w:tcPr/>
          <w:p>
            <w:pPr>
              <w:pStyle w:val="Compact"/>
              <w:jc w:val="left"/>
            </w:pPr>
            <w:r>
              <w:t xml:space="preserve">Clinic-mediated owner access</w:t>
            </w:r>
          </w:p>
        </w:tc>
      </w:tr>
    </w:tbl>
    <w:p>
      <w:pPr>
        <w:pStyle w:val="BodyText"/>
      </w:pPr>
      <w:r>
        <w:rPr>
          <w:rStyle w:val="VerbatimChar"/>
          <w:bCs/>
          <w:b/>
        </w:rPr>
        <w:t xml:space="preserve">P-004</w:t>
      </w:r>
      <w:r>
        <w:rPr>
          <w:bCs/>
          <w:b/>
        </w:rPr>
        <w:t xml:space="preserve"> </w:t>
      </w:r>
      <w:r>
        <w:rPr>
          <w:bCs/>
          <w:b/>
        </w:rPr>
        <w:t xml:space="preserve">— Adding any fenced capability requires a Sponsor decision that explicitly amends this section.</w:t>
      </w:r>
      <w:r>
        <w:t xml:space="preserve"> </w:t>
      </w:r>
      <w:r>
        <w:t xml:space="preserve">It cannot arrive as a backlog item.</w:t>
      </w:r>
    </w:p>
    <w:bookmarkEnd w:id="36"/>
    <w:bookmarkStart w:id="37" w:name="Xadb3a4798aff613a47f86f7e9170b0eb84f7290"/>
    <w:p>
      <w:pPr>
        <w:pStyle w:val="Heading2"/>
      </w:pPr>
      <w:r>
        <w:t xml:space="preserve">S2.3 The distinction that keeps the fence honest</w:t>
      </w:r>
    </w:p>
    <w:p>
      <w:pPr>
        <w:pStyle w:val="FirstParagraph"/>
      </w:pPr>
      <w:r>
        <w:t xml:space="preserve">The prior candidate BRDs failed the fence in a specific way: they described the</w:t>
      </w:r>
      <w:r>
        <w:t xml:space="preserve"> </w:t>
      </w:r>
      <w:r>
        <w:rPr>
          <w:bCs/>
          <w:b/>
        </w:rPr>
        <w:t xml:space="preserve">ambition</w:t>
      </w:r>
      <w:r>
        <w:t xml:space="preserve"> </w:t>
      </w:r>
      <w:r>
        <w:t xml:space="preserve">and the</w:t>
      </w:r>
      <w:r>
        <w:t xml:space="preserve"> </w:t>
      </w:r>
      <w:r>
        <w:rPr>
          <w:bCs/>
          <w:b/>
        </w:rPr>
        <w:t xml:space="preserve">Phase-1 release</w:t>
      </w:r>
      <w:r>
        <w:t xml:space="preserve"> </w:t>
      </w:r>
      <w:r>
        <w:t xml:space="preserve">in the same register, so the ambition read as requirement. This document separates them absolutely.</w:t>
      </w:r>
    </w:p>
    <w:p>
      <w:pPr>
        <w:numPr>
          <w:ilvl w:val="0"/>
          <w:numId w:val="1002"/>
        </w:numPr>
        <w:pStyle w:val="Compact"/>
      </w:pPr>
      <w:r>
        <w:rPr>
          <w:bCs/>
          <w:b/>
        </w:rPr>
        <w:t xml:space="preserve">§S2.1–S2.2 is the normative release scope.</w:t>
      </w:r>
      <w:r>
        <w:t xml:space="preserve"> </w:t>
      </w:r>
      <w:r>
        <w:t xml:space="preserve">Everything here is buildable, testable and acceptance-gated.</w:t>
      </w:r>
    </w:p>
    <w:p>
      <w:pPr>
        <w:numPr>
          <w:ilvl w:val="0"/>
          <w:numId w:val="1002"/>
        </w:numPr>
        <w:pStyle w:val="Compact"/>
      </w:pPr>
      <w:r>
        <w:rPr>
          <w:bCs/>
          <w:b/>
        </w:rPr>
        <w:t xml:space="preserve">§S2.4 is the sector horizon.</w:t>
      </w:r>
      <w:r>
        <w:t xml:space="preserve"> </w:t>
      </w:r>
      <w:r>
        <w:t xml:space="preserve">Nothing there is a requirement. It exists so the architecture leaves the right seams and so the Sponsor's strategic intent is not lost, and it is explicitly marked as non-normative on every page it appears.</w:t>
      </w:r>
    </w:p>
    <w:bookmarkEnd w:id="37"/>
    <w:bookmarkStart w:id="38" w:name="X1ac80a2f8481e80294b2ead8ff14cf538818c45"/>
    <w:p>
      <w:pPr>
        <w:pStyle w:val="Heading2"/>
      </w:pPr>
      <w:r>
        <w:t xml:space="preserve">S2.4 Sector ecosystem horizon — NON-NORMATIVE</w:t>
      </w:r>
    </w:p>
    <w:p>
      <w:pPr>
        <w:pStyle w:val="FirstParagraph"/>
      </w:pPr>
      <w:r>
        <w:t xml:space="preserve">The platform's strategic destination is a governed veterinary sector ecosystem. Companion-animal practice management is the initial bounded release, not the endpoint. Recorded here so the seams in §S7 and §S8 are deliberate rather than accidental.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Horizon layer</w:t>
            </w:r>
          </w:p>
        </w:tc>
        <w:tc>
          <w:tcPr/>
          <w:p>
            <w:pPr>
              <w:pStyle w:val="Compact"/>
              <w:jc w:val="left"/>
            </w:pPr>
            <w:r>
              <w:t xml:space="preserve">Gate</w:t>
            </w:r>
          </w:p>
        </w:tc>
        <w:tc>
          <w:tcPr/>
          <w:p>
            <w:pPr>
              <w:pStyle w:val="Compact"/>
              <w:jc w:val="left"/>
            </w:pPr>
            <w:r>
              <w:t xml:space="preserve">Seam preserved in Phase 1</w:t>
            </w:r>
          </w:p>
        </w:tc>
      </w:tr>
      <w:tr>
        <w:tc>
          <w:tcPr/>
          <w:p>
            <w:pPr>
              <w:pStyle w:val="Compact"/>
              <w:jc w:val="left"/>
            </w:pPr>
            <w:r>
              <w:t xml:space="preserve">Equine</w:t>
            </w:r>
          </w:p>
        </w:tc>
        <w:tc>
          <w:tcPr/>
          <w:p>
            <w:pPr>
              <w:pStyle w:val="Compact"/>
              <w:jc w:val="left"/>
            </w:pPr>
            <w:r>
              <w:t xml:space="preserve">Species reference data + a distinct clinical reference licence</w:t>
            </w:r>
          </w:p>
        </w:tc>
        <w:tc>
          <w:tcPr/>
          <w:p>
            <w:pPr>
              <w:pStyle w:val="Compact"/>
              <w:jc w:val="left"/>
            </w:pPr>
            <w:r>
              <w:rPr>
                <w:rStyle w:val="VerbatimChar"/>
              </w:rPr>
              <w:t xml:space="preserve">species_code</w:t>
            </w:r>
            <w:r>
              <w:t xml:space="preserve"> </w:t>
            </w:r>
            <w:r>
              <w:t xml:space="preserve">is a controlled global reference, not an enum in code</w:t>
            </w:r>
          </w:p>
        </w:tc>
      </w:tr>
      <w:tr>
        <w:tc>
          <w:tcPr/>
          <w:p>
            <w:pPr>
              <w:pStyle w:val="Compact"/>
              <w:jc w:val="left"/>
            </w:pPr>
            <w:r>
              <w:t xml:space="preserve">Livestock / production</w:t>
            </w:r>
          </w:p>
        </w:tc>
        <w:tc>
          <w:tcPr/>
          <w:p>
            <w:pPr>
              <w:pStyle w:val="Compact"/>
              <w:jc w:val="left"/>
            </w:pPr>
            <w:r>
              <w:t xml:space="preserve">Constitutional scope-lock amendment; different regulator engagement</w:t>
            </w:r>
          </w:p>
        </w:tc>
        <w:tc>
          <w:tcPr/>
          <w:p>
            <w:pPr>
              <w:pStyle w:val="Compact"/>
              <w:jc w:val="left"/>
            </w:pPr>
            <w:r>
              <w:t xml:space="preserve">Tenant type and clinical policy are already parameterised</w:t>
            </w:r>
          </w:p>
        </w:tc>
      </w:tr>
      <w:tr>
        <w:tc>
          <w:tcPr/>
          <w:p>
            <w:pPr>
              <w:pStyle w:val="Compact"/>
              <w:jc w:val="left"/>
            </w:pPr>
            <w:r>
              <w:t xml:space="preserve">Veterinary pharmacy channel</w:t>
            </w:r>
          </w:p>
        </w:tc>
        <w:tc>
          <w:tcPr/>
          <w:p>
            <w:pPr>
              <w:pStyle w:val="Compact"/>
              <w:jc w:val="left"/>
            </w:pPr>
            <w:r>
              <w:t xml:space="preserve">Commercial decision; ~4–7× the clinic count by site (§S9.1)</w:t>
            </w:r>
          </w:p>
        </w:tc>
        <w:tc>
          <w:tcPr/>
          <w:p>
            <w:pPr>
              <w:pStyle w:val="Compact"/>
              <w:jc w:val="left"/>
            </w:pPr>
            <w:r>
              <w:rPr>
                <w:rStyle w:val="VerbatimChar"/>
              </w:rPr>
              <w:t xml:space="preserve">Product</w:t>
            </w:r>
            <w:r>
              <w:t xml:space="preserve">,</w:t>
            </w:r>
            <w:r>
              <w:t xml:space="preserve"> </w:t>
            </w:r>
            <w:r>
              <w:rPr>
                <w:rStyle w:val="VerbatimChar"/>
              </w:rPr>
              <w:t xml:space="preserve">Batch</w:t>
            </w:r>
            <w:r>
              <w:t xml:space="preserve">,</w:t>
            </w:r>
            <w:r>
              <w:t xml:space="preserve"> </w:t>
            </w:r>
            <w:r>
              <w:rPr>
                <w:rStyle w:val="VerbatimChar"/>
              </w:rPr>
              <w:t xml:space="preserve">DispenseEvent</w:t>
            </w:r>
            <w:r>
              <w:t xml:space="preserve"> </w:t>
            </w:r>
            <w:r>
              <w:t xml:space="preserve">and the traceability spine are already the pharmacy's core objects</w:t>
            </w:r>
          </w:p>
        </w:tc>
      </w:tr>
      <w:tr>
        <w:tc>
          <w:tcPr/>
          <w:p>
            <w:pPr>
              <w:pStyle w:val="Compact"/>
              <w:jc w:val="left"/>
            </w:pPr>
            <w:r>
              <w:t xml:space="preserve">Manufacturer / distributor / anti-counterfeit</w:t>
            </w:r>
          </w:p>
        </w:tc>
        <w:tc>
          <w:tcPr/>
          <w:p>
            <w:pPr>
              <w:pStyle w:val="Compact"/>
              <w:jc w:val="left"/>
            </w:pPr>
            <w:r>
              <w:t xml:space="preserve">RSD obligation clarity; commercial partnership</w:t>
            </w:r>
          </w:p>
        </w:tc>
        <w:tc>
          <w:tcPr/>
          <w:p>
            <w:pPr>
              <w:pStyle w:val="Compact"/>
              <w:jc w:val="left"/>
            </w:pPr>
            <w:r>
              <w:rPr>
                <w:rStyle w:val="VerbatimChar"/>
              </w:rPr>
              <w:t xml:space="preserve">DispenseEvent</w:t>
            </w:r>
            <w:r>
              <w:t xml:space="preserve"> </w:t>
            </w:r>
            <w:r>
              <w:t xml:space="preserve">already carries the full GS1 event payload shape</w:t>
            </w:r>
          </w:p>
        </w:tc>
      </w:tr>
      <w:tr>
        <w:tc>
          <w:tcPr/>
          <w:p>
            <w:pPr>
              <w:pStyle w:val="Compact"/>
              <w:jc w:val="left"/>
            </w:pPr>
            <w:r>
              <w:t xml:space="preserve">B2G / sovereign (Maqaleed Vet surface)</w:t>
            </w:r>
          </w:p>
        </w:tc>
        <w:tc>
          <w:tcPr/>
          <w:p>
            <w:pPr>
              <w:pStyle w:val="Compact"/>
              <w:jc w:val="left"/>
            </w:pPr>
            <w:r>
              <w:t xml:space="preserve">Sector authority resolution (§S1.4); NCA ECC applicability re-test</w:t>
            </w:r>
          </w:p>
        </w:tc>
        <w:tc>
          <w:tcPr/>
          <w:p>
            <w:pPr>
              <w:pStyle w:val="Compact"/>
              <w:jc w:val="left"/>
            </w:pPr>
            <w:r>
              <w:t xml:space="preserve">Brand surfaces are routing over one backend, per Pattern B</w:t>
            </w:r>
          </w:p>
        </w:tc>
      </w:tr>
      <w:tr>
        <w:tc>
          <w:tcPr/>
          <w:p>
            <w:pPr>
              <w:pStyle w:val="Compact"/>
              <w:jc w:val="left"/>
            </w:pPr>
            <w:r>
              <w:t xml:space="preserve">Insurance data source / claims enablement</w:t>
            </w:r>
          </w:p>
        </w:tc>
        <w:tc>
          <w:tcPr/>
          <w:p>
            <w:pPr>
              <w:pStyle w:val="Compact"/>
              <w:jc w:val="left"/>
            </w:pPr>
            <w:r>
              <w:t xml:space="preserve">≥50–75 installed sites; a licensed counterparty</w:t>
            </w:r>
          </w:p>
        </w:tc>
        <w:tc>
          <w:tcPr/>
          <w:p>
            <w:pPr>
              <w:pStyle w:val="Compact"/>
              <w:jc w:val="left"/>
            </w:pPr>
            <w:r>
              <w:t xml:space="preserve">Coded problem list, immutable timestamped record, itemised ZATCA invoice, microchip as join key —</w:t>
            </w:r>
            <w:r>
              <w:t xml:space="preserve"> </w:t>
            </w:r>
            <w:r>
              <w:rPr>
                <w:bCs/>
                <w:b/>
              </w:rPr>
              <w:t xml:space="preserve">all Phase 1 decisions that cost nothing extra now and are expensive to retrofit</w:t>
            </w:r>
            <w:r>
              <w:t xml:space="preserve"> </w:t>
            </w:r>
            <w:r>
              <w:t xml:space="preserve">(§S9.6)</w:t>
            </w:r>
          </w:p>
        </w:tc>
      </w:tr>
    </w:tbl>
    <w:bookmarkEnd w:id="38"/>
    <w:bookmarkStart w:id="39" w:name="s25-standalone-operability-contract"/>
    <w:p>
      <w:pPr>
        <w:pStyle w:val="Heading2"/>
      </w:pPr>
      <w:r>
        <w:t xml:space="preserve">S2.5 Standalone operability contract</w:t>
      </w:r>
    </w:p>
    <w:p>
      <w:pPr>
        <w:pStyle w:val="FirstParagraph"/>
      </w:pPr>
      <w:r>
        <w:t xml:space="preserve">The platform is positioned as part of maqaleed.ai</w:t>
      </w:r>
      <w:r>
        <w:t xml:space="preserve"> </w:t>
      </w:r>
      <w:r>
        <w:rPr>
          <w:bCs/>
          <w:b/>
        </w:rPr>
        <w:t xml:space="preserve">with a standalone ability</w:t>
      </w:r>
      <w:r>
        <w:t xml:space="preserve">. The Control Tower currently records</w:t>
      </w:r>
      <w:r>
        <w:t xml:space="preserve"> </w:t>
      </w:r>
      <w:r>
        <w:rPr>
          <w:rStyle w:val="VerbatimChar"/>
        </w:rPr>
        <w:t xml:space="preserve">Standalone Operability Preserved? = NO</w:t>
      </w:r>
      <w:r>
        <w:t xml:space="preserve">, and six shared-capability dependencies are registered with</w:t>
      </w:r>
      <w:r>
        <w:t xml:space="preserve"> </w:t>
      </w:r>
      <w:r>
        <w:rPr>
          <w:bCs/>
          <w:b/>
        </w:rPr>
        <w:t xml:space="preserve">no consumption contract for any of them</w:t>
      </w:r>
      <w:r>
        <w:t xml:space="preserve">. A standalone claim with six unbounded shared dependencies is a claim without a mechanism.</w:t>
      </w:r>
    </w:p>
    <w:p>
      <w:pPr>
        <w:pStyle w:val="BodyText"/>
      </w:pPr>
      <w:r>
        <w:rPr>
          <w:rStyle w:val="VerbatimChar"/>
          <w:bCs/>
          <w:b/>
        </w:rPr>
        <w:t xml:space="preserve">P-005</w:t>
      </w:r>
      <w:r>
        <w:rPr>
          <w:bCs/>
          <w:b/>
        </w:rPr>
        <w:t xml:space="preserve"> </w:t>
      </w:r>
      <w:r>
        <w:rPr>
          <w:bCs/>
          <w:b/>
        </w:rPr>
        <w:t xml:space="preserve">— MyVetiCare must be operable, sellable and supportable as a standalone product.</w:t>
      </w:r>
      <w:r>
        <w:t xml:space="preserve"> </w:t>
      </w:r>
      <w:r>
        <w:t xml:space="preserve">This is discharged by a per-capability consumption contract using the portfolio's</w:t>
      </w:r>
      <w:r>
        <w:t xml:space="preserve"> </w:t>
      </w:r>
      <w:r>
        <w:rPr>
          <w:rStyle w:val="VerbatimChar"/>
        </w:rPr>
        <w:t xml:space="preserve">CONSUME / CONFORM / CONSUME-LATER</w:t>
      </w:r>
      <w:r>
        <w:t xml:space="preserve"> </w:t>
      </w:r>
      <w:r>
        <w:t xml:space="preserve">pattern, plus a stated degraded behaviour for each.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Shared capability</w:t>
            </w:r>
          </w:p>
        </w:tc>
        <w:tc>
          <w:tcPr/>
          <w:p>
            <w:pPr>
              <w:pStyle w:val="Compact"/>
              <w:jc w:val="left"/>
            </w:pPr>
            <w:r>
              <w:t xml:space="preserve">Contract</w:t>
            </w:r>
          </w:p>
        </w:tc>
        <w:tc>
          <w:tcPr/>
          <w:p>
            <w:pPr>
              <w:pStyle w:val="Compact"/>
              <w:jc w:val="left"/>
            </w:pPr>
            <w:r>
              <w:t xml:space="preserve">Standalone behaviour when unavailable</w:t>
            </w:r>
          </w:p>
        </w:tc>
      </w:tr>
      <w:tr>
        <w:tc>
          <w:tcPr/>
          <w:p>
            <w:pPr>
              <w:pStyle w:val="Compact"/>
              <w:jc w:val="left"/>
            </w:pPr>
            <w:r>
              <w:rPr>
                <w:bCs/>
                <w:b/>
              </w:rPr>
              <w:t xml:space="preserve">Identity</w:t>
            </w:r>
          </w:p>
        </w:tc>
        <w:tc>
          <w:tcPr/>
          <w:p>
            <w:pPr>
              <w:pStyle w:val="Compact"/>
              <w:jc w:val="left"/>
            </w:pPr>
            <w:r>
              <w:rPr>
                <w:rStyle w:val="VerbatimChar"/>
              </w:rPr>
              <w:t xml:space="preserve">CONSUME-LATER</w:t>
            </w:r>
          </w:p>
        </w:tc>
        <w:tc>
          <w:tcPr/>
          <w:p>
            <w:pPr>
              <w:pStyle w:val="Compact"/>
              <w:jc w:val="left"/>
            </w:pPr>
            <w:r>
              <w:t xml:space="preserve">Phase 1 uses a managed OIDC provider directly;</w:t>
            </w:r>
            <w:r>
              <w:t xml:space="preserve"> </w:t>
            </w:r>
            <w:r>
              <w:rPr>
                <w:rStyle w:val="VerbatimChar"/>
              </w:rPr>
              <w:t xml:space="preserve">tenant_id</w:t>
            </w:r>
            <w:r>
              <w:t xml:space="preserve"> </w:t>
            </w:r>
            <w:r>
              <w:t xml:space="preserve">resolved from MyVetiCare's own tables, never from an IdP claim. Portfolio identity is an adapter behind</w:t>
            </w:r>
            <w:r>
              <w:t xml:space="preserve"> </w:t>
            </w:r>
            <w:r>
              <w:rPr>
                <w:rStyle w:val="VerbatimChar"/>
              </w:rPr>
              <w:t xml:space="preserve">IdentityPort</w:t>
            </w:r>
            <w:r>
              <w:t xml:space="preserve">, adopted only when it can meet the licence-aware authorisation model in §S8.5</w:t>
            </w:r>
          </w:p>
        </w:tc>
      </w:tr>
      <w:tr>
        <w:tc>
          <w:tcPr/>
          <w:p>
            <w:pPr>
              <w:pStyle w:val="Compact"/>
              <w:jc w:val="left"/>
            </w:pPr>
            <w:r>
              <w:rPr>
                <w:bCs/>
                <w:b/>
              </w:rPr>
              <w:t xml:space="preserve">Documents</w:t>
            </w:r>
          </w:p>
        </w:tc>
        <w:tc>
          <w:tcPr/>
          <w:p>
            <w:pPr>
              <w:pStyle w:val="Compact"/>
              <w:jc w:val="left"/>
            </w:pPr>
            <w:r>
              <w:rPr>
                <w:rStyle w:val="VerbatimChar"/>
              </w:rPr>
              <w:t xml:space="preserve">CONFORM</w:t>
            </w:r>
          </w:p>
        </w:tc>
        <w:tc>
          <w:tcPr/>
          <w:p>
            <w:pPr>
              <w:pStyle w:val="Compact"/>
              <w:jc w:val="left"/>
            </w:pPr>
            <w:r>
              <w:t xml:space="preserve">MyVetiCare owns its own</w:t>
            </w:r>
            <w:r>
              <w:t xml:space="preserve"> </w:t>
            </w:r>
            <w:r>
              <w:rPr>
                <w:rStyle w:val="VerbatimChar"/>
              </w:rPr>
              <w:t xml:space="preserve">Document</w:t>
            </w:r>
            <w:r>
              <w:t xml:space="preserve"> </w:t>
            </w:r>
            <w:r>
              <w:t xml:space="preserve">entity and GCS residency. It conforms to portfolio document conventions (naming, hashing, retention class) without depending on a portfolio service</w:t>
            </w:r>
          </w:p>
        </w:tc>
      </w:tr>
      <w:tr>
        <w:tc>
          <w:tcPr/>
          <w:p>
            <w:pPr>
              <w:pStyle w:val="Compact"/>
              <w:jc w:val="left"/>
            </w:pPr>
            <w:r>
              <w:rPr>
                <w:bCs/>
                <w:b/>
              </w:rPr>
              <w:t xml:space="preserve">Trust</w:t>
            </w:r>
          </w:p>
        </w:tc>
        <w:tc>
          <w:tcPr/>
          <w:p>
            <w:pPr>
              <w:pStyle w:val="Compact"/>
              <w:jc w:val="left"/>
            </w:pPr>
            <w:r>
              <w:rPr>
                <w:rStyle w:val="VerbatimChar"/>
              </w:rPr>
              <w:t xml:space="preserve">CONFORM</w:t>
            </w:r>
          </w:p>
        </w:tc>
        <w:tc>
          <w:tcPr/>
          <w:p>
            <w:pPr>
              <w:pStyle w:val="Compact"/>
              <w:jc w:val="left"/>
            </w:pPr>
            <w:r>
              <w:t xml:space="preserve">The trust surface conforms to</w:t>
            </w:r>
            <w:r>
              <w:t xml:space="preserve"> </w:t>
            </w:r>
            <w:r>
              <w:rPr>
                <w:rStyle w:val="VerbatimChar"/>
              </w:rPr>
              <w:t xml:space="preserve">MVC-TRUST-001 V1.1</w:t>
            </w:r>
            <w:r>
              <w:t xml:space="preserve"> </w:t>
            </w:r>
            <w:r>
              <w:t xml:space="preserve">discipline — "residency pending, DPIA in progress", no "certified" claims — but is rendered by MyVetiCare</w:t>
            </w:r>
          </w:p>
        </w:tc>
      </w:tr>
      <w:tr>
        <w:tc>
          <w:tcPr/>
          <w:p>
            <w:pPr>
              <w:pStyle w:val="Compact"/>
              <w:jc w:val="left"/>
            </w:pPr>
            <w:r>
              <w:rPr>
                <w:bCs/>
                <w:b/>
              </w:rPr>
              <w:t xml:space="preserve">AI</w:t>
            </w:r>
          </w:p>
        </w:tc>
        <w:tc>
          <w:tcPr/>
          <w:p>
            <w:pPr>
              <w:pStyle w:val="Compact"/>
              <w:jc w:val="left"/>
            </w:pPr>
            <w:r>
              <w:rPr>
                <w:rStyle w:val="VerbatimChar"/>
              </w:rPr>
              <w:t xml:space="preserve">CONSUME-LATER</w:t>
            </w:r>
          </w:p>
        </w:tc>
        <w:tc>
          <w:tcPr/>
          <w:p>
            <w:pPr>
              <w:pStyle w:val="Compact"/>
              <w:jc w:val="left"/>
            </w:pPr>
            <w:r>
              <w:t xml:space="preserve">The Reference Plane and Generation Plane (§S5.3) are MyVetiCare-local in Phase 1. A portfolio AI service may be adopted only if it can satisfy in-Kingdom inference and the plane-isolation CI test</w:t>
            </w:r>
          </w:p>
        </w:tc>
      </w:tr>
      <w:tr>
        <w:tc>
          <w:tcPr/>
          <w:p>
            <w:pPr>
              <w:pStyle w:val="Compact"/>
              <w:jc w:val="left"/>
            </w:pPr>
            <w:r>
              <w:rPr>
                <w:bCs/>
                <w:b/>
              </w:rPr>
              <w:t xml:space="preserve">Cloud</w:t>
            </w:r>
          </w:p>
        </w:tc>
        <w:tc>
          <w:tcPr/>
          <w:p>
            <w:pPr>
              <w:pStyle w:val="Compact"/>
              <w:jc w:val="left"/>
            </w:pPr>
            <w:r>
              <w:rPr>
                <w:rStyle w:val="VerbatimChar"/>
              </w:rPr>
              <w:t xml:space="preserve">CONSUME</w:t>
            </w:r>
          </w:p>
        </w:tc>
        <w:tc>
          <w:tcPr/>
          <w:p>
            <w:pPr>
              <w:pStyle w:val="Compact"/>
              <w:jc w:val="left"/>
            </w:pPr>
            <w:r>
              <w:t xml:space="preserve">GCP</w:t>
            </w:r>
            <w:r>
              <w:t xml:space="preserve"> </w:t>
            </w:r>
            <w:r>
              <w:rPr>
                <w:rStyle w:val="VerbatimChar"/>
              </w:rPr>
              <w:t xml:space="preserve">me-central2</w:t>
            </w:r>
            <w:r>
              <w:t xml:space="preserve"> </w:t>
            </w:r>
            <w:r>
              <w:t xml:space="preserve">under portfolio governance. This is the one genuine dependency, and it is a substrate dependency, not a product one</w:t>
            </w:r>
          </w:p>
        </w:tc>
      </w:tr>
      <w:tr>
        <w:tc>
          <w:tcPr/>
          <w:p>
            <w:pPr>
              <w:pStyle w:val="Compact"/>
              <w:jc w:val="left"/>
            </w:pPr>
            <w:r>
              <w:rPr>
                <w:bCs/>
                <w:b/>
              </w:rPr>
              <w:t xml:space="preserve">UX</w:t>
            </w:r>
          </w:p>
        </w:tc>
        <w:tc>
          <w:tcPr/>
          <w:p>
            <w:pPr>
              <w:pStyle w:val="Compact"/>
              <w:jc w:val="left"/>
            </w:pPr>
            <w:r>
              <w:rPr>
                <w:rStyle w:val="VerbatimChar"/>
              </w:rPr>
              <w:t xml:space="preserve">CONFORM</w:t>
            </w:r>
          </w:p>
        </w:tc>
        <w:tc>
          <w:tcPr/>
          <w:p>
            <w:pPr>
              <w:pStyle w:val="Compact"/>
              <w:jc w:val="left"/>
            </w:pPr>
            <w:r>
              <w:t xml:space="preserve">Conforms to</w:t>
            </w:r>
            <w:r>
              <w:t xml:space="preserve"> </w:t>
            </w:r>
            <w:r>
              <w:rPr>
                <w:rStyle w:val="VerbatimChar"/>
              </w:rPr>
              <w:t xml:space="preserve">MPP-UX-001</w:t>
            </w:r>
            <w:r>
              <w:t xml:space="preserve"> </w:t>
            </w:r>
            <w:r>
              <w:t xml:space="preserve">tokens and patterns; does not depend on a shared component runtime, because Arabic-first RTL clinical UI has requirements a portfolio library will not carry (§S4.5)</w:t>
            </w:r>
          </w:p>
        </w:tc>
      </w:tr>
    </w:tbl>
    <w:p>
      <w:pPr>
        <w:pStyle w:val="BodyText"/>
      </w:pPr>
      <w:r>
        <w:rPr>
          <w:rStyle w:val="VerbatimChar"/>
          <w:bCs/>
          <w:b/>
        </w:rPr>
        <w:t xml:space="preserve">P-006</w:t>
      </w:r>
      <w:r>
        <w:rPr>
          <w:bCs/>
          <w:b/>
        </w:rPr>
        <w:t xml:space="preserve"> </w:t>
      </w:r>
      <w:r>
        <w:rPr>
          <w:bCs/>
          <w:b/>
        </w:rPr>
        <w:t xml:space="preserve">— Until each row above has a signed consumption contract, the standalone claim is not made in any external material.</w:t>
      </w:r>
      <w:r>
        <w:t xml:space="preserve"> </w:t>
      </w:r>
      <w:r>
        <w:t xml:space="preserve">The Control Tower flag is corrected to the evidenced state; it is not flipped on assertion.</w:t>
      </w:r>
    </w:p>
    <w:p>
      <w:r>
        <w:pict>
          <v:rect style="width:0;height:1.5pt" o:hralign="center" o:hrstd="t" o:hr="t"/>
        </w:pict>
      </w:r>
    </w:p>
    <w:bookmarkEnd w:id="39"/>
    <w:bookmarkEnd w:id="40"/>
    <w:bookmarkStart w:id="46" w:name="s3--product-and-outcome"/>
    <w:p>
      <w:pPr>
        <w:pStyle w:val="Heading1"/>
      </w:pPr>
      <w:r>
        <w:t xml:space="preserve">S3 · Product and Outcome</w:t>
      </w:r>
    </w:p>
    <w:bookmarkStart w:id="41" w:name="Xb5daa9c713130f8426af4890846b834512a42e7"/>
    <w:p>
      <w:pPr>
        <w:pStyle w:val="Heading2"/>
      </w:pPr>
      <w:r>
        <w:t xml:space="preserve">S3.1 Portfolio outcome contract — inherited</w:t>
      </w:r>
    </w:p>
    <w:p>
      <w:pPr>
        <w:pStyle w:val="BlockText"/>
      </w:pPr>
      <w:r>
        <w:rPr>
          <w:iCs/>
          <w:i/>
        </w:rPr>
        <w:t xml:space="preserve">"Maqaleed exists to transform governed business evidence into decision-grade intelligence, recommended action and traceable execution context that the user could not obtain merely by viewing their source records."</w:t>
      </w:r>
    </w:p>
    <w:bookmarkEnd w:id="41"/>
    <w:bookmarkStart w:id="42" w:name="X98e54644dbef96b95bc8c5e1b07f0d7147c026e"/>
    <w:p>
      <w:pPr>
        <w:pStyle w:val="Heading2"/>
      </w:pPr>
      <w:r>
        <w:t xml:space="preserve">S3.2 Platform outcome contract — proposed for Sponsor decision</w:t>
      </w:r>
    </w:p>
    <w:p>
      <w:pPr>
        <w:pStyle w:val="BlockText"/>
      </w:pPr>
      <w:r>
        <w:rPr>
          <w:bCs/>
          <w:b/>
        </w:rPr>
        <w:t xml:space="preserve">MyVetiCare exists to convert the daily clinical and dispensing activity of a licensed Saudi companion-animal practice into governed, evidenced records — so that the practice's regulatory position is provable on demand, its prescribing decisions are safer at the moment they are made, and each patient's history remains continuous across visits, vets and years.</w:t>
      </w:r>
    </w:p>
    <w:p>
      <w:pPr>
        <w:pStyle w:val="BlockText"/>
      </w:pPr>
      <w:r>
        <w:rPr>
          <w:bCs/>
          <w:b/>
        </w:rPr>
        <w:t xml:space="preserve">The outcome is not a system the clinic operates. It is a clinic that can prove what it did.</w:t>
      </w:r>
    </w:p>
    <w:p>
      <w:pPr>
        <w:pStyle w:val="FirstParagraph"/>
      </w:pPr>
      <w:r>
        <w:t xml:space="preserve">This is deliberately narrower than either legacy candidate and deliberately conformant with</w:t>
      </w:r>
      <w:r>
        <w:t xml:space="preserve"> </w:t>
      </w:r>
      <w:r>
        <w:rPr>
          <w:rStyle w:val="VerbatimChar"/>
        </w:rPr>
        <w:t xml:space="preserve">P-002</w:t>
      </w:r>
      <w:r>
        <w:t xml:space="preserve">: the platform never decides; it evidences, checks and remembers.</w:t>
      </w:r>
    </w:p>
    <w:p>
      <w:pPr>
        <w:pStyle w:val="BodyText"/>
      </w:pPr>
      <w:r>
        <w:rPr>
          <w:bCs/>
          <w:b/>
        </w:rPr>
        <w:t xml:space="preserve">External framing</w:t>
      </w:r>
      <w:r>
        <w:t xml:space="preserve">, per the standing rule that outward documents lead with the pain and its economic consequence rather than the architecture:</w:t>
      </w:r>
    </w:p>
    <w:p>
      <w:pPr>
        <w:pStyle w:val="BlockText"/>
      </w:pPr>
      <w:r>
        <w:rPr>
          <w:iCs/>
          <w:i/>
        </w:rPr>
        <w:t xml:space="preserve">Your inspection file assembles itself. Your prescribing errors get caught before they leave the room. Your patient histories stop dying with the paper file.</w:t>
      </w:r>
    </w:p>
    <w:p>
      <w:pPr>
        <w:pStyle w:val="FirstParagraph"/>
      </w:pPr>
      <w:r>
        <w:rPr>
          <w:rStyle w:val="VerbatimChar"/>
          <w:bCs/>
          <w:b/>
        </w:rPr>
        <w:t xml:space="preserve">P-007</w:t>
      </w:r>
      <w:r>
        <w:rPr>
          <w:bCs/>
          <w:b/>
        </w:rPr>
        <w:t xml:space="preserve"> </w:t>
      </w:r>
      <w:r>
        <w:rPr>
          <w:bCs/>
          <w:b/>
        </w:rPr>
        <w:t xml:space="preserve">— The outcome contract is a Sponsor act.</w:t>
      </w:r>
      <w:r>
        <w:t xml:space="preserve"> </w:t>
      </w:r>
      <w:r>
        <w:t xml:space="preserve">It is proposed here, not settled.</w:t>
      </w:r>
    </w:p>
    <w:bookmarkEnd w:id="42"/>
    <w:bookmarkStart w:id="43" w:name="Xa99eed37f08ebbffcd9e99607b7518e95c7e7d7"/>
    <w:p>
      <w:pPr>
        <w:pStyle w:val="Heading2"/>
      </w:pPr>
      <w:r>
        <w:t xml:space="preserve">S3.3 The wedge — why a clinic buys this rather than something cheaper</w:t>
      </w:r>
    </w:p>
    <w:p>
      <w:pPr>
        <w:pStyle w:val="FirstParagraph"/>
      </w:pPr>
      <w:r>
        <w:t xml:space="preserve">The value proposition is</w:t>
      </w:r>
      <w:r>
        <w:t xml:space="preserve"> </w:t>
      </w:r>
      <w:r>
        <w:rPr>
          <w:bCs/>
          <w:b/>
        </w:rPr>
        <w:t xml:space="preserve">not</w:t>
      </w:r>
      <w:r>
        <w:t xml:space="preserve"> </w:t>
      </w:r>
      <w:r>
        <w:t xml:space="preserve">practice management. Practice management is table stakes and is served, adequately, by incumbents. The wedge is a</w:t>
      </w:r>
      <w:r>
        <w:t xml:space="preserve"> </w:t>
      </w:r>
      <w:r>
        <w:rPr>
          <w:bCs/>
          <w:b/>
        </w:rPr>
        <w:t xml:space="preserve">mandatory, dated, technical compliance burden that no competitor addresses and no clinic principal can self-serve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Wedge component</w:t>
            </w:r>
          </w:p>
        </w:tc>
        <w:tc>
          <w:tcPr/>
          <w:p>
            <w:pPr>
              <w:pStyle w:val="Compact"/>
              <w:jc w:val="left"/>
            </w:pPr>
            <w:r>
              <w:t xml:space="preserve">Status</w:t>
            </w:r>
          </w:p>
        </w:tc>
        <w:tc>
          <w:tcPr/>
          <w:p>
            <w:pPr>
              <w:pStyle w:val="Compact"/>
              <w:jc w:val="left"/>
            </w:pPr>
            <w:r>
              <w:t xml:space="preserve">Why no competitor covers it</w:t>
            </w:r>
          </w:p>
        </w:tc>
      </w:tr>
      <w:tr>
        <w:tc>
          <w:tcPr/>
          <w:p>
            <w:pPr>
              <w:pStyle w:val="Compact"/>
              <w:jc w:val="left"/>
            </w:pPr>
            <w:r>
              <w:rPr>
                <w:bCs/>
                <w:b/>
              </w:rPr>
              <w:t xml:space="preserve">ZATCA Phase 2 e-invoicing</w:t>
            </w:r>
            <w:r>
              <w:t xml:space="preserve"> </w:t>
            </w:r>
            <w:r>
              <w:t xml:space="preserve">— UUID, non-resetting invoice counter, previous-invoice hash chain, cryptographic stamp, UBL 2.1 XML, clearance or 24-hour reporting, per-device CSID</w:t>
            </w:r>
          </w:p>
        </w:tc>
        <w:tc>
          <w:tcPr/>
          <w:p>
            <w:pPr>
              <w:pStyle w:val="Compact"/>
              <w:jc w:val="left"/>
            </w:pPr>
            <w:r>
              <w:rPr>
                <w:bCs/>
                <w:b/>
              </w:rPr>
              <w:t xml:space="preserve">Mandatory. Wave 24 (SAR 375K–750K) deadline was 30 June 2026 — already passed</w:t>
            </w:r>
          </w:p>
        </w:tc>
        <w:tc>
          <w:tcPr/>
          <w:p>
            <w:pPr>
              <w:pStyle w:val="Compact"/>
              <w:jc w:val="left"/>
            </w:pPr>
            <w:r>
              <w:t xml:space="preserve">No international veterinary PMS ships it. A Saudi clinic on ezyVet or Digitail is running a non-compliant billing stack or bolting on a separate e-invoicing vendor</w:t>
            </w:r>
          </w:p>
        </w:tc>
      </w:tr>
      <w:tr>
        <w:tc>
          <w:tcPr/>
          <w:p>
            <w:pPr>
              <w:pStyle w:val="Compact"/>
              <w:jc w:val="left"/>
            </w:pPr>
            <w:r>
              <w:rPr>
                <w:bCs/>
                <w:b/>
              </w:rPr>
              <w:t xml:space="preserve">In-Kingdom data residency</w:t>
            </w:r>
          </w:p>
        </w:tc>
        <w:tc>
          <w:tcPr/>
          <w:p>
            <w:pPr>
              <w:pStyle w:val="Compact"/>
              <w:jc w:val="left"/>
            </w:pPr>
            <w:r>
              <w:t xml:space="preserve">Commercial promise + procurement gate</w:t>
            </w:r>
          </w:p>
        </w:tc>
        <w:tc>
          <w:tcPr/>
          <w:p>
            <w:pPr>
              <w:pStyle w:val="Compact"/>
              <w:jc w:val="left"/>
            </w:pPr>
            <w:r>
              <w:t xml:space="preserve">No listed competitor publishes an in-Kingdom region</w:t>
            </w:r>
          </w:p>
        </w:tc>
      </w:tr>
      <w:tr>
        <w:tc>
          <w:tcPr/>
          <w:p>
            <w:pPr>
              <w:pStyle w:val="Compact"/>
              <w:jc w:val="left"/>
            </w:pPr>
            <w:r>
              <w:rPr>
                <w:bCs/>
                <w:b/>
              </w:rPr>
              <w:t xml:space="preserve">MEWA + Balady/MOMRAH dual-regulator evidence</w:t>
            </w:r>
            <w:r>
              <w:t xml:space="preserve"> </w:t>
            </w:r>
            <w:r>
              <w:t xml:space="preserve">— 29 licensing conditions; CR + MEWA approval + Civil Defence clearance + façade QR + e-payment as a condition of licence renewal</w:t>
            </w:r>
          </w:p>
        </w:tc>
        <w:tc>
          <w:tcPr/>
          <w:p>
            <w:pPr>
              <w:pStyle w:val="Compact"/>
              <w:jc w:val="left"/>
            </w:pPr>
            <w:r>
              <w:t xml:space="preserve">Binding on existing facilities, not only new ones</w:t>
            </w:r>
          </w:p>
        </w:tc>
        <w:tc>
          <w:tcPr/>
          <w:p>
            <w:pPr>
              <w:pStyle w:val="Compact"/>
              <w:jc w:val="left"/>
            </w:pPr>
            <w:r>
              <w:t xml:space="preserve">Entirely unaddressed by foreign PMS. Dual-regulator, evidence-heavy, and local</w:t>
            </w:r>
          </w:p>
        </w:tc>
      </w:tr>
      <w:tr>
        <w:tc>
          <w:tcPr/>
          <w:p>
            <w:pPr>
              <w:pStyle w:val="Compact"/>
              <w:jc w:val="left"/>
            </w:pPr>
            <w:r>
              <w:rPr>
                <w:bCs/>
                <w:b/>
              </w:rPr>
              <w:t xml:space="preserve">Notifiable-disease duty</w:t>
            </w:r>
            <w:r>
              <w:t xml:space="preserve"> </w:t>
            </w:r>
            <w:r>
              <w:t xml:space="preserve">— 32 diseases, 24-hour report to Weqaa including owner name and address</w:t>
            </w:r>
          </w:p>
        </w:tc>
        <w:tc>
          <w:tcPr/>
          <w:p>
            <w:pPr>
              <w:pStyle w:val="Compact"/>
              <w:jc w:val="left"/>
            </w:pPr>
            <w:r>
              <w:t xml:space="preserve">The one unambiguous enforceable statutory duty in the domain</w:t>
            </w:r>
          </w:p>
        </w:tc>
        <w:tc>
          <w:tcPr/>
          <w:p>
            <w:pPr>
              <w:pStyle w:val="Compact"/>
              <w:jc w:val="left"/>
            </w:pPr>
            <w:r>
              <w:t xml:space="preserve">Not a feature in any veterinary PMS reviewed</w:t>
            </w:r>
          </w:p>
        </w:tc>
      </w:tr>
      <w:tr>
        <w:tc>
          <w:tcPr/>
          <w:p>
            <w:pPr>
              <w:pStyle w:val="Compact"/>
              <w:jc w:val="left"/>
            </w:pPr>
            <w:r>
              <w:rPr>
                <w:bCs/>
                <w:b/>
              </w:rPr>
              <w:t xml:space="preserve">Arabic-first clinical record</w:t>
            </w:r>
            <w:r>
              <w:t xml:space="preserve"> </w:t>
            </w:r>
            <w:r>
              <w:t xml:space="preserve">with correct bidirectional handling</w:t>
            </w:r>
          </w:p>
        </w:tc>
        <w:tc>
          <w:tcPr/>
          <w:p>
            <w:pPr>
              <w:pStyle w:val="Compact"/>
              <w:jc w:val="left"/>
            </w:pPr>
            <w:r>
              <w:t xml:space="preserve">Product premise</w:t>
            </w:r>
          </w:p>
        </w:tc>
        <w:tc>
          <w:tcPr/>
          <w:p>
            <w:pPr>
              <w:pStyle w:val="Compact"/>
              <w:jc w:val="left"/>
            </w:pPr>
            <w:r>
              <w:t xml:space="preserve">Provet's published language list contains no Arabic; Digitail is listed English-only</w:t>
            </w:r>
          </w:p>
        </w:tc>
      </w:tr>
    </w:tbl>
    <w:p>
      <w:pPr>
        <w:pStyle w:val="BodyText"/>
      </w:pPr>
      <w:r>
        <w:rPr>
          <w:rStyle w:val="VerbatimChar"/>
          <w:bCs/>
          <w:b/>
        </w:rPr>
        <w:t xml:space="preserve">P-008</w:t>
      </w:r>
      <w:r>
        <w:rPr>
          <w:bCs/>
          <w:b/>
        </w:rPr>
        <w:t xml:space="preserve"> </w:t>
      </w:r>
      <w:r>
        <w:rPr>
          <w:bCs/>
          <w:b/>
        </w:rPr>
        <w:t xml:space="preserve">— The product is led, in build order and in market, by compliance evidencing. Practice management is the substrate that makes the evidence exist.</w:t>
      </w:r>
      <w:r>
        <w:t xml:space="preserve"> </w:t>
      </w:r>
      <w:r>
        <w:t xml:space="preserve">Reversing that order produces a me-too PMS in a market that already has one.</w:t>
      </w:r>
    </w:p>
    <w:bookmarkEnd w:id="43"/>
    <w:bookmarkStart w:id="44" w:name="s34-customers-and-jobs-to-be-done"/>
    <w:p>
      <w:pPr>
        <w:pStyle w:val="Heading2"/>
      </w:pPr>
      <w:r>
        <w:t xml:space="preserve">S3.4 Customers and jobs to be done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Customer</w:t>
            </w:r>
          </w:p>
        </w:tc>
        <w:tc>
          <w:tcPr/>
          <w:p>
            <w:pPr>
              <w:pStyle w:val="Compact"/>
              <w:jc w:val="left"/>
            </w:pPr>
            <w:r>
              <w:t xml:space="preserve">Job</w:t>
            </w:r>
          </w:p>
        </w:tc>
        <w:tc>
          <w:tcPr/>
          <w:p>
            <w:pPr>
              <w:pStyle w:val="Compact"/>
              <w:jc w:val="left"/>
            </w:pPr>
            <w:r>
              <w:t xml:space="preserve">What they cannot produce themselves today</w:t>
            </w:r>
          </w:p>
        </w:tc>
        <w:tc>
          <w:tcPr/>
          <w:p>
            <w:pPr>
              <w:pStyle w:val="Compact"/>
              <w:jc w:val="left"/>
            </w:pPr>
            <w:r>
              <w:t xml:space="preserve">Economic role</w:t>
            </w:r>
          </w:p>
        </w:tc>
      </w:tr>
      <w:tr>
        <w:tc>
          <w:tcPr/>
          <w:p>
            <w:pPr>
              <w:pStyle w:val="Compact"/>
              <w:jc w:val="left"/>
            </w:pPr>
            <w:r>
              <w:rPr>
                <w:bCs/>
                <w:b/>
              </w:rPr>
              <w:t xml:space="preserve">Clinic principal</w:t>
            </w:r>
          </w:p>
        </w:tc>
        <w:tc>
          <w:tcPr/>
          <w:p>
            <w:pPr>
              <w:pStyle w:val="Compact"/>
              <w:jc w:val="left"/>
            </w:pPr>
            <w:r>
              <w:rPr>
                <w:iCs/>
                <w:i/>
              </w:rPr>
              <w:t xml:space="preserve">"Prove my practice is compliant without stopping work to assemble it"</w:t>
            </w:r>
          </w:p>
        </w:tc>
        <w:tc>
          <w:tcPr/>
          <w:p>
            <w:pPr>
              <w:pStyle w:val="Compact"/>
              <w:jc w:val="left"/>
            </w:pPr>
            <w:r>
              <w:t xml:space="preserve">An inspection-ready evidence position spanning licences, prescribing, case register, controlled substances, notifiable reports and retention</w:t>
            </w:r>
          </w:p>
        </w:tc>
        <w:tc>
          <w:tcPr/>
          <w:p>
            <w:pPr>
              <w:pStyle w:val="Compact"/>
              <w:jc w:val="left"/>
            </w:pPr>
            <w:r>
              <w:rPr>
                <w:bCs/>
                <w:b/>
              </w:rPr>
              <w:t xml:space="preserve">Economic buyer.</w:t>
            </w:r>
            <w:r>
              <w:t xml:space="preserve"> </w:t>
            </w:r>
            <w:r>
              <w:t xml:space="preserve">Signs, and personally carries the regulatory exposure</w:t>
            </w:r>
          </w:p>
        </w:tc>
      </w:tr>
      <w:tr>
        <w:tc>
          <w:tcPr/>
          <w:p>
            <w:pPr>
              <w:pStyle w:val="Compact"/>
              <w:jc w:val="left"/>
            </w:pPr>
            <w:r>
              <w:rPr>
                <w:bCs/>
                <w:b/>
              </w:rPr>
              <w:t xml:space="preserve">Attending veterinarian</w:t>
            </w:r>
          </w:p>
        </w:tc>
        <w:tc>
          <w:tcPr/>
          <w:p>
            <w:pPr>
              <w:pStyle w:val="Compact"/>
              <w:jc w:val="left"/>
            </w:pPr>
            <w:r>
              <w:rPr>
                <w:iCs/>
                <w:i/>
              </w:rPr>
              <w:t xml:space="preserve">"Get the history and the safety check without leaving the consult"</w:t>
            </w:r>
          </w:p>
        </w:tc>
        <w:tc>
          <w:tcPr/>
          <w:p>
            <w:pPr>
              <w:pStyle w:val="Compact"/>
              <w:jc w:val="left"/>
            </w:pPr>
            <w:r>
              <w:t xml:space="preserve">Longitudinal history across prior vets and years; species- and weight-aware reference checks at the moment of prescribing</w:t>
            </w:r>
          </w:p>
        </w:tc>
        <w:tc>
          <w:tcPr/>
          <w:p>
            <w:pPr>
              <w:pStyle w:val="Compact"/>
              <w:jc w:val="left"/>
            </w:pPr>
            <w:r>
              <w:rPr>
                <w:bCs/>
                <w:b/>
              </w:rPr>
              <w:t xml:space="preserve">Adoption-critical user.</w:t>
            </w:r>
            <w:r>
              <w:t xml:space="preserve"> </w:t>
            </w:r>
            <w:r>
              <w:t xml:space="preserve">Not separately priced. If she reverts to paper, the record dies</w:t>
            </w:r>
          </w:p>
        </w:tc>
      </w:tr>
      <w:tr>
        <w:tc>
          <w:tcPr/>
          <w:p>
            <w:pPr>
              <w:pStyle w:val="Compact"/>
              <w:jc w:val="left"/>
            </w:pPr>
            <w:r>
              <w:rPr>
                <w:bCs/>
                <w:b/>
              </w:rPr>
              <w:t xml:space="preserve">Dispensing / nurse staff</w:t>
            </w:r>
          </w:p>
        </w:tc>
        <w:tc>
          <w:tcPr/>
          <w:p>
            <w:pPr>
              <w:pStyle w:val="Compact"/>
              <w:jc w:val="left"/>
            </w:pPr>
            <w:r>
              <w:rPr>
                <w:iCs/>
                <w:i/>
              </w:rPr>
              <w:t xml:space="preserve">"Dispense correctly and evidence it, once"</w:t>
            </w:r>
          </w:p>
        </w:tc>
        <w:tc>
          <w:tcPr/>
          <w:p>
            <w:pPr>
              <w:pStyle w:val="Compact"/>
              <w:jc w:val="left"/>
            </w:pPr>
            <w:r>
              <w:t xml:space="preserve">Batch, expiry, serial and recall traceability tied to the specific patient and prescriber</w:t>
            </w:r>
          </w:p>
        </w:tc>
        <w:tc>
          <w:tcPr/>
          <w:p>
            <w:pPr>
              <w:pStyle w:val="Compact"/>
              <w:jc w:val="left"/>
            </w:pPr>
            <w:r>
              <w:t xml:space="preserve">User. Bundled</w:t>
            </w:r>
          </w:p>
        </w:tc>
      </w:tr>
      <w:tr>
        <w:tc>
          <w:tcPr/>
          <w:p>
            <w:pPr>
              <w:pStyle w:val="Compact"/>
              <w:jc w:val="left"/>
            </w:pPr>
            <w:r>
              <w:rPr>
                <w:bCs/>
                <w:b/>
              </w:rPr>
              <w:t xml:space="preserve">Reception</w:t>
            </w:r>
          </w:p>
        </w:tc>
        <w:tc>
          <w:tcPr/>
          <w:p>
            <w:pPr>
              <w:pStyle w:val="Compact"/>
              <w:jc w:val="left"/>
            </w:pPr>
            <w:r>
              <w:rPr>
                <w:iCs/>
                <w:i/>
              </w:rPr>
              <w:t xml:space="preserve">"Take the money without breaking the queue or the tax chain"</w:t>
            </w:r>
          </w:p>
        </w:tc>
        <w:tc>
          <w:tcPr/>
          <w:p>
            <w:pPr>
              <w:pStyle w:val="Compact"/>
              <w:jc w:val="left"/>
            </w:pPr>
            <w:r>
              <w:t xml:space="preserve">A compliant ZATCA simplified invoice in seconds, including when the network is unstable</w:t>
            </w:r>
          </w:p>
        </w:tc>
        <w:tc>
          <w:tcPr/>
          <w:p>
            <w:pPr>
              <w:pStyle w:val="Compact"/>
              <w:jc w:val="left"/>
            </w:pPr>
            <w:r>
              <w:t xml:space="preserve">User. Bundled</w:t>
            </w:r>
          </w:p>
        </w:tc>
      </w:tr>
      <w:tr>
        <w:tc>
          <w:tcPr/>
          <w:p>
            <w:pPr>
              <w:pStyle w:val="Compact"/>
              <w:jc w:val="left"/>
            </w:pPr>
            <w:r>
              <w:rPr>
                <w:bCs/>
                <w:b/>
              </w:rPr>
              <w:t xml:space="preserve">Pet owner</w:t>
            </w:r>
          </w:p>
        </w:tc>
        <w:tc>
          <w:tcPr/>
          <w:p>
            <w:pPr>
              <w:pStyle w:val="Compact"/>
              <w:jc w:val="left"/>
            </w:pPr>
            <w:r>
              <w:rPr>
                <w:iCs/>
                <w:i/>
              </w:rPr>
              <w:t xml:space="preserve">"Know what was done to my animal, and prove it elsewhere"</w:t>
            </w:r>
          </w:p>
        </w:tc>
        <w:tc>
          <w:tcPr/>
          <w:p>
            <w:pPr>
              <w:pStyle w:val="Compact"/>
              <w:jc w:val="left"/>
            </w:pPr>
            <w:r>
              <w:t xml:space="preserve">A portable, continuous, no-login record</w:t>
            </w:r>
          </w:p>
        </w:tc>
        <w:tc>
          <w:tcPr/>
          <w:p>
            <w:pPr>
              <w:pStyle w:val="Compact"/>
              <w:jc w:val="left"/>
            </w:pPr>
            <w:r>
              <w:rPr>
                <w:bCs/>
                <w:b/>
              </w:rPr>
              <w:t xml:space="preserve">Beneficiary, not buyer.</w:t>
            </w:r>
            <w:r>
              <w:t xml:space="preserve"> </w:t>
            </w:r>
            <w:r>
              <w:t xml:space="preserve">Making the owner primary is the error that produced a 50,000-consumer target with no unit economics</w:t>
            </w:r>
          </w:p>
        </w:tc>
      </w:tr>
    </w:tbl>
    <w:p>
      <w:pPr>
        <w:pStyle w:val="BodyText"/>
      </w:pPr>
      <w:r>
        <w:rPr>
          <w:bCs/>
          <w:b/>
        </w:rPr>
        <w:t xml:space="preserve">Gap</w:t>
      </w:r>
      <w:r>
        <w:rPr>
          <w:bCs/>
          <w:b/>
        </w:rPr>
        <w:t xml:space="preserve"> </w:t>
      </w:r>
      <w:r>
        <w:rPr>
          <w:rStyle w:val="VerbatimChar"/>
          <w:bCs/>
          <w:b/>
        </w:rPr>
        <w:t xml:space="preserve">MKT-01</w:t>
      </w:r>
      <w:r>
        <w:rPr>
          <w:bCs/>
          <w:b/>
        </w:rPr>
        <w:t xml:space="preserve">:</w:t>
      </w:r>
      <w:r>
        <w:t xml:space="preserve"> </w:t>
      </w:r>
      <w:r>
        <w:t xml:space="preserve">none of these jobs has been validated with a real Saudi clinic. The cohort tracker holds exactly one row:</w:t>
      </w:r>
      <w:r>
        <w:t xml:space="preserve"> </w:t>
      </w:r>
      <w:r>
        <w:rPr>
          <w:rStyle w:val="VerbatimChar"/>
        </w:rPr>
        <w:t xml:space="preserve">(add real clinics as outreach begins)</w:t>
      </w:r>
      <w:r>
        <w:t xml:space="preserve">. All four are</w:t>
      </w:r>
      <w:r>
        <w:t xml:space="preserve"> </w:t>
      </w:r>
      <w:r>
        <w:rPr>
          <w:rStyle w:val="VerbatimChar"/>
        </w:rPr>
        <w:t xml:space="preserve">[HYPOTHESIS]</w:t>
      </w:r>
      <w:r>
        <w:t xml:space="preserve">, validation method: 15–20 structured buyer interviews from the named-account list (§S9.5).</w:t>
      </w:r>
    </w:p>
    <w:bookmarkEnd w:id="44"/>
    <w:bookmarkStart w:id="45" w:name="s35-the-earn-or-abandon-moments"/>
    <w:p>
      <w:pPr>
        <w:pStyle w:val="Heading2"/>
      </w:pPr>
      <w:r>
        <w:t xml:space="preserve">S3.5 The earn-or-abandon moments</w:t>
      </w:r>
    </w:p>
    <w:p>
      <w:pPr>
        <w:pStyle w:val="FirstParagraph"/>
      </w:pPr>
      <w:r>
        <w:t xml:space="preserve">Each persona has one moment where the product either becomes unremovable or becomes a cost line. These are the moments the acceptance criteria in §S10 are built around.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Persona</w:t>
            </w:r>
          </w:p>
        </w:tc>
        <w:tc>
          <w:tcPr/>
          <w:p>
            <w:pPr>
              <w:pStyle w:val="Compact"/>
              <w:jc w:val="left"/>
            </w:pPr>
            <w:r>
              <w:t xml:space="preserve">The moment</w:t>
            </w:r>
          </w:p>
        </w:tc>
        <w:tc>
          <w:tcPr/>
          <w:p>
            <w:pPr>
              <w:pStyle w:val="Compact"/>
              <w:jc w:val="left"/>
            </w:pPr>
            <w:r>
              <w:t xml:space="preserve">Earned</w:t>
            </w:r>
          </w:p>
        </w:tc>
        <w:tc>
          <w:tcPr/>
          <w:p>
            <w:pPr>
              <w:pStyle w:val="Compact"/>
              <w:jc w:val="left"/>
            </w:pPr>
            <w:r>
              <w:t xml:space="preserve">Abandoned</w:t>
            </w:r>
          </w:p>
        </w:tc>
      </w:tr>
      <w:tr>
        <w:tc>
          <w:tcPr/>
          <w:p>
            <w:pPr>
              <w:pStyle w:val="Compact"/>
              <w:jc w:val="left"/>
            </w:pPr>
            <w:r>
              <w:t xml:space="preserve">Principal</w:t>
            </w:r>
          </w:p>
        </w:tc>
        <w:tc>
          <w:tcPr/>
          <w:p>
            <w:pPr>
              <w:pStyle w:val="Compact"/>
              <w:jc w:val="left"/>
            </w:pPr>
            <w:r>
              <w:t xml:space="preserve">An inspector at reception, unannounced, asking for the case register, practitioner licences, notifiable-report evidence and last quarter's cleared invoices</w:t>
            </w:r>
          </w:p>
        </w:tc>
        <w:tc>
          <w:tcPr/>
          <w:p>
            <w:pPr>
              <w:pStyle w:val="Compact"/>
              <w:jc w:val="left"/>
            </w:pPr>
            <w:r>
              <w:t xml:space="preserve">Produces a complete, timestamped, bilingual evidence pack from his phone while walking to the office</w:t>
            </w:r>
          </w:p>
        </w:tc>
        <w:tc>
          <w:tcPr/>
          <w:p>
            <w:pPr>
              <w:pStyle w:val="Compact"/>
              <w:jc w:val="left"/>
            </w:pPr>
            <w:r>
              <w:rPr>
                <w:iCs/>
                <w:i/>
              </w:rPr>
              <w:t xml:space="preserve">"Give me until tomorrow, I'll ask my administrator"</w:t>
            </w:r>
          </w:p>
        </w:tc>
      </w:tr>
      <w:tr>
        <w:tc>
          <w:tcPr/>
          <w:p>
            <w:pPr>
              <w:pStyle w:val="Compact"/>
              <w:jc w:val="left"/>
            </w:pPr>
            <w:r>
              <w:t xml:space="preserve">Vet</w:t>
            </w:r>
          </w:p>
        </w:tc>
        <w:tc>
          <w:tcPr/>
          <w:p>
            <w:pPr>
              <w:pStyle w:val="Compact"/>
              <w:jc w:val="left"/>
            </w:pPr>
            <w:r>
              <w:t xml:space="preserve">Reaching for a dose, gloved, animal on the table</w:t>
            </w:r>
          </w:p>
        </w:tc>
        <w:tc>
          <w:tcPr/>
          <w:p>
            <w:pPr>
              <w:pStyle w:val="Compact"/>
              <w:jc w:val="left"/>
            </w:pPr>
            <w:r>
              <w:t xml:space="preserve">System already holds this visit's weight, shows the last course of the same drug and the reaction noted then, and produces the mg/kg working — under three seconds, one-handed, glove on</w:t>
            </w:r>
          </w:p>
        </w:tc>
        <w:tc>
          <w:tcPr/>
          <w:p>
            <w:pPr>
              <w:pStyle w:val="Compact"/>
              <w:jc w:val="left"/>
            </w:pPr>
            <w:r>
              <w:t xml:space="preserve">She is asked to search a formulary, retype a weight and dismiss two modals. She writes on paper for the rest of her career</w:t>
            </w:r>
          </w:p>
        </w:tc>
      </w:tr>
      <w:tr>
        <w:tc>
          <w:tcPr/>
          <w:p>
            <w:pPr>
              <w:pStyle w:val="Compact"/>
              <w:jc w:val="left"/>
            </w:pPr>
            <w:r>
              <w:t xml:space="preserve">Dispensing staff</w:t>
            </w:r>
          </w:p>
        </w:tc>
        <w:tc>
          <w:tcPr/>
          <w:p>
            <w:pPr>
              <w:pStyle w:val="Compact"/>
              <w:jc w:val="left"/>
            </w:pPr>
            <w:r>
              <w:t xml:space="preserve">Dispensing a course of antibiotics</w:t>
            </w:r>
          </w:p>
        </w:tc>
        <w:tc>
          <w:tcPr/>
          <w:p>
            <w:pPr>
              <w:pStyle w:val="Compact"/>
              <w:jc w:val="left"/>
            </w:pPr>
            <w:r>
              <w:t xml:space="preserve">One action captures batch, expiry, stock decrement, Arabic label and the invoice line</w:t>
            </w:r>
          </w:p>
        </w:tc>
        <w:tc>
          <w:tcPr/>
          <w:p>
            <w:pPr>
              <w:pStyle w:val="Compact"/>
              <w:jc w:val="left"/>
            </w:pPr>
            <w:r>
              <w:t xml:space="preserve">Three screens. The notebook survives and the stock ledger diverges within a fortnight</w:t>
            </w:r>
          </w:p>
        </w:tc>
      </w:tr>
      <w:tr>
        <w:tc>
          <w:tcPr/>
          <w:p>
            <w:pPr>
              <w:pStyle w:val="Compact"/>
              <w:jc w:val="left"/>
            </w:pPr>
            <w:r>
              <w:t xml:space="preserve">Reception</w:t>
            </w:r>
          </w:p>
        </w:tc>
        <w:tc>
          <w:tcPr/>
          <w:p>
            <w:pPr>
              <w:pStyle w:val="Compact"/>
              <w:jc w:val="left"/>
            </w:pPr>
            <w:r>
              <w:t xml:space="preserve">Payment, mada, four people waiting</w:t>
            </w:r>
          </w:p>
        </w:tc>
        <w:tc>
          <w:tcPr/>
          <w:p>
            <w:pPr>
              <w:pStyle w:val="Compact"/>
              <w:jc w:val="left"/>
            </w:pPr>
            <w:r>
              <w:t xml:space="preserve">Stamped, QR-bearing Arabic invoice on the printer in under five seconds, including on an unstable connection</w:t>
            </w:r>
          </w:p>
        </w:tc>
        <w:tc>
          <w:tcPr/>
          <w:p>
            <w:pPr>
              <w:pStyle w:val="Compact"/>
              <w:jc w:val="left"/>
            </w:pPr>
            <w:r>
              <w:t xml:space="preserve">It hangs. She writes manual receipts, and the ZATCA chain breaks</w:t>
            </w:r>
          </w:p>
        </w:tc>
      </w:tr>
      <w:tr>
        <w:tc>
          <w:tcPr/>
          <w:p>
            <w:pPr>
              <w:pStyle w:val="Compact"/>
              <w:jc w:val="left"/>
            </w:pPr>
            <w:r>
              <w:t xml:space="preserve">Owner</w:t>
            </w:r>
          </w:p>
        </w:tc>
        <w:tc>
          <w:tcPr/>
          <w:p>
            <w:pPr>
              <w:pStyle w:val="Compact"/>
              <w:jc w:val="left"/>
            </w:pPr>
            <w:r>
              <w:t xml:space="preserve">Asked to prove vaccination status at a boarding kennel or a new clinic</w:t>
            </w:r>
          </w:p>
        </w:tc>
        <w:tc>
          <w:tcPr/>
          <w:p>
            <w:pPr>
              <w:pStyle w:val="Compact"/>
              <w:jc w:val="left"/>
            </w:pPr>
            <w:r>
              <w:t xml:space="preserve">A link opens an Arabic record with the vet's name, dual dates and batch number — no login</w:t>
            </w:r>
          </w:p>
        </w:tc>
        <w:tc>
          <w:tcPr/>
          <w:p>
            <w:pPr>
              <w:pStyle w:val="Compact"/>
              <w:jc w:val="left"/>
            </w:pPr>
            <w:r>
              <w:t xml:space="preserve">It demands an account. She photographs the paper card and the continuity chain breaks</w:t>
            </w:r>
          </w:p>
        </w:tc>
      </w:tr>
    </w:tbl>
    <w:p>
      <w:r>
        <w:pict>
          <v:rect style="width:0;height:1.5pt" o:hralign="center" o:hrstd="t" o:hr="t"/>
        </w:pict>
      </w:r>
    </w:p>
    <w:bookmarkEnd w:id="45"/>
    <w:bookmarkEnd w:id="46"/>
    <w:bookmarkStart w:id="72" w:name="s4--experience"/>
    <w:p>
      <w:pPr>
        <w:pStyle w:val="Heading1"/>
      </w:pPr>
      <w:r>
        <w:t xml:space="preserve">S4 · Experience</w:t>
      </w:r>
    </w:p>
    <w:bookmarkStart w:id="47" w:name="X9eadc063690d6eb75ab0e19f0580e84890a7657"/>
    <w:p>
      <w:pPr>
        <w:pStyle w:val="Heading2"/>
      </w:pPr>
      <w:r>
        <w:t xml:space="preserve">S4.1 Personas — the operating facts that drive design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Principal</w:t>
            </w:r>
          </w:p>
        </w:tc>
        <w:tc>
          <w:tcPr/>
          <w:p>
            <w:pPr>
              <w:pStyle w:val="Compact"/>
              <w:jc w:val="left"/>
            </w:pPr>
            <w:r>
              <w:t xml:space="preserve">Attending vet</w:t>
            </w:r>
          </w:p>
        </w:tc>
        <w:tc>
          <w:tcPr/>
          <w:p>
            <w:pPr>
              <w:pStyle w:val="Compact"/>
              <w:jc w:val="left"/>
            </w:pPr>
            <w:r>
              <w:t xml:space="preserve">Dispensing staff</w:t>
            </w:r>
          </w:p>
        </w:tc>
        <w:tc>
          <w:tcPr/>
          <w:p>
            <w:pPr>
              <w:pStyle w:val="Compact"/>
              <w:jc w:val="left"/>
            </w:pPr>
            <w:r>
              <w:t xml:space="preserve">Reception</w:t>
            </w:r>
          </w:p>
        </w:tc>
        <w:tc>
          <w:tcPr/>
          <w:p>
            <w:pPr>
              <w:pStyle w:val="Compact"/>
              <w:jc w:val="left"/>
            </w:pPr>
            <w:r>
              <w:t xml:space="preserve">Owner</w:t>
            </w:r>
          </w:p>
        </w:tc>
      </w:tr>
      <w:tr>
        <w:tc>
          <w:tcPr/>
          <w:p>
            <w:pPr>
              <w:pStyle w:val="Compact"/>
              <w:jc w:val="left"/>
            </w:pPr>
            <w:r>
              <w:rPr>
                <w:bCs/>
                <w:b/>
              </w:rPr>
              <w:t xml:space="preserve">Context</w:t>
            </w:r>
          </w:p>
        </w:tc>
        <w:tc>
          <w:tcPr/>
          <w:p>
            <w:pPr>
              <w:pStyle w:val="Compact"/>
              <w:jc w:val="left"/>
            </w:pPr>
            <w:r>
              <w:t xml:space="preserve">Named on the establishment licence; consults 40–60% of the week, runs the business the rest</w:t>
            </w:r>
          </w:p>
        </w:tc>
        <w:tc>
          <w:tcPr/>
          <w:p>
            <w:pPr>
              <w:pStyle w:val="Compact"/>
              <w:jc w:val="left"/>
            </w:pPr>
            <w:r>
              <w:t xml:space="preserve">18–30 patients/day; 10–20 min consults; standing, gloved; writes notes after the animal has left</w:t>
            </w:r>
          </w:p>
        </w:tc>
        <w:tc>
          <w:tcPr/>
          <w:p>
            <w:pPr>
              <w:pStyle w:val="Compact"/>
              <w:jc w:val="left"/>
            </w:pPr>
            <w:r>
              <w:t xml:space="preserve">Longest-serving person in the building; holds the operational knowledge</w:t>
            </w:r>
          </w:p>
        </w:tc>
        <w:tc>
          <w:tcPr/>
          <w:p>
            <w:pPr>
              <w:pStyle w:val="Compact"/>
              <w:jc w:val="left"/>
            </w:pPr>
            <w:r>
              <w:t xml:space="preserve">Highest turnover, least trained, most consequential surface</w:t>
            </w:r>
          </w:p>
        </w:tc>
        <w:tc>
          <w:tcPr/>
          <w:p>
            <w:pPr>
              <w:pStyle w:val="Compact"/>
              <w:jc w:val="left"/>
            </w:pPr>
            <w:r>
              <w:t xml:space="preserve">Not accountable to anyone</w:t>
            </w:r>
          </w:p>
        </w:tc>
      </w:tr>
      <w:tr>
        <w:tc>
          <w:tcPr/>
          <w:p>
            <w:pPr>
              <w:pStyle w:val="Compact"/>
              <w:jc w:val="left"/>
            </w:pPr>
            <w:r>
              <w:rPr>
                <w:bCs/>
                <w:b/>
              </w:rPr>
              <w:t xml:space="preserve">Measured on</w:t>
            </w:r>
          </w:p>
        </w:tc>
        <w:tc>
          <w:tcPr/>
          <w:p>
            <w:pPr>
              <w:pStyle w:val="Compact"/>
              <w:jc w:val="left"/>
            </w:pPr>
            <w:r>
              <w:t xml:space="preserve">Whether the licence renews; whether an inspection ends clean</w:t>
            </w:r>
          </w:p>
        </w:tc>
        <w:tc>
          <w:tcPr/>
          <w:p>
            <w:pPr>
              <w:pStyle w:val="Compact"/>
              <w:jc w:val="left"/>
            </w:pPr>
            <w:r>
              <w:t xml:space="preserve">Throughput; whether the animal got better; whether the dose was right; whether her records survive scrutiny</w:t>
            </w:r>
          </w:p>
        </w:tc>
        <w:tc>
          <w:tcPr/>
          <w:p>
            <w:pPr>
              <w:pStyle w:val="Compact"/>
              <w:jc w:val="left"/>
            </w:pPr>
            <w:r>
              <w:t xml:space="preserve">Does the shelf match the book</w:t>
            </w:r>
          </w:p>
        </w:tc>
        <w:tc>
          <w:tcPr/>
          <w:p>
            <w:pPr>
              <w:pStyle w:val="Compact"/>
              <w:jc w:val="left"/>
            </w:pPr>
            <w:r>
              <w:t xml:space="preserve">Queue length; does the till reconcile</w:t>
            </w:r>
          </w:p>
        </w:tc>
        <w:tc>
          <w:tcPr/>
          <w:p>
            <w:pPr>
              <w:pStyle w:val="Compact"/>
              <w:jc w:val="left"/>
            </w:pPr>
            <w:r>
              <w:t xml:space="preserve">Nothing</w:t>
            </w:r>
          </w:p>
        </w:tc>
      </w:tr>
      <w:tr>
        <w:tc>
          <w:tcPr/>
          <w:p>
            <w:pPr>
              <w:pStyle w:val="Compact"/>
              <w:jc w:val="left"/>
            </w:pPr>
            <w:r>
              <w:rPr>
                <w:bCs/>
                <w:b/>
              </w:rPr>
              <w:t xml:space="preserve">Will not tolerate</w:t>
            </w:r>
          </w:p>
        </w:tc>
        <w:tc>
          <w:tcPr/>
          <w:p>
            <w:pPr>
              <w:pStyle w:val="Compact"/>
              <w:jc w:val="left"/>
            </w:pPr>
            <w:r>
              <w:t xml:space="preserve">Being unable to answer a regulator without ringing a vendor; a vendor who "will add ZATCA later"</w:t>
            </w:r>
          </w:p>
        </w:tc>
        <w:tc>
          <w:tcPr/>
          <w:p>
            <w:pPr>
              <w:pStyle w:val="Compact"/>
              <w:jc w:val="left"/>
            </w:pPr>
            <w:r>
              <w:t xml:space="preserve">Typing while an animal is on the table; being logged out mid-consult; a system with an opinion but no memory</w:t>
            </w:r>
          </w:p>
        </w:tc>
        <w:tc>
          <w:tcPr/>
          <w:p>
            <w:pPr>
              <w:pStyle w:val="Compact"/>
              <w:jc w:val="left"/>
            </w:pPr>
            <w:r>
              <w:t xml:space="preserve">Double entry; typing Latin drug names on an Arabic keyboard</w:t>
            </w:r>
          </w:p>
        </w:tc>
        <w:tc>
          <w:tcPr/>
          <w:p>
            <w:pPr>
              <w:pStyle w:val="Compact"/>
              <w:jc w:val="left"/>
            </w:pPr>
            <w:r>
              <w:t xml:space="preserve">Anything that fails while a queue is watching</w:t>
            </w:r>
          </w:p>
        </w:tc>
        <w:tc>
          <w:tcPr/>
          <w:p>
            <w:pPr>
              <w:pStyle w:val="Compact"/>
              <w:jc w:val="left"/>
            </w:pPr>
            <w:r>
              <w:t xml:space="preserve">Downloading an app; creating a password; an English-only reminder</w:t>
            </w:r>
          </w:p>
        </w:tc>
      </w:tr>
    </w:tbl>
    <w:p>
      <w:pPr>
        <w:pStyle w:val="BodyText"/>
      </w:pPr>
      <w:r>
        <w:rPr>
          <w:rStyle w:val="VerbatimChar"/>
        </w:rPr>
        <w:t xml:space="preserve">[DESIGN POSITION] X-001</w:t>
      </w:r>
      <w:r>
        <w:t xml:space="preserve"> </w:t>
      </w:r>
      <w:r>
        <w:t xml:space="preserve">—</w:t>
      </w:r>
      <w:r>
        <w:t xml:space="preserve"> </w:t>
      </w:r>
      <w:r>
        <w:rPr>
          <w:bCs/>
          <w:b/>
        </w:rPr>
        <w:t xml:space="preserve">No owner account exists in Phase 1.</w:t>
      </w:r>
      <w:r>
        <w:t xml:space="preserve"> </w:t>
      </w:r>
      <w:r>
        <w:t xml:space="preserve">Owner access is link-based, OTP-gated for anything beyond a vaccination summary, and works without installation. Building an owner app in Phase 1 repeats the rejected consumer-first error.</w:t>
      </w:r>
    </w:p>
    <w:p>
      <w:pPr>
        <w:pStyle w:val="BodyText"/>
      </w:pPr>
      <w:r>
        <w:rPr>
          <w:rStyle w:val="VerbatimChar"/>
        </w:rPr>
        <w:t xml:space="preserve">[EVIDENCE REQUIRED]</w:t>
      </w:r>
      <w:r>
        <w:t xml:space="preserve"> </w:t>
      </w:r>
      <w:r>
        <w:t xml:space="preserve">— the nationality and licensure mix of companion-animal vets in KSA, which drives the Arabic-fluency assumptions in design research.</w:t>
      </w:r>
    </w:p>
    <w:bookmarkEnd w:id="47"/>
    <w:bookmarkStart w:id="48" w:name="X49af2a4486b8f7ebc9bf7fa377d8a984d5aa3ac"/>
    <w:p>
      <w:pPr>
        <w:pStyle w:val="Heading2"/>
      </w:pPr>
      <w:r>
        <w:t xml:space="preserve">S4.2 Two conventions that run through every journey</w:t>
      </w:r>
    </w:p>
    <w:p>
      <w:pPr>
        <w:pStyle w:val="FirstParagraph"/>
      </w:pPr>
      <w:r>
        <w:rPr>
          <w:rStyle w:val="VerbatimChar"/>
          <w:bCs/>
          <w:b/>
        </w:rPr>
        <w:t xml:space="preserve">X-002</w:t>
      </w:r>
      <w:r>
        <w:rPr>
          <w:bCs/>
          <w:b/>
        </w:rPr>
        <w:t xml:space="preserve"> </w:t>
      </w:r>
      <w:r>
        <w:rPr>
          <w:bCs/>
          <w:b/>
        </w:rPr>
        <w:t xml:space="preserve">— Draft versus Attested.</w:t>
      </w:r>
      <w:r>
        <w:t xml:space="preserve"> </w:t>
      </w:r>
      <w:r>
        <w:t xml:space="preserve">Every clinical artefact exists in exactly two states. A</w:t>
      </w:r>
      <w:r>
        <w:t xml:space="preserve"> </w:t>
      </w:r>
      <w:r>
        <w:rPr>
          <w:bCs/>
          <w:b/>
        </w:rPr>
        <w:t xml:space="preserve">draft</w:t>
      </w:r>
      <w:r>
        <w:t xml:space="preserve"> </w:t>
      </w:r>
      <w:r>
        <w:t xml:space="preserve">is mutable, attributed to its author, invisible to regulatory export, and time-boxed. An</w:t>
      </w:r>
      <w:r>
        <w:t xml:space="preserve"> </w:t>
      </w:r>
      <w:r>
        <w:rPr>
          <w:bCs/>
          <w:b/>
        </w:rPr>
        <w:t xml:space="preserve">attested record</w:t>
      </w:r>
      <w:r>
        <w:t xml:space="preserve"> </w:t>
      </w:r>
      <w:r>
        <w:t xml:space="preserve">is immutable, cryptographically sealed, bound to a named licensed practitioner and a timestamp, and changeable only by a visible, attributed addendum.</w:t>
      </w:r>
      <w:r>
        <w:t xml:space="preserve"> </w:t>
      </w:r>
      <w:r>
        <w:rPr>
          <w:bCs/>
          <w:b/>
        </w:rPr>
        <w:t xml:space="preserve">Nothing is ever silently edited.</w:t>
      </w:r>
      <w:r>
        <w:t xml:space="preserve"> </w:t>
      </w:r>
      <w:r>
        <w:t xml:space="preserve">This single convention is what makes the record evidence rather than notes.</w:t>
      </w:r>
    </w:p>
    <w:p>
      <w:pPr>
        <w:pStyle w:val="BodyText"/>
      </w:pPr>
      <w:r>
        <w:rPr>
          <w:rStyle w:val="VerbatimChar"/>
          <w:bCs/>
          <w:b/>
        </w:rPr>
        <w:t xml:space="preserve">X-003</w:t>
      </w:r>
      <w:r>
        <w:rPr>
          <w:bCs/>
          <w:b/>
        </w:rPr>
        <w:t xml:space="preserve"> </w:t>
      </w:r>
      <w:r>
        <w:rPr>
          <w:bCs/>
          <w:b/>
        </w:rPr>
        <w:t xml:space="preserve">— Degraded tiers.</w:t>
      </w:r>
      <w:r>
        <w:t xml:space="preserve"> </w:t>
      </w:r>
      <w:r>
        <w:rPr>
          <w:rStyle w:val="VerbatimChar"/>
        </w:rPr>
        <w:t xml:space="preserve">T0</w:t>
      </w:r>
      <w:r>
        <w:t xml:space="preserve"> </w:t>
      </w:r>
      <w:r>
        <w:t xml:space="preserve">online ·</w:t>
      </w:r>
      <w:r>
        <w:t xml:space="preserve"> </w:t>
      </w:r>
      <w:r>
        <w:rPr>
          <w:rStyle w:val="VerbatimChar"/>
        </w:rPr>
        <w:t xml:space="preserve">T1</w:t>
      </w:r>
      <w:r>
        <w:t xml:space="preserve"> </w:t>
      </w:r>
      <w:r>
        <w:t xml:space="preserve">degraded (local writes, queued sync) ·</w:t>
      </w:r>
      <w:r>
        <w:t xml:space="preserve"> </w:t>
      </w:r>
      <w:r>
        <w:rPr>
          <w:rStyle w:val="VerbatimChar"/>
        </w:rPr>
        <w:t xml:space="preserve">T2</w:t>
      </w:r>
      <w:r>
        <w:t xml:space="preserve"> </w:t>
      </w:r>
      <w:r>
        <w:t xml:space="preserve">read-only ·</w:t>
      </w:r>
      <w:r>
        <w:t xml:space="preserve"> </w:t>
      </w:r>
      <w:r>
        <w:rPr>
          <w:rStyle w:val="VerbatimChar"/>
        </w:rPr>
        <w:t xml:space="preserve">T3</w:t>
      </w:r>
      <w:r>
        <w:t xml:space="preserve"> </w:t>
      </w:r>
      <w:r>
        <w:t xml:space="preserve">break-glass. Every journey states its behaviour in each tier (§S4.7).</w:t>
      </w:r>
    </w:p>
    <w:bookmarkEnd w:id="48"/>
    <w:bookmarkStart w:id="49" w:name="X628c2c3af71ee8a56cde90f25c0631ab34f616d"/>
    <w:p>
      <w:pPr>
        <w:pStyle w:val="Heading2"/>
      </w:pPr>
      <w:r>
        <w:t xml:space="preserve">S4.3 Journey (a) — Clinic onboarding and licence verification</w:t>
      </w:r>
    </w:p>
    <w:p>
      <w:pPr>
        <w:pStyle w:val="FirstParagraph"/>
      </w:pPr>
      <w:r>
        <w:rPr>
          <w:bCs/>
          <w:b/>
        </w:rPr>
        <w:t xml:space="preserve">The prior build's fatal defect was that registration was "contact admin" only</w:t>
      </w:r>
      <w:r>
        <w:t xml:space="preserve"> </w:t>
      </w:r>
      <w:r>
        <w:t xml:space="preserve">— a closed door on the only surface where a compliance-led product acquires customers.</w:t>
      </w:r>
    </w:p>
    <w:p>
      <w:pPr>
        <w:pStyle w:val="BodyText"/>
      </w:pPr>
      <w:r>
        <w:rPr>
          <w:rStyle w:val="VerbatimChar"/>
        </w:rPr>
        <w:t xml:space="preserve">X-004</w:t>
      </w:r>
      <w:r>
        <w:t xml:space="preserve"> </w:t>
      </w:r>
      <w:r>
        <w:t xml:space="preserve">—</w:t>
      </w:r>
      <w:r>
        <w:t xml:space="preserve"> </w:t>
      </w:r>
      <w:r>
        <w:rPr>
          <w:bCs/>
          <w:b/>
        </w:rPr>
        <w:t xml:space="preserve">Self-serve entry with no sales contact.</w:t>
      </w:r>
      <w:r>
        <w:t xml:space="preserve"> </w:t>
      </w:r>
      <w:r>
        <w:t xml:space="preserve">Mobile number → OTP → workspace exists. Arabic by default.</w:t>
      </w:r>
    </w:p>
    <w:p>
      <w:pPr>
        <w:pStyle w:val="BodyText"/>
      </w:pPr>
      <w:r>
        <w:rPr>
          <w:rStyle w:val="VerbatimChar"/>
        </w:rPr>
        <w:t xml:space="preserve">X-005</w:t>
      </w:r>
      <w:r>
        <w:t xml:space="preserve"> </w:t>
      </w:r>
      <w:r>
        <w:t xml:space="preserve">—</w:t>
      </w:r>
      <w:r>
        <w:t xml:space="preserve"> </w:t>
      </w:r>
      <w:r>
        <w:rPr>
          <w:bCs/>
          <w:b/>
        </w:rPr>
        <w:t xml:space="preserve">A provisional workspace is immediately usable.</w:t>
      </w:r>
      <w:r>
        <w:t xml:space="preserve"> </w:t>
      </w:r>
      <w:r>
        <w:t xml:space="preserve">The principal can create a patient, run a mock consult and see an evidence pack against clearly-marked sample data before any verification completes.</w:t>
      </w:r>
      <w:r>
        <w:t xml:space="preserve"> </w:t>
      </w:r>
      <w:r>
        <w:rPr>
          <w:rStyle w:val="VerbatimChar"/>
        </w:rPr>
        <w:t xml:space="preserve">[DESIGN POSITION]</w:t>
      </w:r>
      <w:r>
        <w:t xml:space="preserve"> </w:t>
      </w:r>
      <w:r>
        <w:rPr>
          <w:bCs/>
          <w:b/>
        </w:rPr>
        <w:t xml:space="preserve">Verification gates the issuance of regulated artefacts. It never gates access to the product.</w:t>
      </w:r>
    </w:p>
    <w:p>
      <w:pPr>
        <w:pStyle w:val="BodyText"/>
      </w:pPr>
      <w:r>
        <w:rPr>
          <w:rStyle w:val="VerbatimChar"/>
        </w:rPr>
        <w:t xml:space="preserve">X-006</w:t>
      </w:r>
      <w:r>
        <w:t xml:space="preserve"> </w:t>
      </w:r>
      <w:r>
        <w:t xml:space="preserve">—</w:t>
      </w:r>
      <w:r>
        <w:t xml:space="preserve"> </w:t>
      </w:r>
      <w:r>
        <w:rPr>
          <w:bCs/>
          <w:b/>
        </w:rPr>
        <w:t xml:space="preserve">Establishment identity capture</w:t>
      </w:r>
      <w:r>
        <w:t xml:space="preserve">: CR number, MEWA establishment licence, Balady/MOMRAH licence, VAT registration number, national address, Civil Defence clearance, façade-QR and e-payment evidence —</w:t>
      </w:r>
      <w:r>
        <w:t xml:space="preserve"> </w:t>
      </w:r>
      <w:r>
        <w:rPr>
          <w:bCs/>
          <w:b/>
        </w:rPr>
        <w:t xml:space="preserve">each with its expiry date</w:t>
      </w:r>
      <w:r>
        <w:t xml:space="preserve">.</w:t>
      </w:r>
    </w:p>
    <w:p>
      <w:pPr>
        <w:pStyle w:val="BodyText"/>
      </w:pPr>
      <w:r>
        <w:rPr>
          <w:rStyle w:val="VerbatimChar"/>
        </w:rPr>
        <w:t xml:space="preserve">X-007</w:t>
      </w:r>
      <w:r>
        <w:t xml:space="preserve"> </w:t>
      </w:r>
      <w:r>
        <w:t xml:space="preserve">—</w:t>
      </w:r>
      <w:r>
        <w:t xml:space="preserve"> </w:t>
      </w:r>
      <w:r>
        <w:rPr>
          <w:bCs/>
          <w:b/>
        </w:rPr>
        <w:t xml:space="preserve">Verification ladder</w:t>
      </w:r>
      <w:r>
        <w:t xml:space="preserve">:</w:t>
      </w:r>
      <w:r>
        <w:t xml:space="preserve"> </w:t>
      </w:r>
      <w:r>
        <w:rPr>
          <w:rStyle w:val="VerbatimChar"/>
        </w:rPr>
        <w:t xml:space="preserve">self_attested</w:t>
      </w:r>
      <w:r>
        <w:t xml:space="preserve"> </w:t>
      </w:r>
      <w:r>
        <w:t xml:space="preserve">→</w:t>
      </w:r>
      <w:r>
        <w:t xml:space="preserve"> </w:t>
      </w:r>
      <w:r>
        <w:rPr>
          <w:rStyle w:val="VerbatimChar"/>
        </w:rPr>
        <w:t xml:space="preserve">document_verified</w:t>
      </w:r>
      <w:r>
        <w:t xml:space="preserve"> </w:t>
      </w:r>
      <w:r>
        <w:t xml:space="preserve">(a named staff member checks the certificate, and their identity is recorded on the licence row) →</w:t>
      </w:r>
      <w:r>
        <w:t xml:space="preserve"> </w:t>
      </w:r>
      <w:r>
        <w:rPr>
          <w:rStyle w:val="VerbatimChar"/>
        </w:rPr>
        <w:t xml:space="preserve">authority_verified</w:t>
      </w:r>
      <w:r>
        <w:t xml:space="preserve"> </w:t>
      </w:r>
      <w:r>
        <w:t xml:space="preserve">(reserved for a future API).</w:t>
      </w:r>
      <w:r>
        <w:t xml:space="preserve"> </w:t>
      </w:r>
      <w:r>
        <w:rPr>
          <w:rStyle w:val="VerbatimChar"/>
        </w:rPr>
        <w:t xml:space="preserve">[EVIDENCE REQUIRED]</w:t>
      </w:r>
      <w:r>
        <w:t xml:space="preserve"> </w:t>
      </w:r>
      <w:r>
        <w:t xml:space="preserve">— whether MEWA/Nama, Balady/MOMRAH or the CR registry expose any programmatic verification interface. Until established, document capture plus human review plus expiry monitoring is sufficient and does not block launch.</w:t>
      </w:r>
    </w:p>
    <w:p>
      <w:pPr>
        <w:pStyle w:val="BodyText"/>
      </w:pPr>
      <w:r>
        <w:rPr>
          <w:rStyle w:val="VerbatimChar"/>
        </w:rPr>
        <w:t xml:space="preserve">X-008</w:t>
      </w:r>
      <w:r>
        <w:t xml:space="preserve"> </w:t>
      </w:r>
      <w:r>
        <w:t xml:space="preserve">—</w:t>
      </w:r>
      <w:r>
        <w:t xml:space="preserve"> </w:t>
      </w:r>
      <w:r>
        <w:rPr>
          <w:bCs/>
          <w:b/>
        </w:rPr>
        <w:t xml:space="preserve">Practitioner enrolment</w:t>
      </w:r>
      <w:r>
        <w:t xml:space="preserve">: Arabic four-part name plus the Latin transliteration exactly as printed on the licence, licence number, issuing body, scope, expiry.</w:t>
      </w:r>
      <w:r>
        <w:t xml:space="preserve"> </w:t>
      </w:r>
      <w:r>
        <w:rPr>
          <w:bCs/>
          <w:b/>
        </w:rPr>
        <w:t xml:space="preserve">A practitioner without a verified in-date licence cannot attest a clinical record or sign a prescription</w:t>
      </w:r>
      <w:r>
        <w:t xml:space="preserve"> </w:t>
      </w:r>
      <w:r>
        <w:t xml:space="preserve">— they can draft, and the draft sits unattested with a visible reason.</w:t>
      </w:r>
    </w:p>
    <w:p>
      <w:pPr>
        <w:pStyle w:val="BodyText"/>
      </w:pPr>
      <w:r>
        <w:rPr>
          <w:rStyle w:val="VerbatimChar"/>
        </w:rPr>
        <w:t xml:space="preserve">X-009</w:t>
      </w:r>
      <w:r>
        <w:t xml:space="preserve"> </w:t>
      </w:r>
      <w:r>
        <w:t xml:space="preserve">—</w:t>
      </w:r>
      <w:r>
        <w:t xml:space="preserve"> </w:t>
      </w:r>
      <w:r>
        <w:rPr>
          <w:bCs/>
          <w:b/>
        </w:rPr>
        <w:t xml:space="preserve">ZATCA onboarding per invoicing device</w:t>
      </w:r>
      <w:r>
        <w:t xml:space="preserve">: CSR, compliance CSID, compliance invoices, production CSID.</w:t>
      </w:r>
      <w:r>
        <w:t xml:space="preserve"> </w:t>
      </w:r>
      <w:r>
        <w:rPr>
          <w:bCs/>
          <w:b/>
        </w:rPr>
        <w:t xml:space="preserve">One counter chain per device.</w:t>
      </w:r>
    </w:p>
    <w:p>
      <w:pPr>
        <w:pStyle w:val="BodyText"/>
      </w:pPr>
      <w:r>
        <w:rPr>
          <w:rStyle w:val="VerbatimChar"/>
        </w:rPr>
        <w:t xml:space="preserve">X-010</w:t>
      </w:r>
      <w:r>
        <w:t xml:space="preserve"> </w:t>
      </w:r>
      <w:r>
        <w:t xml:space="preserve">—</w:t>
      </w:r>
      <w:r>
        <w:t xml:space="preserve"> </w:t>
      </w:r>
      <w:r>
        <w:rPr>
          <w:bCs/>
          <w:b/>
        </w:rPr>
        <w:t xml:space="preserve">Go-live self-check completed by the principal himself</w:t>
      </w:r>
      <w:r>
        <w:t xml:space="preserve">: licences in date · at least one attesting practitioner · one invoicing device that has cleared a real test invoice · a printer that produced a correctly-shaped Arabic label · one real patient recorded. The check is</w:t>
      </w:r>
      <w:r>
        <w:t xml:space="preserve"> </w:t>
      </w:r>
      <w:r>
        <w:rPr>
          <w:iCs/>
          <w:i/>
        </w:rPr>
        <w:t xml:space="preserve">"you are holding a correct invoice"</w:t>
      </w:r>
      <w:r>
        <w:t xml:space="preserve">, never</w:t>
      </w:r>
      <w:r>
        <w:t xml:space="preserve"> </w:t>
      </w:r>
      <w:r>
        <w:rPr>
          <w:iCs/>
          <w:i/>
        </w:rPr>
        <w:t xml:space="preserve">"the API returned 200"</w:t>
      </w:r>
      <w:r>
        <w:t xml:space="preserve">.</w:t>
      </w:r>
    </w:p>
    <w:p>
      <w:pPr>
        <w:pStyle w:val="BodyText"/>
      </w:pPr>
      <w:r>
        <w:rPr>
          <w:bCs/>
          <w:b/>
        </w:rPr>
        <w:t xml:space="preserve">Degraded.</w:t>
      </w:r>
      <w:r>
        <w:t xml:space="preserve"> </w:t>
      </w:r>
      <w:r>
        <w:t xml:space="preserve">Licence document illegible → queued for review, workspace stays provisional, the principal sees exactly what is blocked and why. ZATCA CSID fails → the clinic records clinically and takes payment against</w:t>
      </w:r>
      <w:r>
        <w:t xml:space="preserve"> </w:t>
      </w:r>
      <w:r>
        <w:rPr>
          <w:bCs/>
          <w:b/>
        </w:rPr>
        <w:t xml:space="preserve">non-tax provisional documents clearly marked as such</w:t>
      </w:r>
      <w:r>
        <w:t xml:space="preserve">; it must not be able to hand a customer something that looks like a tax invoice and is not.</w:t>
      </w:r>
    </w:p>
    <w:p>
      <w:pPr>
        <w:pStyle w:val="BodyText"/>
      </w:pPr>
      <w:r>
        <w:rPr>
          <w:bCs/>
          <w:b/>
        </w:rPr>
        <w:t xml:space="preserve">Arabic-first failure mode.</w:t>
      </w:r>
      <w:r>
        <w:t xml:space="preserve"> </w:t>
      </w:r>
      <w:r>
        <w:t xml:space="preserve">A licence issued with an Arabic name and a passport carrying a different Latin transliteration is the norm, not the exception; the design holds both without forcing them to match. A company name containing Latin fragments (</w:t>
      </w:r>
      <w:r>
        <w:rPr>
          <w:rStyle w:val="VerbatimChar"/>
        </w:rPr>
        <w:t xml:space="preserve">MyVetiCare Clinic عيادة</w:t>
      </w:r>
      <w:r>
        <w:t xml:space="preserve">) must render correctly on the ZATCA invoice header — the highest-consequence bidirectional string in the product.</w:t>
      </w:r>
    </w:p>
    <w:bookmarkEnd w:id="49"/>
    <w:bookmarkStart w:id="57" w:name="s44-journeys-bh--the-operating-spine"/>
    <w:p>
      <w:pPr>
        <w:pStyle w:val="Heading2"/>
      </w:pPr>
      <w:r>
        <w:t xml:space="preserve">S4.4 Journeys (b)–(h) — the operating spine</w:t>
      </w:r>
    </w:p>
    <w:bookmarkStart w:id="50" w:name="X84c673ac7b648fa34794e05ef8bc302c1a3dbb1"/>
    <w:p>
      <w:pPr>
        <w:pStyle w:val="Heading3"/>
      </w:pPr>
      <w:r>
        <w:t xml:space="preserve">(b) The consultation — arrival to closed record</w:t>
      </w:r>
    </w:p>
    <w:p>
      <w:pPr>
        <w:pStyle w:val="FirstParagraph"/>
      </w:pPr>
      <w:r>
        <w:rPr>
          <w:rStyle w:val="VerbatimChar"/>
        </w:rPr>
        <w:t xml:space="preserve">X-011</w:t>
      </w:r>
      <w:r>
        <w:t xml:space="preserve"> </w:t>
      </w:r>
      <w:r>
        <w:t xml:space="preserve">—</w:t>
      </w:r>
      <w:r>
        <w:t xml:space="preserve"> </w:t>
      </w:r>
      <w:r>
        <w:rPr>
          <w:bCs/>
          <w:b/>
        </w:rPr>
        <w:t xml:space="preserve">Identify the animal, not the owner.</w:t>
      </w:r>
      <w:r>
        <w:t xml:space="preserve"> </w:t>
      </w:r>
      <w:r>
        <w:t xml:space="preserve">Search resolves across pet name, any of four Arabic name parts, Latin name, mobile number, microchip and previous invoice number. Results are disambiguated by species, breed, colour, photo and last-visit date — never a bare list of eleven identically-named cats.</w:t>
      </w:r>
    </w:p>
    <w:p>
      <w:pPr>
        <w:pStyle w:val="BodyText"/>
      </w:pPr>
      <w:r>
        <w:rPr>
          <w:rStyle w:val="VerbatimChar"/>
        </w:rPr>
        <w:t xml:space="preserve">X-012</w:t>
      </w:r>
      <w:r>
        <w:t xml:space="preserve"> </w:t>
      </w:r>
      <w:r>
        <w:t xml:space="preserve">—</w:t>
      </w:r>
      <w:r>
        <w:t xml:space="preserve"> </w:t>
      </w:r>
      <w:r>
        <w:rPr>
          <w:bCs/>
          <w:b/>
        </w:rPr>
        <w:t xml:space="preserve">A new patient is creatable in under 20 seconds</w:t>
      </w:r>
      <w:r>
        <w:t xml:space="preserve"> </w:t>
      </w:r>
      <w:r>
        <w:t xml:space="preserve">from</w:t>
      </w:r>
      <w:r>
        <w:t xml:space="preserve"> </w:t>
      </w:r>
      <w:r>
        <w:rPr>
          <w:rStyle w:val="VerbatimChar"/>
        </w:rPr>
        <w:t xml:space="preserve">species + name + owner mobile</w:t>
      </w:r>
      <w:r>
        <w:t xml:space="preserve">. Anything slower and reception reuses an existing record,</w:t>
      </w:r>
      <w:r>
        <w:t xml:space="preserve"> </w:t>
      </w:r>
      <w:r>
        <w:rPr>
          <w:bCs/>
          <w:b/>
        </w:rPr>
        <w:t xml:space="preserve">which is the single worst data-integrity event in the system.</w:t>
      </w:r>
    </w:p>
    <w:p>
      <w:pPr>
        <w:pStyle w:val="BodyText"/>
      </w:pPr>
      <w:r>
        <w:rPr>
          <w:rStyle w:val="VerbatimChar"/>
        </w:rPr>
        <w:t xml:space="preserve">X-013</w:t>
      </w:r>
      <w:r>
        <w:t xml:space="preserve"> </w:t>
      </w:r>
      <w:r>
        <w:t xml:space="preserve">—</w:t>
      </w:r>
      <w:r>
        <w:t xml:space="preserve"> </w:t>
      </w:r>
      <w:r>
        <w:rPr>
          <w:bCs/>
          <w:b/>
        </w:rPr>
        <w:t xml:space="preserve">Weight is captured every visit</w:t>
      </w:r>
      <w:r>
        <w:t xml:space="preserve">, timestamped, and is the gate for dose calculation. A calculation against a weight older than the current encounter is visibly flagged.</w:t>
      </w:r>
    </w:p>
    <w:p>
      <w:pPr>
        <w:pStyle w:val="BodyText"/>
      </w:pPr>
      <w:r>
        <w:rPr>
          <w:rStyle w:val="VerbatimChar"/>
        </w:rPr>
        <w:t xml:space="preserve">X-014</w:t>
      </w:r>
      <w:r>
        <w:t xml:space="preserve"> </w:t>
      </w:r>
      <w:r>
        <w:t xml:space="preserve">—</w:t>
      </w:r>
      <w:r>
        <w:t xml:space="preserve"> </w:t>
      </w:r>
      <w:r>
        <w:rPr>
          <w:bCs/>
          <w:b/>
        </w:rPr>
        <w:t xml:space="preserve">The open encounter is server-anchored</w:t>
      </w:r>
      <w:r>
        <w:t xml:space="preserve"> </w:t>
      </w:r>
      <w:r>
        <w:t xml:space="preserve">and survives app kill, device lock, refresh, battery death and a change of device mid-consult.</w:t>
      </w:r>
    </w:p>
    <w:p>
      <w:pPr>
        <w:pStyle w:val="BodyText"/>
      </w:pPr>
      <w:r>
        <w:rPr>
          <w:rStyle w:val="VerbatimChar"/>
        </w:rPr>
        <w:t xml:space="preserve">X-015</w:t>
      </w:r>
      <w:r>
        <w:t xml:space="preserve"> </w:t>
      </w:r>
      <w:r>
        <w:t xml:space="preserve">—</w:t>
      </w:r>
      <w:r>
        <w:t xml:space="preserve"> </w:t>
      </w:r>
      <w:r>
        <w:rPr>
          <w:bCs/>
          <w:b/>
        </w:rPr>
        <w:t xml:space="preserve">Problem-oriented record.</w:t>
      </w:r>
      <w:r>
        <w:t xml:space="preserve"> </w:t>
      </w:r>
      <w:r>
        <w:t xml:space="preserve">A problem persists across encounters. This is what makes the record continuous across vets and years, and it is a coded entry, not free text (§S7.3).</w:t>
      </w:r>
    </w:p>
    <w:p>
      <w:pPr>
        <w:pStyle w:val="BodyText"/>
      </w:pPr>
      <w:r>
        <w:rPr>
          <w:rStyle w:val="VerbatimChar"/>
        </w:rPr>
        <w:t xml:space="preserve">X-016</w:t>
      </w:r>
      <w:r>
        <w:t xml:space="preserve"> </w:t>
      </w:r>
      <w:r>
        <w:t xml:space="preserve">—</w:t>
      </w:r>
      <w:r>
        <w:t xml:space="preserve"> </w:t>
      </w:r>
      <w:r>
        <w:rPr>
          <w:bCs/>
          <w:b/>
        </w:rPr>
        <w:t xml:space="preserve">Attestation is the moment the record becomes evidence</w:t>
      </w:r>
      <w:r>
        <w:t xml:space="preserve">: sealed, attributed, licence-stamped, immutable-with-addenda.</w:t>
      </w:r>
    </w:p>
    <w:p>
      <w:pPr>
        <w:pStyle w:val="BodyText"/>
      </w:pPr>
      <w:r>
        <w:rPr>
          <w:bCs/>
          <w:b/>
        </w:rPr>
        <w:t xml:space="preserve">Degraded and failure.</w:t>
      </w:r>
      <w:r>
        <w:t xml:space="preserve"> </w:t>
      </w:r>
      <w:r>
        <w:t xml:space="preserve">Vet called away → the encounter parks with a visible age indicator; unattested encounters older than 24 h escalate to the principal — this is the leak that destroys a case register. Second vet takes over → handover is an explicit act and both vets appear with the segment each authored, never one anonymous merged note. Wrong patient selected → re-parentable</w:t>
      </w:r>
      <w:r>
        <w:t xml:space="preserve"> </w:t>
      </w:r>
      <w:r>
        <w:rPr>
          <w:bCs/>
          <w:b/>
        </w:rPr>
        <w:t xml:space="preserve">before</w:t>
      </w:r>
      <w:r>
        <w:t xml:space="preserve"> </w:t>
      </w:r>
      <w:r>
        <w:t xml:space="preserve">attestation, evidenced;</w:t>
      </w:r>
      <w:r>
        <w:t xml:space="preserve"> </w:t>
      </w:r>
      <w:r>
        <w:rPr>
          <w:bCs/>
          <w:b/>
        </w:rPr>
        <w:t xml:space="preserve">after</w:t>
      </w:r>
      <w:r>
        <w:t xml:space="preserve"> </w:t>
      </w:r>
      <w:r>
        <w:t xml:space="preserve">attestation it is voided with a reason and re-created, and the void remains visible.</w:t>
      </w:r>
      <w:r>
        <w:t xml:space="preserve"> </w:t>
      </w:r>
      <w:r>
        <w:rPr>
          <w:rStyle w:val="VerbatimChar"/>
        </w:rPr>
        <w:t xml:space="preserve">[DESIGN POSITION]</w:t>
      </w:r>
      <w:r>
        <w:t xml:space="preserve"> </w:t>
      </w:r>
      <w:r>
        <w:t xml:space="preserve">Silent re-parenting of attested clinical records is how registers become unprovable.</w:t>
      </w:r>
    </w:p>
    <w:p>
      <w:pPr>
        <w:pStyle w:val="BodyText"/>
      </w:pPr>
      <w:r>
        <w:rPr>
          <w:bCs/>
          <w:b/>
        </w:rPr>
        <w:t xml:space="preserve">Arabic-first failure mode.</w:t>
      </w:r>
      <w:r>
        <w:t xml:space="preserve"> </w:t>
      </w:r>
      <w:r>
        <w:t xml:space="preserve">The clinical narrative is the hardest bidirectional text in the product — Arabic sentences with embedded Latin drug names, mg/kg values and units, with vets code-switching mid-sentence.</w:t>
      </w:r>
      <w:r>
        <w:t xml:space="preserve"> </w:t>
      </w:r>
      <w:r>
        <w:rPr>
          <w:rStyle w:val="VerbatimChar"/>
        </w:rPr>
        <w:t xml:space="preserve">[DESIGN POSITION] X-017</w:t>
      </w:r>
      <w:r>
        <w:t xml:space="preserve"> </w:t>
      </w:r>
      <w:r>
        <w:t xml:space="preserve">—</w:t>
      </w:r>
      <w:r>
        <w:t xml:space="preserve"> </w:t>
      </w:r>
      <w:r>
        <w:rPr>
          <w:bCs/>
          <w:b/>
        </w:rPr>
        <w:t xml:space="preserve">clinical phrase templates are authored in Arabic by a veterinary Arabic speaker, never machine-translated from English.</w:t>
      </w:r>
      <w:r>
        <w:t xml:space="preserve"> </w:t>
      </w:r>
      <w:r>
        <w:t xml:space="preserve">A translated template reads as nonsense to an Arabic-first nurse and will be ignored.</w:t>
      </w:r>
    </w:p>
    <w:bookmarkEnd w:id="50"/>
    <w:bookmarkStart w:id="51" w:name="X680401a5755d5571542961101ac8abd9a4edc43"/>
    <w:p>
      <w:pPr>
        <w:pStyle w:val="Heading3"/>
      </w:pPr>
      <w:r>
        <w:t xml:space="preserve">(c) Prescribing and dispensing, including the restricted-substance path</w:t>
      </w:r>
    </w:p>
    <w:p>
      <w:pPr>
        <w:pStyle w:val="FirstParagraph"/>
      </w:pPr>
      <w:r>
        <w:rPr>
          <w:rStyle w:val="VerbatimChar"/>
        </w:rPr>
        <w:t xml:space="preserve">X-018</w:t>
      </w:r>
      <w:r>
        <w:t xml:space="preserve"> </w:t>
      </w:r>
      <w:r>
        <w:t xml:space="preserve">—</w:t>
      </w:r>
      <w:r>
        <w:t xml:space="preserve"> </w:t>
      </w:r>
      <w:r>
        <w:rPr>
          <w:bCs/>
          <w:b/>
        </w:rPr>
        <w:t xml:space="preserve">Bilingual formulary search</w:t>
      </w:r>
      <w:r>
        <w:t xml:space="preserve"> </w:t>
      </w:r>
      <w:r>
        <w:t xml:space="preserve">on Arabic name, Latin/INN name and brand names, searchable from either script and by partial Latin stem typed on an Arabic keyboard.</w:t>
      </w:r>
    </w:p>
    <w:p>
      <w:pPr>
        <w:pStyle w:val="BodyText"/>
      </w:pPr>
      <w:r>
        <w:rPr>
          <w:rStyle w:val="VerbatimChar"/>
        </w:rPr>
        <w:t xml:space="preserve">X-019</w:t>
      </w:r>
      <w:r>
        <w:t xml:space="preserve"> </w:t>
      </w:r>
      <w:r>
        <w:t xml:space="preserve">—</w:t>
      </w:r>
      <w:r>
        <w:t xml:space="preserve"> </w:t>
      </w:r>
      <w:r>
        <w:rPr>
          <w:bCs/>
          <w:b/>
        </w:rPr>
        <w:t xml:space="preserve">Dose is shown with its working</w:t>
      </w:r>
      <w:r>
        <w:t xml:space="preserve">, never as a bare answer:</w:t>
      </w:r>
      <w:r>
        <w:t xml:space="preserve"> </w:t>
      </w:r>
      <w:r>
        <w:rPr>
          <w:rStyle w:val="VerbatimChar"/>
        </w:rPr>
        <w:t xml:space="preserve">20 mg/kg × 4.2 kg = 84 mg</w:t>
      </w:r>
      <w:r>
        <w:t xml:space="preserve">. The vet may override any calculated value; an override is recorded as an override with a reason and is</w:t>
      </w:r>
      <w:r>
        <w:t xml:space="preserve"> </w:t>
      </w:r>
      <w:r>
        <w:rPr>
          <w:bCs/>
          <w:b/>
        </w:rPr>
        <w:t xml:space="preserve">not an error state</w:t>
      </w:r>
      <w:r>
        <w:t xml:space="preserve">.</w:t>
      </w:r>
    </w:p>
    <w:p>
      <w:pPr>
        <w:pStyle w:val="BodyText"/>
      </w:pPr>
      <w:r>
        <w:rPr>
          <w:rStyle w:val="VerbatimChar"/>
        </w:rPr>
        <w:t xml:space="preserve">X-020</w:t>
      </w:r>
      <w:r>
        <w:t xml:space="preserve"> </w:t>
      </w:r>
      <w:r>
        <w:t xml:space="preserve">—</w:t>
      </w:r>
      <w:r>
        <w:t xml:space="preserve"> </w:t>
      </w:r>
      <w:r>
        <w:rPr>
          <w:bCs/>
          <w:b/>
        </w:rPr>
        <w:t xml:space="preserve">Safety interlocks are advisory and acknowledgeable, never blocking</w:t>
      </w:r>
      <w:r>
        <w:t xml:space="preserve"> </w:t>
      </w:r>
      <w:r>
        <w:t xml:space="preserve">— except where a statutory condition is unmet.</w:t>
      </w:r>
      <w:r>
        <w:t xml:space="preserve"> </w:t>
      </w:r>
      <w:r>
        <w:rPr>
          <w:rStyle w:val="VerbatimChar"/>
        </w:rPr>
        <w:t xml:space="preserve">[DESIGN POSITION]</w:t>
      </w:r>
      <w:r>
        <w:t xml:space="preserve"> </w:t>
      </w:r>
      <w:r>
        <w:t xml:space="preserve">A blocking interlock a vet cannot pass creates paper prescriptions, which destroys the evidence chain the product exists to build.</w:t>
      </w:r>
    </w:p>
    <w:p>
      <w:pPr>
        <w:pStyle w:val="BodyText"/>
      </w:pPr>
      <w:r>
        <w:rPr>
          <w:rStyle w:val="VerbatimChar"/>
        </w:rPr>
        <w:t xml:space="preserve">X-021</w:t>
      </w:r>
      <w:r>
        <w:t xml:space="preserve"> </w:t>
      </w:r>
      <w:r>
        <w:t xml:space="preserve">—</w:t>
      </w:r>
      <w:r>
        <w:t xml:space="preserve"> </w:t>
      </w:r>
      <w:r>
        <w:rPr>
          <w:bCs/>
          <w:b/>
        </w:rPr>
        <w:t xml:space="preserve">Dispense is one action, one screen</w:t>
      </w:r>
      <w:r>
        <w:t xml:space="preserve">: product, batch, expiry, quantity, Arabic label, stock decrement and invoice line, from a single event. There is never a separate stock entry.</w:t>
      </w:r>
    </w:p>
    <w:p>
      <w:pPr>
        <w:pStyle w:val="BodyText"/>
      </w:pPr>
      <w:r>
        <w:rPr>
          <w:rStyle w:val="VerbatimChar"/>
        </w:rPr>
        <w:t xml:space="preserve">X-022</w:t>
      </w:r>
      <w:r>
        <w:t xml:space="preserve"> </w:t>
      </w:r>
      <w:r>
        <w:t xml:space="preserve">—</w:t>
      </w:r>
      <w:r>
        <w:t xml:space="preserve"> </w:t>
      </w:r>
      <w:r>
        <w:rPr>
          <w:bCs/>
          <w:b/>
        </w:rPr>
        <w:t xml:space="preserve">Label prints in Arabic</w:t>
      </w:r>
      <w:r>
        <w:t xml:space="preserve"> </w:t>
      </w:r>
      <w:r>
        <w:t xml:space="preserve">with clinic, dual-calendar date, animal, owner, product (</w:t>
      </w:r>
      <w:r>
        <w:rPr>
          <w:bCs/>
          <w:b/>
        </w:rPr>
        <w:t xml:space="preserve">Latin name preserved verbatim</w:t>
      </w:r>
      <w:r>
        <w:t xml:space="preserve">), dose in ASCII digits, frequency, duration, warnings and prescribing vet.</w:t>
      </w:r>
      <w:r>
        <w:t xml:space="preserve"> </w:t>
      </w:r>
      <w:r>
        <w:rPr>
          <w:rStyle w:val="VerbatimChar"/>
        </w:rPr>
        <w:t xml:space="preserve">[EVIDENCE REQUIRED]</w:t>
      </w:r>
      <w:r>
        <w:t xml:space="preserve"> </w:t>
      </w:r>
      <w:r>
        <w:t xml:space="preserve">— the mandatory content of a dispensed veterinary medicine label under SFDA/MEWA rules.</w:t>
      </w:r>
    </w:p>
    <w:p>
      <w:pPr>
        <w:pStyle w:val="BodyText"/>
      </w:pPr>
      <w:r>
        <w:rPr>
          <w:bCs/>
          <w:b/>
        </w:rPr>
        <w:t xml:space="preserve">Restricted-substance path.</w:t>
      </w:r>
      <w:r>
        <w:t xml:space="preserve"> </w:t>
      </w:r>
      <w:r>
        <w:t xml:space="preserve">Prescriber must hold the relevant authority attribute on their verified licence, or the item is not selectable. Quantity is bounded by the recorded indication.</w:t>
      </w:r>
      <w:r>
        <w:t xml:space="preserve"> </w:t>
      </w:r>
      <w:r>
        <w:rPr>
          <w:bCs/>
          <w:b/>
        </w:rPr>
        <w:t xml:space="preserve">Two-person attestation</w:t>
      </w:r>
      <w:r>
        <w:t xml:space="preserve">: prescriber and dispenser separately identified and not the same identity unless the clinic is single-handed at that moment, which is itself recorded. A running balance is reconcilable to a printable controlled register at any instant, with discrepancies surfaced within the shift, not at month-end. Wastage and part-doses are first-class events with witness identity.</w:t>
      </w:r>
      <w:r>
        <w:t xml:space="preserve"> </w:t>
      </w:r>
      <w:r>
        <w:rPr>
          <w:rStyle w:val="VerbatimChar"/>
        </w:rPr>
        <w:t xml:space="preserve">[DESIGN POSITION]</w:t>
      </w:r>
      <w:r>
        <w:t xml:space="preserve"> </w:t>
      </w:r>
      <w:r>
        <w:rPr>
          <w:bCs/>
          <w:b/>
        </w:rPr>
        <w:t xml:space="preserve">Offline controlled dispensing is permitted but marked</w:t>
      </w:r>
      <w:r>
        <w:rPr>
          <w:bCs/>
          <w:b/>
        </w:rPr>
        <w:t xml:space="preserve"> </w:t>
      </w:r>
      <w:r>
        <w:rPr>
          <w:rStyle w:val="VerbatimChar"/>
          <w:bCs/>
          <w:b/>
        </w:rPr>
        <w:t xml:space="preserve">dispensed offline</w:t>
      </w:r>
      <w:r>
        <w:rPr>
          <w:bCs/>
          <w:b/>
        </w:rPr>
        <w:t xml:space="preserve"> </w:t>
      </w:r>
      <w:r>
        <w:rPr>
          <w:bCs/>
          <w:b/>
        </w:rPr>
        <w:t xml:space="preserve">and enters the principal's review queue on reconnect</w:t>
      </w:r>
      <w:r>
        <w:t xml:space="preserve"> </w:t>
      </w:r>
      <w:r>
        <w:t xml:space="preserve">— blocking it endangers patients; not marking it endangers the licence.</w:t>
      </w:r>
    </w:p>
    <w:p>
      <w:pPr>
        <w:pStyle w:val="BodyText"/>
      </w:pPr>
      <w:r>
        <w:rPr>
          <w:rStyle w:val="VerbatimChar"/>
        </w:rPr>
        <w:t xml:space="preserve">[EVIDENCE REQUIRED]</w:t>
      </w:r>
      <w:r>
        <w:t xml:space="preserve"> </w:t>
      </w:r>
      <w:r>
        <w:t xml:space="preserve">— the Saudi controlled-veterinary-substance schedule, the responsible authority, the register format and its retention period. Until resolved, the safe default is that the controlled workflow is</w:t>
      </w:r>
      <w:r>
        <w:t xml:space="preserve"> </w:t>
      </w:r>
      <w:r>
        <w:rPr>
          <w:bCs/>
          <w:b/>
        </w:rPr>
        <w:t xml:space="preserve">disabled</w:t>
      </w:r>
      <w:r>
        <w:t xml:space="preserve">, not guessed at.</w:t>
      </w:r>
    </w:p>
    <w:p>
      <w:pPr>
        <w:pStyle w:val="BodyText"/>
      </w:pPr>
      <w:r>
        <w:rPr>
          <w:bCs/>
          <w:b/>
        </w:rPr>
        <w:t xml:space="preserve">Arabic-first failure mode — high severity.</w:t>
      </w:r>
      <w:r>
        <w:t xml:space="preserve"> </w:t>
      </w:r>
      <w:r>
        <w:rPr>
          <w:rStyle w:val="VerbatimChar"/>
        </w:rPr>
        <w:t xml:space="preserve">X-023</w:t>
      </w:r>
      <w:r>
        <w:t xml:space="preserve"> </w:t>
      </w:r>
      <w:r>
        <w:t xml:space="preserve">—</w:t>
      </w:r>
      <w:r>
        <w:t xml:space="preserve"> </w:t>
      </w:r>
      <w:r>
        <w:rPr>
          <w:bCs/>
          <w:b/>
        </w:rPr>
        <w:t xml:space="preserve">Drug names are never transliterated into Arabic script in the record or on the label.</w:t>
      </w:r>
      <w:r>
        <w:t xml:space="preserve"> </w:t>
      </w:r>
      <w:r>
        <w:rPr>
          <w:rStyle w:val="VerbatimChar"/>
        </w:rPr>
        <w:t xml:space="preserve">أموكسيسيلين</w:t>
      </w:r>
      <w:r>
        <w:t xml:space="preserve"> </w:t>
      </w:r>
      <w:r>
        <w:t xml:space="preserve">and</w:t>
      </w:r>
      <w:r>
        <w:t xml:space="preserve"> </w:t>
      </w:r>
      <w:r>
        <w:rPr>
          <w:rStyle w:val="VerbatimChar"/>
        </w:rPr>
        <w:t xml:space="preserve">Amoxicillin</w:t>
      </w:r>
      <w:r>
        <w:t xml:space="preserve"> </w:t>
      </w:r>
      <w:r>
        <w:t xml:space="preserve">must not become two products. One canonical Latin/INN identity is stored; Arabic is displayed as a label; Latin prints verbatim. Dose strings are the classic bidirectional hazard:</w:t>
      </w:r>
      <w:r>
        <w:t xml:space="preserve"> </w:t>
      </w:r>
      <w:r>
        <w:rPr>
          <w:rStyle w:val="VerbatimChar"/>
        </w:rPr>
        <w:t xml:space="preserve">250 mg</w:t>
      </w:r>
      <w:r>
        <w:t xml:space="preserve"> </w:t>
      </w:r>
      <w:r>
        <w:t xml:space="preserve">inside an Arabic sentence must not visually reorder to</w:t>
      </w:r>
      <w:r>
        <w:t xml:space="preserve"> </w:t>
      </w:r>
      <w:r>
        <w:rPr>
          <w:rStyle w:val="VerbatimChar"/>
        </w:rPr>
        <w:t xml:space="preserve">mg 250</w:t>
      </w:r>
      <w:r>
        <w:t xml:space="preserve">.</w:t>
      </w:r>
    </w:p>
    <w:bookmarkEnd w:id="51"/>
    <w:bookmarkStart w:id="52" w:name="X827d068322f8fa8a09584f433ef804b70aa0ca8"/>
    <w:p>
      <w:pPr>
        <w:pStyle w:val="Heading3"/>
      </w:pPr>
      <w:r>
        <w:t xml:space="preserve">(d) Notifiable-disease escalation — the highest-priority state in the system</w:t>
      </w:r>
    </w:p>
    <w:p>
      <w:pPr>
        <w:pStyle w:val="FirstParagraph"/>
      </w:pPr>
      <w:r>
        <w:rPr>
          <w:bCs/>
          <w:b/>
        </w:rPr>
        <w:t xml:space="preserve">The clock starts at</w:t>
      </w:r>
      <w:r>
        <w:rPr>
          <w:bCs/>
          <w:b/>
        </w:rPr>
        <w:t xml:space="preserve"> </w:t>
      </w:r>
      <w:r>
        <w:rPr>
          <w:iCs/>
          <w:i/>
          <w:bCs/>
          <w:b/>
        </w:rPr>
        <w:t xml:space="preserve">suspicion</w:t>
      </w:r>
      <w:r>
        <w:rPr>
          <w:bCs/>
          <w:b/>
        </w:rPr>
        <w:t xml:space="preserve">, not confirmation</w:t>
      </w:r>
      <w:r>
        <w:t xml:space="preserve">, and the duty discharges within 24 hours.</w:t>
      </w:r>
    </w:p>
    <w:p>
      <w:pPr>
        <w:pStyle w:val="BodyText"/>
      </w:pPr>
      <w:r>
        <w:rPr>
          <w:rStyle w:val="VerbatimChar"/>
        </w:rPr>
        <w:t xml:space="preserve">X-024</w:t>
      </w:r>
      <w:r>
        <w:t xml:space="preserve"> </w:t>
      </w:r>
      <w:r>
        <w:t xml:space="preserve">—</w:t>
      </w:r>
      <w:r>
        <w:t xml:space="preserve"> </w:t>
      </w:r>
      <w:r>
        <w:rPr>
          <w:bCs/>
          <w:b/>
        </w:rPr>
        <w:t xml:space="preserve">Raising suspicion is available in one action</w:t>
      </w:r>
      <w:r>
        <w:t xml:space="preserve"> </w:t>
      </w:r>
      <w:r>
        <w:t xml:space="preserve">from the clinical record and from a coded differential that matches the notifiable list. It is never buried.</w:t>
      </w:r>
    </w:p>
    <w:p>
      <w:pPr>
        <w:pStyle w:val="BodyText"/>
      </w:pPr>
      <w:r>
        <w:rPr>
          <w:rStyle w:val="VerbatimChar"/>
        </w:rPr>
        <w:t xml:space="preserve">X-025</w:t>
      </w:r>
      <w:r>
        <w:t xml:space="preserve"> </w:t>
      </w:r>
      <w:r>
        <w:t xml:space="preserve">—</w:t>
      </w:r>
      <w:r>
        <w:t xml:space="preserve"> </w:t>
      </w:r>
      <w:r>
        <w:rPr>
          <w:bCs/>
          <w:b/>
        </w:rPr>
        <w:t xml:space="preserve">The clock becomes global and non-dismissible.</w:t>
      </w:r>
      <w:r>
        <w:t xml:space="preserve"> </w:t>
      </w:r>
      <w:r>
        <w:t xml:space="preserve">A countdown appears for every user in the clinic, on every screen, with the animal, the suspected disease, elapsed and remaining time. It cannot be snoozed.</w:t>
      </w:r>
      <w:r>
        <w:t xml:space="preserve"> </w:t>
      </w:r>
      <w:r>
        <w:rPr>
          <w:rStyle w:val="VerbatimChar"/>
        </w:rPr>
        <w:t xml:space="preserve">[DESIGN POSITION]</w:t>
      </w:r>
      <w:r>
        <w:t xml:space="preserve"> </w:t>
      </w:r>
      <w:r>
        <w:rPr>
          <w:bCs/>
          <w:b/>
        </w:rPr>
        <w:t xml:space="preserve">This is the only element in MyVetiCare permitted to be non-dismissible, and that scarcity is what makes it work.</w:t>
      </w:r>
    </w:p>
    <w:p>
      <w:pPr>
        <w:pStyle w:val="BodyText"/>
      </w:pPr>
      <w:r>
        <w:rPr>
          <w:rStyle w:val="VerbatimChar"/>
        </w:rPr>
        <w:t xml:space="preserve">X-026</w:t>
      </w:r>
      <w:r>
        <w:t xml:space="preserve"> </w:t>
      </w:r>
      <w:r>
        <w:t xml:space="preserve">—</w:t>
      </w:r>
      <w:r>
        <w:t xml:space="preserve"> </w:t>
      </w:r>
      <w:r>
        <w:rPr>
          <w:bCs/>
          <w:b/>
        </w:rPr>
        <w:t xml:space="preserve">The system assembles the report and shows exactly which fields are missing.</w:t>
      </w:r>
      <w:r>
        <w:t xml:space="preserve"> </w:t>
      </w:r>
      <w:r>
        <w:t xml:space="preserve">Missing owner address is the predictable blocker — reception is prompted immediately, and the case cannot be closed while the report is outstanding.</w:t>
      </w:r>
    </w:p>
    <w:p>
      <w:pPr>
        <w:pStyle w:val="BodyText"/>
      </w:pPr>
      <w:r>
        <w:rPr>
          <w:rStyle w:val="VerbatimChar"/>
        </w:rPr>
        <w:t xml:space="preserve">X-027</w:t>
      </w:r>
      <w:r>
        <w:t xml:space="preserve"> </w:t>
      </w:r>
      <w:r>
        <w:t xml:space="preserve">—</w:t>
      </w:r>
      <w:r>
        <w:t xml:space="preserve"> </w:t>
      </w:r>
      <w:r>
        <w:rPr>
          <w:bCs/>
          <w:b/>
        </w:rPr>
        <w:t xml:space="preserve">Assisted manual submission, with proof-of-report capture.</w:t>
      </w:r>
      <w:r>
        <w:t xml:space="preserve"> </w:t>
      </w:r>
      <w:r>
        <w:rPr>
          <w:rStyle w:val="VerbatimChar"/>
        </w:rPr>
        <w:t xml:space="preserve">[EVIDENCE REQUIRED]</w:t>
      </w:r>
      <w:r>
        <w:t xml:space="preserve"> </w:t>
      </w:r>
      <w:r>
        <w:t xml:space="preserve">— whether Weqaa/MEWA provides a machine interface for private-clinic notifiable reporting, or whether reporting runs through the Ballagh application, the Naama platform, a telephone line or a regional branch.</w:t>
      </w:r>
      <w:r>
        <w:t xml:space="preserve"> </w:t>
      </w:r>
      <w:r>
        <w:rPr>
          <w:rStyle w:val="VerbatimChar"/>
        </w:rPr>
        <w:t xml:space="preserve">[DESIGN POSITION]</w:t>
      </w:r>
      <w:r>
        <w:t xml:space="preserve"> </w:t>
      </w:r>
      <w:r>
        <w:t xml:space="preserve">The system generates a complete, bilingual, copy-ready report; guides the user through the external channel; then captures</w:t>
      </w:r>
      <w:r>
        <w:t xml:space="preserve"> </w:t>
      </w:r>
      <w:r>
        <w:rPr>
          <w:bCs/>
          <w:b/>
        </w:rPr>
        <w:t xml:space="preserve">reference number, channel, submitting person, timestamp and an attached acknowledgement</w:t>
      </w:r>
      <w:r>
        <w:t xml:space="preserve">. Proof-of-report is what an inspector asks for. An API, if one exists, is a later optimisation of the same evidence object — not a precondition.</w:t>
      </w:r>
    </w:p>
    <w:p>
      <w:pPr>
        <w:pStyle w:val="BodyText"/>
      </w:pPr>
      <w:r>
        <w:rPr>
          <w:rStyle w:val="VerbatimChar"/>
        </w:rPr>
        <w:t xml:space="preserve">X-028</w:t>
      </w:r>
      <w:r>
        <w:t xml:space="preserve"> </w:t>
      </w:r>
      <w:r>
        <w:t xml:space="preserve">—</w:t>
      </w:r>
      <w:r>
        <w:t xml:space="preserve"> </w:t>
      </w:r>
      <w:r>
        <w:rPr>
          <w:bCs/>
          <w:b/>
        </w:rPr>
        <w:t xml:space="preserve">The clock is discharged only by</w:t>
      </w:r>
      <w:r>
        <w:t xml:space="preserve"> </w:t>
      </w:r>
      <w:r>
        <w:t xml:space="preserve">captured proof of report,</w:t>
      </w:r>
      <w:r>
        <w:t xml:space="preserve"> </w:t>
      </w:r>
      <w:r>
        <w:rPr>
          <w:bCs/>
          <w:b/>
        </w:rPr>
        <w:t xml:space="preserve">or</w:t>
      </w:r>
      <w:r>
        <w:t xml:space="preserve"> </w:t>
      </w:r>
      <w:r>
        <w:t xml:space="preserve">a recorded clinical rule-out attested by a named vet with reasoning. Nothing else clears it. A rule-out is itself evidence and is retained.</w:t>
      </w:r>
    </w:p>
    <w:p>
      <w:pPr>
        <w:pStyle w:val="BodyText"/>
      </w:pPr>
      <w:r>
        <w:rPr>
          <w:rStyle w:val="VerbatimChar"/>
        </w:rPr>
        <w:t xml:space="preserve">X-029</w:t>
      </w:r>
      <w:r>
        <w:t xml:space="preserve"> </w:t>
      </w:r>
      <w:r>
        <w:t xml:space="preserve">—</w:t>
      </w:r>
      <w:r>
        <w:t xml:space="preserve"> </w:t>
      </w:r>
      <w:r>
        <w:rPr>
          <w:bCs/>
          <w:b/>
        </w:rPr>
        <w:t xml:space="preserve">Consequences fire automatically</w:t>
      </w:r>
      <w:r>
        <w:t xml:space="preserve">: any open remote encounter for this patient converts to in-person; the case is flagged to the principal; isolation and handling guidance surfaces to nursing staff.</w:t>
      </w:r>
    </w:p>
    <w:p>
      <w:pPr>
        <w:pStyle w:val="BodyText"/>
      </w:pPr>
      <w:r>
        <w:rPr>
          <w:bCs/>
          <w:b/>
        </w:rPr>
        <w:t xml:space="preserve">Degraded.</w:t>
      </w:r>
      <w:r>
        <w:t xml:space="preserve"> </w:t>
      </w:r>
      <w:r>
        <w:t xml:space="preserve">Offline: suspicion is recordable, the clock runs locally, and the UI states plainly that the statutory report has</w:t>
      </w:r>
      <w:r>
        <w:t xml:space="preserve"> </w:t>
      </w:r>
      <w:r>
        <w:rPr>
          <w:bCs/>
          <w:b/>
        </w:rPr>
        <w:t xml:space="preserve">not</w:t>
      </w:r>
      <w:r>
        <w:t xml:space="preserve"> </w:t>
      </w:r>
      <w:r>
        <w:t xml:space="preserve">been transmitted and by when it must be. Vet leaves shift with the clock running: it transfers to the principal automatically —</w:t>
      </w:r>
      <w:r>
        <w:t xml:space="preserve"> </w:t>
      </w:r>
      <w:r>
        <w:rPr>
          <w:bCs/>
          <w:b/>
        </w:rPr>
        <w:t xml:space="preserve">the duty attaches to the practice, not to a session.</w:t>
      </w:r>
    </w:p>
    <w:p>
      <w:pPr>
        <w:pStyle w:val="BodyText"/>
      </w:pPr>
      <w:r>
        <w:rPr>
          <w:bCs/>
          <w:b/>
        </w:rPr>
        <w:t xml:space="preserve">Arabic-first failure mode.</w:t>
      </w:r>
      <w:r>
        <w:t xml:space="preserve"> </w:t>
      </w:r>
      <w:r>
        <w:t xml:space="preserve">The owner address will be a Saudi National Address, an unstructured Arabic description, or a dropped pin. Capture accepts all three and never forces Latin transliteration. The report must be producible in Arabic — an English-only submission to a Saudi authority is not a discharged duty.</w:t>
      </w:r>
    </w:p>
    <w:bookmarkEnd w:id="52"/>
    <w:bookmarkStart w:id="53" w:name="Xa0a1c8d99c9fe0356e3ca04314306b239adc896"/>
    <w:p>
      <w:pPr>
        <w:pStyle w:val="Heading3"/>
      </w:pPr>
      <w:r>
        <w:t xml:space="preserve">(e) Inspection and licence-renewal evidence assembly — the principal's killer journey</w:t>
      </w:r>
    </w:p>
    <w:p>
      <w:pPr>
        <w:pStyle w:val="FirstParagraph"/>
      </w:pPr>
      <w:r>
        <w:rPr>
          <w:rStyle w:val="VerbatimChar"/>
        </w:rPr>
        <w:t xml:space="preserve">X-030</w:t>
      </w:r>
      <w:r>
        <w:t xml:space="preserve"> </w:t>
      </w:r>
      <w:r>
        <w:t xml:space="preserve">—</w:t>
      </w:r>
      <w:r>
        <w:t xml:space="preserve"> </w:t>
      </w:r>
      <w:r>
        <w:rPr>
          <w:bCs/>
          <w:b/>
        </w:rPr>
        <w:t xml:space="preserve">One always-visible entry point</w:t>
      </w:r>
      <w:r>
        <w:t xml:space="preserve"> </w:t>
      </w:r>
      <w:r>
        <w:t xml:space="preserve">on mobile:</w:t>
      </w:r>
      <w:r>
        <w:t xml:space="preserve"> </w:t>
      </w:r>
      <w:r>
        <w:rPr>
          <w:rStyle w:val="VerbatimChar"/>
        </w:rPr>
        <w:t xml:space="preserve">الامتثال</w:t>
      </w:r>
      <w:r>
        <w:t xml:space="preserve"> </w:t>
      </w:r>
      <w:r>
        <w:t xml:space="preserve">/ Compliance.</w:t>
      </w:r>
    </w:p>
    <w:p>
      <w:pPr>
        <w:pStyle w:val="BodyText"/>
      </w:pPr>
      <w:r>
        <w:rPr>
          <w:rStyle w:val="VerbatimChar"/>
        </w:rPr>
        <w:t xml:space="preserve">X-031</w:t>
      </w:r>
      <w:r>
        <w:t xml:space="preserve"> </w:t>
      </w:r>
      <w:r>
        <w:t xml:space="preserve">—</w:t>
      </w:r>
      <w:r>
        <w:t xml:space="preserve"> </w:t>
      </w:r>
      <w:r>
        <w:rPr>
          <w:bCs/>
          <w:b/>
        </w:rPr>
        <w:t xml:space="preserve">A standing readiness view, computed continuously, not on demand</w:t>
      </w:r>
      <w:r>
        <w:t xml:space="preserve">: establishment and practitioner licences with expiries · case-register completeness (unattested encounters; encounters missing an attesting licence) · notifiable register with proof-of-report per entry · controlled-substance register and its reconciliation state · ZATCA chain health · consent artefacts · the Balady/MOMRAH document set. Each item green/amber/red</w:t>
      </w:r>
      <w:r>
        <w:t xml:space="preserve"> </w:t>
      </w:r>
      <w:r>
        <w:rPr>
          <w:bCs/>
          <w:b/>
        </w:rPr>
        <w:t xml:space="preserve">with the specific record that makes it amber or red one tap away</w:t>
      </w:r>
      <w:r>
        <w:t xml:space="preserve">.</w:t>
      </w:r>
    </w:p>
    <w:p>
      <w:pPr>
        <w:pStyle w:val="BodyText"/>
      </w:pPr>
      <w:r>
        <w:rPr>
          <w:rStyle w:val="VerbatimChar"/>
        </w:rPr>
        <w:t xml:space="preserve">X-032</w:t>
      </w:r>
      <w:r>
        <w:t xml:space="preserve"> </w:t>
      </w:r>
      <w:r>
        <w:t xml:space="preserve">—</w:t>
      </w:r>
      <w:r>
        <w:t xml:space="preserve"> </w:t>
      </w:r>
      <w:r>
        <w:rPr>
          <w:bCs/>
          <w:b/>
        </w:rPr>
        <w:t xml:space="preserve">Evidence pack generation</w:t>
      </w:r>
      <w:r>
        <w:t xml:space="preserve">: a paginated bilingual PDF with cover sheet, contents, per-section evidence, generation timestamp in both calendars, generating user and a verification hash.</w:t>
      </w:r>
      <w:r>
        <w:t xml:space="preserve"> </w:t>
      </w:r>
      <w:r>
        <w:rPr>
          <w:bCs/>
          <w:b/>
        </w:rPr>
        <w:t xml:space="preserve">Target: ≤ 10 minutes from request to a pack in the inspector's hands, unaided, on a phone.</w:t>
      </w:r>
    </w:p>
    <w:p>
      <w:pPr>
        <w:pStyle w:val="BodyText"/>
      </w:pPr>
      <w:r>
        <w:rPr>
          <w:rStyle w:val="VerbatimChar"/>
        </w:rPr>
        <w:t xml:space="preserve">X-033</w:t>
      </w:r>
      <w:r>
        <w:t xml:space="preserve"> </w:t>
      </w:r>
      <w:r>
        <w:t xml:space="preserve">—</w:t>
      </w:r>
      <w:r>
        <w:t xml:space="preserve"> </w:t>
      </w:r>
      <w:r>
        <w:rPr>
          <w:bCs/>
          <w:b/>
        </w:rPr>
        <w:t xml:space="preserve">Targeted answer mode.</w:t>
      </w:r>
      <w:r>
        <w:t xml:space="preserve"> </w:t>
      </w:r>
      <w:r>
        <w:t xml:space="preserve">An inspector rarely asks for everything.</w:t>
      </w:r>
      <w:r>
        <w:t xml:space="preserve"> </w:t>
      </w:r>
      <w:r>
        <w:rPr>
          <w:iCs/>
          <w:i/>
        </w:rPr>
        <w:t xml:space="preserve">"Show me your rabies cases this year"</w:t>
      </w:r>
      <w:r>
        <w:t xml:space="preserve">,</w:t>
      </w:r>
      <w:r>
        <w:t xml:space="preserve"> </w:t>
      </w:r>
      <w:r>
        <w:rPr>
          <w:iCs/>
          <w:i/>
        </w:rPr>
        <w:t xml:space="preserve">"show me Dr. Nour's licence"</w:t>
      </w:r>
      <w:r>
        <w:t xml:space="preserve">,</w:t>
      </w:r>
      <w:r>
        <w:t xml:space="preserve"> </w:t>
      </w:r>
      <w:r>
        <w:rPr>
          <w:iCs/>
          <w:i/>
        </w:rPr>
        <w:t xml:space="preserve">"show me the register for March"</w:t>
      </w:r>
      <w:r>
        <w:t xml:space="preserve"> </w:t>
      </w:r>
      <w:r>
        <w:t xml:space="preserve">— each a one-tap filtered pack.</w:t>
      </w:r>
      <w:r>
        <w:t xml:space="preserve"> </w:t>
      </w:r>
      <w:r>
        <w:rPr>
          <w:bCs/>
          <w:b/>
        </w:rPr>
        <w:t xml:space="preserve">Target ≤ 60 seconds.</w:t>
      </w:r>
    </w:p>
    <w:p>
      <w:pPr>
        <w:pStyle w:val="BodyText"/>
      </w:pPr>
      <w:r>
        <w:rPr>
          <w:rStyle w:val="VerbatimChar"/>
        </w:rPr>
        <w:t xml:space="preserve">X-034</w:t>
      </w:r>
      <w:r>
        <w:t xml:space="preserve"> </w:t>
      </w:r>
      <w:r>
        <w:t xml:space="preserve">—</w:t>
      </w:r>
      <w:r>
        <w:t xml:space="preserve"> </w:t>
      </w:r>
      <w:r>
        <w:rPr>
          <w:bCs/>
          <w:b/>
        </w:rPr>
        <w:t xml:space="preserve">The pack names its own gaps.</w:t>
      </w:r>
      <w:r>
        <w:t xml:space="preserve"> </w:t>
      </w:r>
      <w:r>
        <w:rPr>
          <w:rStyle w:val="VerbatimChar"/>
        </w:rPr>
        <w:t xml:space="preserve">[DESIGN POSITION]</w:t>
      </w:r>
      <w:r>
        <w:t xml:space="preserve"> </w:t>
      </w:r>
      <w:r>
        <w:t xml:space="preserve">A pack that silently omits gaps is a liability, not a feature; a pack that names them is a defensible position for the principal.</w:t>
      </w:r>
    </w:p>
    <w:p>
      <w:pPr>
        <w:pStyle w:val="BodyText"/>
      </w:pPr>
      <w:r>
        <w:rPr>
          <w:rStyle w:val="VerbatimChar"/>
        </w:rPr>
        <w:t xml:space="preserve">X-035</w:t>
      </w:r>
      <w:r>
        <w:t xml:space="preserve"> </w:t>
      </w:r>
      <w:r>
        <w:t xml:space="preserve">—</w:t>
      </w:r>
      <w:r>
        <w:t xml:space="preserve"> </w:t>
      </w:r>
      <w:r>
        <w:rPr>
          <w:bCs/>
          <w:b/>
        </w:rPr>
        <w:t xml:space="preserve">A remediation queue</w:t>
      </w:r>
      <w:r>
        <w:t xml:space="preserve">: every red item has an action, an owner and a due date.</w:t>
      </w:r>
    </w:p>
    <w:p>
      <w:pPr>
        <w:pStyle w:val="BodyText"/>
      </w:pPr>
      <w:r>
        <w:rPr>
          <w:bCs/>
          <w:b/>
        </w:rPr>
        <w:t xml:space="preserve">Degraded.</w:t>
      </w:r>
      <w:r>
        <w:t xml:space="preserve"> </w:t>
      </w:r>
      <w:r>
        <w:t xml:space="preserve">Offline with an inspector present: the last generated pack and a cached readiness view are available, watermarked with generation time and plainly marked as cached.</w:t>
      </w:r>
      <w:r>
        <w:t xml:space="preserve"> </w:t>
      </w:r>
      <w:r>
        <w:rPr>
          <w:bCs/>
          <w:b/>
        </w:rPr>
        <w:t xml:space="preserve">Never a spinner in front of an inspector.</w:t>
      </w:r>
    </w:p>
    <w:p>
      <w:pPr>
        <w:pStyle w:val="BodyText"/>
      </w:pPr>
      <w:r>
        <w:rPr>
          <w:rStyle w:val="VerbatimChar"/>
        </w:rPr>
        <w:t xml:space="preserve">[EVIDENCE REQUIRED]</w:t>
      </w:r>
      <w:r>
        <w:t xml:space="preserve"> </w:t>
      </w:r>
      <w:r>
        <w:t xml:space="preserve">— what personal data a MEWA or Balady inspector is entitled to receive, and how that interacts with PDPL. Until settled, the default is to include what the statutory report itself requires and to log every disclosure.</w:t>
      </w:r>
    </w:p>
    <w:bookmarkEnd w:id="53"/>
    <w:bookmarkStart w:id="54" w:name="Xedde06f8f6f1d8b7dc07f05697759d3346a0eef"/>
    <w:p>
      <w:pPr>
        <w:pStyle w:val="Heading3"/>
      </w:pPr>
      <w:r>
        <w:t xml:space="preserve">(f) ZATCA-cleared invoicing at point of payment</w:t>
      </w:r>
    </w:p>
    <w:p>
      <w:pPr>
        <w:pStyle w:val="FirstParagraph"/>
      </w:pPr>
      <w:r>
        <w:rPr>
          <w:bCs/>
          <w:b/>
        </w:rPr>
        <w:t xml:space="preserve">The load-bearing distinction.</w:t>
      </w:r>
      <w:r>
        <w:t xml:space="preserve"> </w:t>
      </w:r>
      <w:r>
        <w:t xml:space="preserve">Standard tax invoices are</w:t>
      </w:r>
      <w:r>
        <w:t xml:space="preserve"> </w:t>
      </w:r>
      <w:r>
        <w:rPr>
          <w:bCs/>
          <w:b/>
        </w:rPr>
        <w:t xml:space="preserve">cleared by ZATCA before issuance</w:t>
      </w:r>
      <w:r>
        <w:t xml:space="preserve">. Simplified tax invoices are</w:t>
      </w:r>
      <w:r>
        <w:t xml:space="preserve"> </w:t>
      </w:r>
      <w:r>
        <w:rPr>
          <w:bCs/>
          <w:b/>
        </w:rPr>
        <w:t xml:space="preserve">reported within 24 hours of generation</w:t>
      </w:r>
      <w:r>
        <w:t xml:space="preserve">, carrying a cryptographic stamp the solution generates itself.</w:t>
      </w:r>
      <w:r>
        <w:t xml:space="preserve"> </w:t>
      </w:r>
      <w:r>
        <w:rPr>
          <w:bCs/>
          <w:b/>
        </w:rPr>
        <w:t xml:space="preserve">The overwhelming majority of a companion-animal clinic's transactions are simplified invoices</w:t>
      </w:r>
      <w:r>
        <w:t xml:space="preserve"> </w:t>
      </w:r>
      <w:r>
        <w:t xml:space="preserve">— which is precisely what makes an offline-tolerant point of payment legally viable. This is the single most important fact in the invoicing design.</w:t>
      </w:r>
    </w:p>
    <w:p>
      <w:pPr>
        <w:pStyle w:val="BodyText"/>
      </w:pPr>
      <w:r>
        <w:rPr>
          <w:rStyle w:val="VerbatimChar"/>
        </w:rPr>
        <w:t xml:space="preserve">X-036</w:t>
      </w:r>
      <w:r>
        <w:t xml:space="preserve"> </w:t>
      </w:r>
      <w:r>
        <w:t xml:space="preserve">—</w:t>
      </w:r>
      <w:r>
        <w:t xml:space="preserve"> </w:t>
      </w:r>
      <w:r>
        <w:rPr>
          <w:bCs/>
          <w:b/>
        </w:rPr>
        <w:t xml:space="preserve">Charges assemble automatically from the encounter</w:t>
      </w:r>
      <w:r>
        <w:t xml:space="preserve"> </w:t>
      </w:r>
      <w:r>
        <w:t xml:space="preserve">— consult fee, procedures, dispensed items from the dispense event, never re-keyed.</w:t>
      </w:r>
    </w:p>
    <w:p>
      <w:pPr>
        <w:pStyle w:val="BodyText"/>
      </w:pPr>
      <w:r>
        <w:rPr>
          <w:rStyle w:val="VerbatimChar"/>
        </w:rPr>
        <w:t xml:space="preserve">X-037</w:t>
      </w:r>
      <w:r>
        <w:t xml:space="preserve"> </w:t>
      </w:r>
      <w:r>
        <w:t xml:space="preserve">—</w:t>
      </w:r>
      <w:r>
        <w:t xml:space="preserve"> </w:t>
      </w:r>
      <w:r>
        <w:rPr>
          <w:bCs/>
          <w:b/>
        </w:rPr>
        <w:t xml:space="preserve">Simplified path</w:t>
      </w:r>
      <w:r>
        <w:t xml:space="preserve">: device generates UBL 2.1 XML, assigns UUID, increments</w:t>
      </w:r>
      <w:r>
        <w:t xml:space="preserve"> </w:t>
      </w:r>
      <w:r>
        <w:rPr>
          <w:bCs/>
          <w:b/>
        </w:rPr>
        <w:t xml:space="preserve">its own</w:t>
      </w:r>
      <w:r>
        <w:t xml:space="preserve"> </w:t>
      </w:r>
      <w:r>
        <w:t xml:space="preserve">invoice counter, embeds the previous-invoice hash, applies the cryptographic stamp, renders the QR, prints and/or sends a link.</w:t>
      </w:r>
      <w:r>
        <w:t xml:space="preserve"> </w:t>
      </w:r>
      <w:r>
        <w:rPr>
          <w:bCs/>
          <w:b/>
        </w:rPr>
        <w:t xml:space="preserve">Arabic is the invoice's language of record.</w:t>
      </w:r>
    </w:p>
    <w:p>
      <w:pPr>
        <w:pStyle w:val="BodyText"/>
      </w:pPr>
      <w:r>
        <w:rPr>
          <w:rStyle w:val="VerbatimChar"/>
        </w:rPr>
        <w:t xml:space="preserve">X-038</w:t>
      </w:r>
      <w:r>
        <w:t xml:space="preserve"> </w:t>
      </w:r>
      <w:r>
        <w:t xml:space="preserve">—</w:t>
      </w:r>
      <w:r>
        <w:t xml:space="preserve"> </w:t>
      </w:r>
      <w:r>
        <w:rPr>
          <w:bCs/>
          <w:b/>
        </w:rPr>
        <w:t xml:space="preserve">Standard path requires clearance before issuance and therefore cannot complete offline.</w:t>
      </w:r>
      <w:r>
        <w:t xml:space="preserve"> </w:t>
      </w:r>
      <w:r>
        <w:rPr>
          <w:rStyle w:val="VerbatimChar"/>
        </w:rPr>
        <w:t xml:space="preserve">[DESIGN POSITION]</w:t>
      </w:r>
      <w:r>
        <w:t xml:space="preserve"> </w:t>
      </w:r>
      <w:r>
        <w:t xml:space="preserve">When clearance is unavailable the clinic must</w:t>
      </w:r>
      <w:r>
        <w:t xml:space="preserve"> </w:t>
      </w:r>
      <w:r>
        <w:rPr>
          <w:bCs/>
          <w:b/>
        </w:rPr>
        <w:t xml:space="preserve">not</w:t>
      </w:r>
      <w:r>
        <w:t xml:space="preserve"> </w:t>
      </w:r>
      <w:r>
        <w:t xml:space="preserve">be able to hand over anything resembling a tax invoice; it issues a clearly-marked</w:t>
      </w:r>
      <w:r>
        <w:t xml:space="preserve"> </w:t>
      </w:r>
      <w:r>
        <w:rPr>
          <w:rStyle w:val="VerbatimChar"/>
        </w:rPr>
        <w:t xml:space="preserve">مستند غير ضريبي — Not a tax invoice</w:t>
      </w:r>
      <w:r>
        <w:t xml:space="preserve">, and the cleared invoice follows. The owner-facing wording for this is a named copy deliverable, not an improvisation at the desk.</w:t>
      </w:r>
    </w:p>
    <w:p>
      <w:pPr>
        <w:pStyle w:val="BodyText"/>
      </w:pPr>
      <w:r>
        <w:rPr>
          <w:rStyle w:val="VerbatimChar"/>
        </w:rPr>
        <w:t xml:space="preserve">X-039</w:t>
      </w:r>
      <w:r>
        <w:t xml:space="preserve"> </w:t>
      </w:r>
      <w:r>
        <w:t xml:space="preserve">—</w:t>
      </w:r>
      <w:r>
        <w:t xml:space="preserve"> </w:t>
      </w:r>
      <w:r>
        <w:rPr>
          <w:bCs/>
          <w:b/>
        </w:rPr>
        <w:t xml:space="preserve">One counter chain per invoicing device, each with its own CSID.</w:t>
      </w:r>
      <w:r>
        <w:t xml:space="preserve"> </w:t>
      </w:r>
      <w:r>
        <w:t xml:space="preserve">Two devices issuing offline against one chain fork it. Devices never share a chain. Chain health — last counter, last hash, queue depth, oldest unreported invoice — is a first-class item on the principal's compliance view.</w:t>
      </w:r>
    </w:p>
    <w:p>
      <w:pPr>
        <w:pStyle w:val="BodyText"/>
      </w:pPr>
      <w:r>
        <w:rPr>
          <w:rStyle w:val="VerbatimChar"/>
        </w:rPr>
        <w:t xml:space="preserve">X-040</w:t>
      </w:r>
      <w:r>
        <w:t xml:space="preserve"> </w:t>
      </w:r>
      <w:r>
        <w:t xml:space="preserve">—</w:t>
      </w:r>
      <w:r>
        <w:t xml:space="preserve"> </w:t>
      </w:r>
      <w:r>
        <w:rPr>
          <w:bCs/>
          <w:b/>
        </w:rPr>
        <w:t xml:space="preserve">A visible per-device clock against the 24-hour reporting window</w:t>
      </w:r>
      <w:r>
        <w:t xml:space="preserve">, escalating to the principal at 12 h and hard-escalating at 20 h.</w:t>
      </w:r>
    </w:p>
    <w:p>
      <w:pPr>
        <w:pStyle w:val="BodyText"/>
      </w:pPr>
      <w:r>
        <w:rPr>
          <w:bCs/>
          <w:b/>
        </w:rPr>
        <w:t xml:space="preserve">Hard stops — deliberately few.</w:t>
      </w:r>
      <w:r>
        <w:t xml:space="preserve"> </w:t>
      </w:r>
      <w:r>
        <w:t xml:space="preserve">Stamp failure means the sale must not complete as a tax invoice. The message must tell reception exactly what to do next.</w:t>
      </w:r>
    </w:p>
    <w:p>
      <w:pPr>
        <w:pStyle w:val="BodyText"/>
      </w:pPr>
      <w:r>
        <w:rPr>
          <w:bCs/>
          <w:b/>
        </w:rPr>
        <w:t xml:space="preserve">Arabic-first failure mode.</w:t>
      </w:r>
      <w:r>
        <w:t xml:space="preserve"> </w:t>
      </w:r>
      <w:r>
        <w:t xml:space="preserve">The QR is never mirrored under RTL. Amounts and VAT numbers are ASCII digits, always.</w:t>
      </w:r>
      <w:r>
        <w:t xml:space="preserve"> </w:t>
      </w:r>
      <w:r>
        <w:rPr>
          <w:rStyle w:val="VerbatimChar"/>
        </w:rPr>
        <w:t xml:space="preserve">X-041</w:t>
      </w:r>
      <w:r>
        <w:t xml:space="preserve"> </w:t>
      </w:r>
      <w:r>
        <w:t xml:space="preserve">—</w:t>
      </w:r>
      <w:r>
        <w:t xml:space="preserve"> </w:t>
      </w:r>
      <w:r>
        <w:rPr>
          <w:bCs/>
          <w:b/>
        </w:rPr>
        <w:t xml:space="preserve">The seller legal name must match the ZATCA registration character-for-character including Arabic orthography.</w:t>
      </w:r>
      <w:r>
        <w:t xml:space="preserve"> </w:t>
      </w:r>
      <w:r>
        <w:t xml:space="preserve">A normalised alef in the display name and an un-normalised one in the registration is a rejected invoice. Registered legal identifiers are stored verbatim and are</w:t>
      </w:r>
      <w:r>
        <w:t xml:space="preserve"> </w:t>
      </w:r>
      <w:r>
        <w:rPr>
          <w:bCs/>
          <w:b/>
        </w:rPr>
        <w:t xml:space="preserve">excluded</w:t>
      </w:r>
      <w:r>
        <w:t xml:space="preserve"> </w:t>
      </w:r>
      <w:r>
        <w:t xml:space="preserve">from the Arabic search-normalisation pipeline (§S4.5).</w:t>
      </w:r>
    </w:p>
    <w:bookmarkEnd w:id="54"/>
    <w:bookmarkStart w:id="55" w:name="Xfe6aac813d3c5bd00968e3f93f28ad6a9a0c712"/>
    <w:p>
      <w:pPr>
        <w:pStyle w:val="Heading3"/>
      </w:pPr>
      <w:r>
        <w:t xml:space="preserve">(g) Owner communication and record continuity</w:t>
      </w:r>
    </w:p>
    <w:p>
      <w:pPr>
        <w:pStyle w:val="FirstParagraph"/>
      </w:pPr>
      <w:r>
        <w:rPr>
          <w:rStyle w:val="VerbatimChar"/>
        </w:rPr>
        <w:t xml:space="preserve">X-042</w:t>
      </w:r>
      <w:r>
        <w:t xml:space="preserve"> </w:t>
      </w:r>
      <w:r>
        <w:t xml:space="preserve">—</w:t>
      </w:r>
      <w:r>
        <w:t xml:space="preserve"> </w:t>
      </w:r>
      <w:r>
        <w:rPr>
          <w:bCs/>
          <w:b/>
        </w:rPr>
        <w:t xml:space="preserve">A post-visit summary is a separate artefact from the clinical record</w:t>
      </w:r>
      <w:r>
        <w:t xml:space="preserve">, generated from the attested record, written for a non-clinical reader in the owner's language: what was found, what was given, what to do, when to return, and the warning signs that mean</w:t>
      </w:r>
      <w:r>
        <w:t xml:space="preserve"> </w:t>
      </w:r>
      <w:r>
        <w:rPr>
          <w:iCs/>
          <w:i/>
        </w:rPr>
        <w:t xml:space="preserve">come back now</w:t>
      </w:r>
      <w:r>
        <w:t xml:space="preserve">.</w:t>
      </w:r>
      <w:r>
        <w:t xml:space="preserve"> </w:t>
      </w:r>
      <w:r>
        <w:rPr>
          <w:rStyle w:val="VerbatimChar"/>
        </w:rPr>
        <w:t xml:space="preserve">[DESIGN POSITION]</w:t>
      </w:r>
      <w:r>
        <w:t xml:space="preserve"> </w:t>
      </w:r>
      <w:r>
        <w:t xml:space="preserve">Auto-sending raw clinical notes to owners is both a comprehension failure and a liability.</w:t>
      </w:r>
    </w:p>
    <w:p>
      <w:pPr>
        <w:pStyle w:val="BodyText"/>
      </w:pPr>
      <w:r>
        <w:rPr>
          <w:rStyle w:val="VerbatimChar"/>
        </w:rPr>
        <w:t xml:space="preserve">X-043</w:t>
      </w:r>
      <w:r>
        <w:t xml:space="preserve"> </w:t>
      </w:r>
      <w:r>
        <w:t xml:space="preserve">—</w:t>
      </w:r>
      <w:r>
        <w:t xml:space="preserve"> </w:t>
      </w:r>
      <w:r>
        <w:rPr>
          <w:bCs/>
          <w:b/>
        </w:rPr>
        <w:t xml:space="preserve">Owner record view with no account.</w:t>
      </w:r>
      <w:r>
        <w:t xml:space="preserve"> </w:t>
      </w:r>
      <w:r>
        <w:t xml:space="preserve">OTP to the registered mobile for anything beyond a vaccination summary. Read-only, bilingual, printable.</w:t>
      </w:r>
    </w:p>
    <w:p>
      <w:pPr>
        <w:pStyle w:val="BodyText"/>
      </w:pPr>
      <w:r>
        <w:rPr>
          <w:rStyle w:val="VerbatimChar"/>
        </w:rPr>
        <w:t xml:space="preserve">X-044</w:t>
      </w:r>
      <w:r>
        <w:t xml:space="preserve"> </w:t>
      </w:r>
      <w:r>
        <w:t xml:space="preserve">—</w:t>
      </w:r>
      <w:r>
        <w:t xml:space="preserve"> </w:t>
      </w:r>
      <w:r>
        <w:rPr>
          <w:bCs/>
          <w:b/>
        </w:rPr>
        <w:t xml:space="preserve">Continuity survives</w:t>
      </w:r>
      <w:r>
        <w:t xml:space="preserve"> </w:t>
      </w:r>
      <w:r>
        <w:t xml:space="preserve">change of vet, change of owner (an explicit evidenced transfer event, never an edit), a gap of years, and a return under a different phone number. Duplicate detection runs continuously and offers a</w:t>
      </w:r>
      <w:r>
        <w:t xml:space="preserve"> </w:t>
      </w:r>
      <w:r>
        <w:rPr>
          <w:bCs/>
          <w:b/>
        </w:rPr>
        <w:t xml:space="preserve">reversible, evidenced merge</w:t>
      </w:r>
      <w:r>
        <w:t xml:space="preserve"> </w:t>
      </w:r>
      <w:r>
        <w:t xml:space="preserve">— merges of attested records are never destructive.</w:t>
      </w:r>
    </w:p>
    <w:p>
      <w:pPr>
        <w:pStyle w:val="BodyText"/>
      </w:pPr>
      <w:r>
        <w:rPr>
          <w:rStyle w:val="VerbatimChar"/>
        </w:rPr>
        <w:t xml:space="preserve">X-045</w:t>
      </w:r>
      <w:r>
        <w:t xml:space="preserve"> </w:t>
      </w:r>
      <w:r>
        <w:t xml:space="preserve">—</w:t>
      </w:r>
      <w:r>
        <w:t xml:space="preserve"> </w:t>
      </w:r>
      <w:r>
        <w:rPr>
          <w:bCs/>
          <w:b/>
        </w:rPr>
        <w:t xml:space="preserve">Export on request.</w:t>
      </w:r>
      <w:r>
        <w:t xml:space="preserve"> </w:t>
      </w:r>
      <w:r>
        <w:rPr>
          <w:rStyle w:val="VerbatimChar"/>
        </w:rPr>
        <w:t xml:space="preserve">[DESIGN POSITION]</w:t>
      </w:r>
      <w:r>
        <w:t xml:space="preserve"> </w:t>
      </w:r>
      <w:r>
        <w:t xml:space="preserve">Portability is a trust asset</w:t>
      </w:r>
      <w:r>
        <w:t xml:space="preserve"> </w:t>
      </w:r>
      <w:r>
        <w:rPr>
          <w:iCs/>
          <w:i/>
        </w:rPr>
        <w:t xml:space="preserve">for the clinic</w:t>
      </w:r>
      <w:r>
        <w:t xml:space="preserve">. Locking the owner's data in is not a defensible retention strategy for a compliance product, and it anticipates PDPL data-subject rights.</w:t>
      </w:r>
    </w:p>
    <w:p>
      <w:pPr>
        <w:pStyle w:val="BodyText"/>
      </w:pPr>
      <w:r>
        <w:rPr>
          <w:rStyle w:val="VerbatimChar"/>
        </w:rPr>
        <w:t xml:space="preserve">[EVIDENCE REQUIRED]</w:t>
      </w:r>
      <w:r>
        <w:t xml:space="preserve"> </w:t>
      </w:r>
      <w:r>
        <w:t xml:space="preserve">— the channel Saudi clinics and owners actually use, and the constraints on WhatsApp Business API use for health-adjacent content in KSA. The design assumes a link-based delivery abstraction with pluggable channels, not a single hard-wired channel.</w:t>
      </w:r>
    </w:p>
    <w:p>
      <w:pPr>
        <w:pStyle w:val="BodyText"/>
      </w:pPr>
      <w:r>
        <w:rPr>
          <w:bCs/>
          <w:b/>
        </w:rPr>
        <w:t xml:space="preserve">Arabic-first failure mode.</w:t>
      </w:r>
      <w:r>
        <w:t xml:space="preserve"> </w:t>
      </w:r>
      <w:r>
        <w:t xml:space="preserve">Arabic SMS to a Saudi mobile is UCS-2 and shortens the message; the composer must show the true segment count in Arabic, not an English-derived estimate.</w:t>
      </w:r>
      <w:r>
        <w:t xml:space="preserve"> </w:t>
      </w:r>
      <w:r>
        <w:rPr>
          <w:rStyle w:val="VerbatimChar"/>
        </w:rPr>
        <w:t xml:space="preserve">X-046</w:t>
      </w:r>
      <w:r>
        <w:t xml:space="preserve"> </w:t>
      </w:r>
      <w:r>
        <w:t xml:space="preserve">—</w:t>
      </w:r>
      <w:r>
        <w:t xml:space="preserve"> </w:t>
      </w:r>
      <w:r>
        <w:rPr>
          <w:bCs/>
          <w:b/>
        </w:rPr>
        <w:t xml:space="preserve">never build an outbound sentence whose meaning depends on the renderer's bidirectional handling.</w:t>
      </w:r>
      <w:r>
        <w:t xml:space="preserve"> </w:t>
      </w:r>
      <w:r>
        <w:t xml:space="preserve">Drug names and doses go on their own lines.</w:t>
      </w:r>
    </w:p>
    <w:bookmarkEnd w:id="55"/>
    <w:bookmarkStart w:id="56" w:name="X4cc1dbfa764b61b30ea554a30053d06fb478b38"/>
    <w:p>
      <w:pPr>
        <w:pStyle w:val="Heading3"/>
      </w:pPr>
      <w:r>
        <w:t xml:space="preserve">(h) Remote consultation under the RCVS-derived design floor</w:t>
      </w:r>
    </w:p>
    <w:p>
      <w:pPr>
        <w:pStyle w:val="FirstParagraph"/>
      </w:pPr>
      <w:r>
        <w:rPr>
          <w:bCs/>
          <w:b/>
        </w:rPr>
        <w:t xml:space="preserve">Standing position.</w:t>
      </w:r>
      <w:r>
        <w:t xml:space="preserve"> </w:t>
      </w:r>
      <w:r>
        <w:t xml:space="preserve">KSA veterinary telemedicine is</w:t>
      </w:r>
      <w:r>
        <w:t xml:space="preserve"> </w:t>
      </w:r>
      <w:r>
        <w:rPr>
          <w:rStyle w:val="VerbatimChar"/>
        </w:rPr>
        <w:t xml:space="preserve">SILENT-UNRESOLVED</w:t>
      </w:r>
      <w:r>
        <w:t xml:space="preserve"> </w:t>
      </w:r>
      <w:r>
        <w:t xml:space="preserve">— no framework, no prohibition (§S6.2). Teleconsultation is therefore a</w:t>
      </w:r>
      <w:r>
        <w:t xml:space="preserve"> </w:t>
      </w:r>
      <w:r>
        <w:rPr>
          <w:bCs/>
          <w:b/>
        </w:rPr>
        <w:t xml:space="preserve">flagged, constrained modality, never the centre of the product</w:t>
      </w:r>
      <w:r>
        <w:t xml:space="preserve">, built to the most permissive credible international standard so that however the Saudi position resolves, the clinic's record shows a defensible standard was applied.</w:t>
      </w:r>
    </w:p>
    <w:p>
      <w:pPr>
        <w:pStyle w:val="BodyText"/>
      </w:pPr>
      <w:r>
        <w:rPr>
          <w:rStyle w:val="VerbatimChar"/>
        </w:rPr>
        <w:t xml:space="preserve">X-047</w:t>
      </w:r>
      <w:r>
        <w:t xml:space="preserve"> </w:t>
      </w:r>
      <w:r>
        <w:t xml:space="preserve">—</w:t>
      </w:r>
      <w:r>
        <w:t xml:space="preserve"> </w:t>
      </w:r>
      <w:r>
        <w:rPr>
          <w:bCs/>
          <w:b/>
        </w:rPr>
        <w:t xml:space="preserve">Pre-flight gate before a remote encounter can open</w:t>
      </w:r>
      <w:r>
        <w:t xml:space="preserve">: (i) a named, contactable, in-date 24/7 in-person escalation provider exists for this clinic at this hour; (ii) the patient's physical-examination status is displayed — date and by whom; (iii) the vet is licensed and in date; (iv) the owner has been shown and acknowledged the limits of remote assessment in their language.</w:t>
      </w:r>
    </w:p>
    <w:p>
      <w:pPr>
        <w:pStyle w:val="BodyText"/>
      </w:pPr>
      <w:r>
        <w:rPr>
          <w:rStyle w:val="VerbatimChar"/>
        </w:rPr>
        <w:t xml:space="preserve">X-048</w:t>
      </w:r>
      <w:r>
        <w:t xml:space="preserve"> </w:t>
      </w:r>
      <w:r>
        <w:t xml:space="preserve">—</w:t>
      </w:r>
      <w:r>
        <w:t xml:space="preserve"> </w:t>
      </w:r>
      <w:r>
        <w:rPr>
          <w:rStyle w:val="VerbatimChar"/>
          <w:bCs/>
          <w:b/>
        </w:rPr>
        <w:t xml:space="preserve">modality: remote</w:t>
      </w:r>
      <w:r>
        <w:rPr>
          <w:bCs/>
          <w:b/>
        </w:rPr>
        <w:t xml:space="preserve"> </w:t>
      </w:r>
      <w:r>
        <w:rPr>
          <w:bCs/>
          <w:b/>
        </w:rPr>
        <w:t xml:space="preserve">is permanent</w:t>
      </w:r>
      <w:r>
        <w:t xml:space="preserve">, visible on every downstream artefact, and uneditable after attestation.</w:t>
      </w:r>
    </w:p>
    <w:p>
      <w:pPr>
        <w:pStyle w:val="BodyText"/>
      </w:pPr>
      <w:r>
        <w:rPr>
          <w:rStyle w:val="VerbatimChar"/>
        </w:rPr>
        <w:t xml:space="preserve">X-049</w:t>
      </w:r>
      <w:r>
        <w:t xml:space="preserve"> </w:t>
      </w:r>
      <w:r>
        <w:t xml:space="preserve">—</w:t>
      </w:r>
      <w:r>
        <w:t xml:space="preserve"> </w:t>
      </w:r>
      <w:r>
        <w:rPr>
          <w:bCs/>
          <w:b/>
        </w:rPr>
        <w:t xml:space="preserve">Hard prescribing block.</w:t>
      </w:r>
      <w:r>
        <w:t xml:space="preserve"> </w:t>
      </w:r>
      <w:r>
        <w:t xml:space="preserve">Antimicrobials, antifungals, antiparasitics, antivirals and controlled drugs cannot be prescribed in a remote encounter unless a physical examination is on record inside a configurable window. This is one of very few hard blocks in the product. The block states the rule and offers exactly two legitimate exits: convert to in-person, or record a physical examination that has actually happened.</w:t>
      </w:r>
    </w:p>
    <w:p>
      <w:pPr>
        <w:pStyle w:val="BodyText"/>
      </w:pPr>
      <w:r>
        <w:rPr>
          <w:rStyle w:val="VerbatimChar"/>
        </w:rPr>
        <w:t xml:space="preserve">X-050</w:t>
      </w:r>
      <w:r>
        <w:t xml:space="preserve"> </w:t>
      </w:r>
      <w:r>
        <w:t xml:space="preserve">—</w:t>
      </w:r>
      <w:r>
        <w:t xml:space="preserve"> </w:t>
      </w:r>
      <w:r>
        <w:rPr>
          <w:bCs/>
          <w:b/>
        </w:rPr>
        <w:t xml:space="preserve">Notifiable suspicion forces conversion to in-person</w:t>
      </w:r>
      <w:r>
        <w:t xml:space="preserve">, starts the §(d) clock, and books or refers.</w:t>
      </w:r>
    </w:p>
    <w:p>
      <w:pPr>
        <w:pStyle w:val="BodyText"/>
      </w:pPr>
      <w:r>
        <w:rPr>
          <w:rStyle w:val="VerbatimChar"/>
        </w:rPr>
        <w:t xml:space="preserve">X-051</w:t>
      </w:r>
      <w:r>
        <w:t xml:space="preserve"> </w:t>
      </w:r>
      <w:r>
        <w:t xml:space="preserve">—</w:t>
      </w:r>
      <w:r>
        <w:t xml:space="preserve"> </w:t>
      </w:r>
      <w:r>
        <w:rPr>
          <w:bCs/>
          <w:b/>
        </w:rPr>
        <w:t xml:space="preserve">The encounter cannot be attested until the escalation route given to the owner is recorded</w:t>
      </w:r>
      <w:r>
        <w:t xml:space="preserve"> </w:t>
      </w:r>
      <w:r>
        <w:t xml:space="preserve">— who they were told to contact, and how.</w:t>
      </w:r>
    </w:p>
    <w:p>
      <w:pPr>
        <w:pStyle w:val="BodyText"/>
      </w:pPr>
      <w:r>
        <w:rPr>
          <w:bCs/>
          <w:b/>
        </w:rPr>
        <w:t xml:space="preserve">Arabic-first failure mode.</w:t>
      </w:r>
      <w:r>
        <w:t xml:space="preserve"> </w:t>
      </w:r>
      <w:r>
        <w:t xml:space="preserve">The remote-limits acknowledgement is quasi-legal text; it is authored independently in Arabic and English and reviewed, never machine-translated.</w:t>
      </w:r>
    </w:p>
    <w:bookmarkEnd w:id="56"/>
    <w:bookmarkEnd w:id="57"/>
    <w:bookmarkStart w:id="66" w:name="s45-arabic-first-specification"/>
    <w:p>
      <w:pPr>
        <w:pStyle w:val="Heading2"/>
      </w:pPr>
      <w:r>
        <w:t xml:space="preserve">S4.5 Arabic-first specification</w:t>
      </w:r>
    </w:p>
    <w:p>
      <w:pPr>
        <w:pStyle w:val="FirstParagraph"/>
      </w:pPr>
      <w:r>
        <w:rPr>
          <w:bCs/>
          <w:b/>
        </w:rPr>
        <w:t xml:space="preserve">"Arabic-first" means the Arabic experience is the design's origin and the English experience is derived from it. Any defect that appears only in Arabic is a P0, not a localisation ticket.</w:t>
      </w:r>
      <w:r>
        <w:t xml:space="preserve"> </w:t>
      </w:r>
      <w:r>
        <w:t xml:space="preserve">The prior build scored Arabic/RTL at 25% because Arabic was a translation layer over an English design.</w:t>
      </w:r>
    </w:p>
    <w:bookmarkStart w:id="58" w:name="direction-and-bidirectional-handling"/>
    <w:p>
      <w:pPr>
        <w:pStyle w:val="Heading3"/>
      </w:pPr>
      <w:r>
        <w:t xml:space="preserve">Direction and bidirectional handling</w:t>
      </w:r>
    </w:p>
    <w:p>
      <w:pPr>
        <w:pStyle w:val="FirstParagraph"/>
      </w:pPr>
      <w:r>
        <w:rPr>
          <w:rStyle w:val="VerbatimChar"/>
        </w:rPr>
        <w:t xml:space="preserve">X-052</w:t>
      </w:r>
      <w:r>
        <w:t xml:space="preserve"> </w:t>
      </w:r>
      <w:r>
        <w:t xml:space="preserve">—</w:t>
      </w:r>
      <w:r>
        <w:t xml:space="preserve"> </w:t>
      </w:r>
      <w:r>
        <w:rPr>
          <w:bCs/>
          <w:b/>
        </w:rPr>
        <w:t xml:space="preserve">Direction is a field-level property, not a page-level one.</w:t>
      </w:r>
      <w:r>
        <w:t xml:space="preserve"> </w:t>
      </w:r>
      <w:r>
        <w:t xml:space="preserve">Clinical narrative =</w:t>
      </w:r>
      <w:r>
        <w:t xml:space="preserve"> </w:t>
      </w:r>
      <w:r>
        <w:rPr>
          <w:rStyle w:val="VerbatimChar"/>
        </w:rPr>
        <w:t xml:space="preserve">auto</w:t>
      </w:r>
      <w:r>
        <w:t xml:space="preserve"> </w:t>
      </w:r>
      <w:r>
        <w:t xml:space="preserve">with Arabic default; drug name =</w:t>
      </w:r>
      <w:r>
        <w:t xml:space="preserve"> </w:t>
      </w:r>
      <w:r>
        <w:rPr>
          <w:rStyle w:val="VerbatimChar"/>
        </w:rPr>
        <w:t xml:space="preserve">ltr</w:t>
      </w:r>
      <w:r>
        <w:t xml:space="preserve">; numeric =</w:t>
      </w:r>
      <w:r>
        <w:t xml:space="preserve"> </w:t>
      </w:r>
      <w:r>
        <w:rPr>
          <w:rStyle w:val="VerbatimChar"/>
        </w:rPr>
        <w:t xml:space="preserve">ltr</w:t>
      </w:r>
      <w:r>
        <w:t xml:space="preserve">; person name = per stored script.</w:t>
      </w:r>
    </w:p>
    <w:p>
      <w:pPr>
        <w:pStyle w:val="BodyText"/>
      </w:pPr>
      <w:r>
        <w:rPr>
          <w:rStyle w:val="VerbatimChar"/>
        </w:rPr>
        <w:t xml:space="preserve">X-053</w:t>
      </w:r>
      <w:r>
        <w:t xml:space="preserve"> </w:t>
      </w:r>
      <w:r>
        <w:t xml:space="preserve">—</w:t>
      </w:r>
      <w:r>
        <w:t xml:space="preserve"> </w:t>
      </w:r>
      <w:r>
        <w:rPr>
          <w:bCs/>
          <w:b/>
        </w:rPr>
        <w:t xml:space="preserve">Latin runs inside Arabic text are wrapped in isolates</w:t>
      </w:r>
      <w:r>
        <w:t xml:space="preserve"> </w:t>
      </w:r>
      <w:r>
        <w:t xml:space="preserve">(</w:t>
      </w:r>
      <w:r>
        <w:rPr>
          <w:rStyle w:val="VerbatimChar"/>
        </w:rPr>
        <w:t xml:space="preserve">U+2066 LRI … U+2069 PDI</w:t>
      </w:r>
      <w:r>
        <w:t xml:space="preserve">, or</w:t>
      </w:r>
      <w:r>
        <w:t xml:space="preserve"> </w:t>
      </w:r>
      <w:r>
        <w:rPr>
          <w:rStyle w:val="VerbatimChar"/>
        </w:rPr>
        <w:t xml:space="preserve">&lt;bdi&gt;</w:t>
      </w:r>
      <w:r>
        <w:t xml:space="preserve">) at render and at PDF generation.</w:t>
      </w:r>
      <w:r>
        <w:t xml:space="preserve"> </w:t>
      </w:r>
      <w:r>
        <w:rPr>
          <w:bCs/>
          <w:b/>
        </w:rPr>
        <w:t xml:space="preserve">Implicit bidirectional resolution is never relied upon for any string containing a dose, a unit or a product name.</w:t>
      </w:r>
    </w:p>
    <w:p>
      <w:pPr>
        <w:pStyle w:val="BodyText"/>
      </w:pPr>
      <w:r>
        <w:rPr>
          <w:rStyle w:val="VerbatimChar"/>
        </w:rPr>
        <w:t xml:space="preserve">X-054</w:t>
      </w:r>
      <w:r>
        <w:t xml:space="preserve"> </w:t>
      </w:r>
      <w:r>
        <w:t xml:space="preserve">—</w:t>
      </w:r>
      <w:r>
        <w:t xml:space="preserve"> </w:t>
      </w:r>
      <w:r>
        <w:rPr>
          <w:bCs/>
          <w:b/>
        </w:rPr>
        <w:t xml:space="preserve">The canonical bidirectional test corpus</w:t>
      </w:r>
      <w:r>
        <w:t xml:space="preserve"> </w:t>
      </w:r>
      <w:r>
        <w:t xml:space="preserve">must render identically in the app, in print, in PDF, in SMS and on the ZATCA invoice: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Case</w:t>
            </w:r>
          </w:p>
        </w:tc>
        <w:tc>
          <w:tcPr/>
          <w:p>
            <w:pPr>
              <w:pStyle w:val="Compact"/>
              <w:jc w:val="left"/>
            </w:pPr>
            <w:r>
              <w:t xml:space="preserve">Requirement</w:t>
            </w:r>
          </w:p>
        </w:tc>
      </w:tr>
      <w:tr>
        <w:tc>
          <w:tcPr/>
          <w:p>
            <w:pPr>
              <w:pStyle w:val="Compact"/>
              <w:jc w:val="left"/>
            </w:pPr>
            <w:r>
              <w:rPr>
                <w:rStyle w:val="VerbatimChar"/>
              </w:rPr>
              <w:t xml:space="preserve">أعطِ Amoxicillin 250 mg مرتين يومياً لمدة 7 أيام</w:t>
            </w:r>
          </w:p>
        </w:tc>
        <w:tc>
          <w:tcPr/>
          <w:p>
            <w:pPr>
              <w:pStyle w:val="Compact"/>
              <w:jc w:val="left"/>
            </w:pPr>
            <w:r>
              <w:rPr>
                <w:rStyle w:val="VerbatimChar"/>
              </w:rPr>
              <w:t xml:space="preserve">250 mg</w:t>
            </w:r>
            <w:r>
              <w:t xml:space="preserve"> </w:t>
            </w:r>
            <w:r>
              <w:t xml:space="preserve">remains in that order and adjacency</w:t>
            </w:r>
          </w:p>
        </w:tc>
      </w:tr>
      <w:tr>
        <w:tc>
          <w:tcPr/>
          <w:p>
            <w:pPr>
              <w:pStyle w:val="Compact"/>
              <w:jc w:val="left"/>
            </w:pPr>
            <w:r>
              <w:rPr>
                <w:rStyle w:val="VerbatimChar"/>
              </w:rPr>
              <w:t xml:space="preserve">الوزن 4.2 kg، الجرعة 20 mg/kg = 84 mg</w:t>
            </w:r>
          </w:p>
        </w:tc>
        <w:tc>
          <w:tcPr/>
          <w:p>
            <w:pPr>
              <w:pStyle w:val="Compact"/>
              <w:jc w:val="left"/>
            </w:pPr>
            <w:r>
              <w:t xml:space="preserve">Decimal point, slash and equals sign do not migrate</w:t>
            </w:r>
          </w:p>
        </w:tc>
      </w:tr>
      <w:tr>
        <w:tc>
          <w:tcPr/>
          <w:p>
            <w:pPr>
              <w:pStyle w:val="Compact"/>
              <w:jc w:val="left"/>
            </w:pPr>
            <w:r>
              <w:rPr>
                <w:rStyle w:val="VerbatimChar"/>
              </w:rPr>
              <w:t xml:space="preserve">القط (Simba) — رقم الشريحة 9820000123456789</w:t>
            </w:r>
          </w:p>
        </w:tc>
        <w:tc>
          <w:tcPr/>
          <w:p>
            <w:pPr>
              <w:pStyle w:val="Compact"/>
              <w:jc w:val="left"/>
            </w:pPr>
            <w:r>
              <w:t xml:space="preserve">Parentheses resolve around the Latin name, not the Arabic</w:t>
            </w:r>
          </w:p>
        </w:tc>
      </w:tr>
      <w:tr>
        <w:tc>
          <w:tcPr/>
          <w:p>
            <w:pPr>
              <w:pStyle w:val="Compact"/>
              <w:jc w:val="left"/>
            </w:pPr>
            <w:r>
              <w:rPr>
                <w:rStyle w:val="VerbatimChar"/>
              </w:rPr>
              <w:t xml:space="preserve">د. Nour Al-Sayed — ترخيص رقم VET-2024-00871</w:t>
            </w:r>
          </w:p>
        </w:tc>
        <w:tc>
          <w:tcPr/>
          <w:p>
            <w:pPr>
              <w:pStyle w:val="Compact"/>
              <w:jc w:val="left"/>
            </w:pPr>
            <w:r>
              <w:t xml:space="preserve">Hyphens inside the Latin identifier are not reordered</w:t>
            </w:r>
          </w:p>
        </w:tc>
      </w:tr>
    </w:tbl>
    <w:p>
      <w:pPr>
        <w:pStyle w:val="BodyText"/>
      </w:pPr>
      <w:r>
        <w:t xml:space="preserve">Every corpus string, in every output surface, must match a byte-exact expected visual and round-trip through copy-paste in logical order.</w:t>
      </w:r>
    </w:p>
    <w:bookmarkEnd w:id="58"/>
    <w:bookmarkStart w:id="59" w:name="numerals"/>
    <w:p>
      <w:pPr>
        <w:pStyle w:val="Heading3"/>
      </w:pPr>
      <w:r>
        <w:t xml:space="preserve">Numerals</w:t>
      </w:r>
    </w:p>
    <w:p>
      <w:pPr>
        <w:pStyle w:val="FirstParagraph"/>
      </w:pPr>
      <w:r>
        <w:rPr>
          <w:rStyle w:val="VerbatimChar"/>
        </w:rPr>
        <w:t xml:space="preserve">[DESIGN POSITION] X-055</w:t>
      </w:r>
      <w:r>
        <w:t xml:space="preserve"> </w:t>
      </w:r>
      <w:r>
        <w:t xml:space="preserve">—</w:t>
      </w:r>
      <w:r>
        <w:t xml:space="preserve"> </w:t>
      </w:r>
      <w:r>
        <w:rPr>
          <w:bCs/>
          <w:b/>
        </w:rPr>
        <w:t xml:space="preserve">All clinical and financial values render in ASCII digits (0–9) in every locale.</w:t>
      </w:r>
      <w:r>
        <w:t xml:space="preserve"> </w:t>
      </w:r>
      <w:r>
        <w:t xml:space="preserve">Hindi-Arabic digits are accepted on input and normalised on save, but are never used for a weight, dose, volume, temperature, batch number, licence number, phone number, price or VAT amount. Rationale: mixed digit systems in a dose string are a transcription-error vector on a printed label, and ZATCA payloads and QR contents are ASCII regardless. Digit shaping is explicitly disabled on all numeric fields.</w:t>
      </w:r>
    </w:p>
    <w:p>
      <w:pPr>
        <w:pStyle w:val="BodyText"/>
      </w:pPr>
      <w:r>
        <w:t xml:space="preserve">Test: no rendered numeric field in any locale contains a codepoint in</w:t>
      </w:r>
      <w:r>
        <w:t xml:space="preserve"> </w:t>
      </w:r>
      <w:r>
        <w:rPr>
          <w:rStyle w:val="VerbatimChar"/>
        </w:rPr>
        <w:t xml:space="preserve">U+0660–U+0669</w:t>
      </w:r>
      <w:r>
        <w:t xml:space="preserve"> </w:t>
      </w:r>
      <w:r>
        <w:t xml:space="preserve">or</w:t>
      </w:r>
      <w:r>
        <w:t xml:space="preserve"> </w:t>
      </w:r>
      <w:r>
        <w:rPr>
          <w:rStyle w:val="VerbatimChar"/>
        </w:rPr>
        <w:t xml:space="preserve">U+06F0–U+06F9</w:t>
      </w:r>
      <w:r>
        <w:t xml:space="preserve">; an input of</w:t>
      </w:r>
      <w:r>
        <w:t xml:space="preserve"> </w:t>
      </w:r>
      <w:r>
        <w:rPr>
          <w:rStyle w:val="VerbatimChar"/>
        </w:rPr>
        <w:t xml:space="preserve">٤٫٢</w:t>
      </w:r>
      <w:r>
        <w:t xml:space="preserve"> </w:t>
      </w:r>
      <w:r>
        <w:t xml:space="preserve">in a weight field saves and redisplays as</w:t>
      </w:r>
      <w:r>
        <w:t xml:space="preserve"> </w:t>
      </w:r>
      <w:r>
        <w:rPr>
          <w:rStyle w:val="VerbatimChar"/>
        </w:rPr>
        <w:t xml:space="preserve">4.2</w:t>
      </w:r>
      <w:r>
        <w:t xml:space="preserve">.</w:t>
      </w:r>
    </w:p>
    <w:bookmarkEnd w:id="59"/>
    <w:bookmarkStart w:id="60" w:name="dates-and-calendars"/>
    <w:p>
      <w:pPr>
        <w:pStyle w:val="Heading3"/>
      </w:pPr>
      <w:r>
        <w:t xml:space="preserve">Dates and calendars</w:t>
      </w:r>
    </w:p>
    <w:p>
      <w:pPr>
        <w:pStyle w:val="FirstParagraph"/>
      </w:pPr>
      <w:r>
        <w:rPr>
          <w:rStyle w:val="VerbatimChar"/>
        </w:rPr>
        <w:t xml:space="preserve">X-056</w:t>
      </w:r>
      <w:r>
        <w:t xml:space="preserve"> </w:t>
      </w:r>
      <w:r>
        <w:t xml:space="preserve">—</w:t>
      </w:r>
      <w:r>
        <w:t xml:space="preserve"> </w:t>
      </w:r>
      <w:r>
        <w:rPr>
          <w:bCs/>
          <w:b/>
        </w:rPr>
        <w:t xml:space="preserve">Storage is a UTC instant, always</w:t>
      </w:r>
      <w:r>
        <w:t xml:space="preserve">, plus the Asia/Riyadh civil datetime for display, plus the Umm al-Qura Hijri date derived at display time.</w:t>
      </w:r>
    </w:p>
    <w:p>
      <w:pPr>
        <w:pStyle w:val="BodyText"/>
      </w:pPr>
      <w:r>
        <w:rPr>
          <w:rStyle w:val="VerbatimChar"/>
        </w:rPr>
        <w:t xml:space="preserve">X-057</w:t>
      </w:r>
      <w:r>
        <w:t xml:space="preserve"> </w:t>
      </w:r>
      <w:r>
        <w:t xml:space="preserve">—</w:t>
      </w:r>
      <w:r>
        <w:t xml:space="preserve"> </w:t>
      </w:r>
      <w:r>
        <w:rPr>
          <w:bCs/>
          <w:b/>
        </w:rPr>
        <w:t xml:space="preserve">Display is dual, in the same field</w:t>
      </w:r>
      <w:r>
        <w:t xml:space="preserve">:</w:t>
      </w:r>
      <w:r>
        <w:t xml:space="preserve"> </w:t>
      </w:r>
      <w:r>
        <w:rPr>
          <w:rStyle w:val="VerbatimChar"/>
        </w:rPr>
        <w:t xml:space="preserve">28/08/2026 م — 06/03/1448 هـ</w:t>
      </w:r>
      <w:r>
        <w:t xml:space="preserve">. Never Hijri-only, never Gregorian-only, on any regulatory or printed artefact.</w:t>
      </w:r>
    </w:p>
    <w:p>
      <w:pPr>
        <w:pStyle w:val="BodyText"/>
      </w:pPr>
      <w:r>
        <w:rPr>
          <w:rStyle w:val="VerbatimChar"/>
        </w:rPr>
        <w:t xml:space="preserve">X-058</w:t>
      </w:r>
      <w:r>
        <w:t xml:space="preserve"> </w:t>
      </w:r>
      <w:r>
        <w:t xml:space="preserve">—</w:t>
      </w:r>
      <w:r>
        <w:t xml:space="preserve"> </w:t>
      </w:r>
      <w:r>
        <w:rPr>
          <w:bCs/>
          <w:b/>
        </w:rPr>
        <w:t xml:space="preserve">Entry uses an explicit calendar toggle.</w:t>
      </w:r>
      <w:r>
        <w:t xml:space="preserve"> </w:t>
      </w:r>
      <w:r>
        <w:rPr>
          <w:rStyle w:val="VerbatimChar"/>
        </w:rPr>
        <w:t xml:space="preserve">[DESIGN POSITION]</w:t>
      </w:r>
      <w:r>
        <w:t xml:space="preserve"> </w:t>
      </w:r>
      <w:r>
        <w:t xml:space="preserve">The system never infers which calendar a typed date belongs to — inference here produces a ~579-year error class.</w:t>
      </w:r>
    </w:p>
    <w:p>
      <w:pPr>
        <w:pStyle w:val="BodyText"/>
      </w:pPr>
      <w:r>
        <w:rPr>
          <w:rStyle w:val="VerbatimChar"/>
        </w:rPr>
        <w:t xml:space="preserve">X-059</w:t>
      </w:r>
      <w:r>
        <w:t xml:space="preserve"> </w:t>
      </w:r>
      <w:r>
        <w:t xml:space="preserve">—</w:t>
      </w:r>
      <w:r>
        <w:t xml:space="preserve"> </w:t>
      </w:r>
      <w:r>
        <w:rPr>
          <w:bCs/>
          <w:b/>
        </w:rPr>
        <w:t xml:space="preserve">Statutory clocks compute on UTC instants and display as elapsed and remaining duration</w:t>
      </w:r>
      <w:r>
        <w:t xml:space="preserve">, never as</w:t>
      </w:r>
      <w:r>
        <w:t xml:space="preserve"> </w:t>
      </w:r>
      <w:r>
        <w:rPr>
          <w:iCs/>
          <w:i/>
        </w:rPr>
        <w:t xml:space="preserve">"report by tomorrow"</w:t>
      </w:r>
      <w:r>
        <w:t xml:space="preserve">.</w:t>
      </w:r>
    </w:p>
    <w:bookmarkEnd w:id="60"/>
    <w:bookmarkStart w:id="61" w:name="names"/>
    <w:p>
      <w:pPr>
        <w:pStyle w:val="Heading3"/>
      </w:pPr>
      <w:r>
        <w:t xml:space="preserve">Names</w:t>
      </w:r>
    </w:p>
    <w:p>
      <w:pPr>
        <w:pStyle w:val="FirstParagraph"/>
      </w:pPr>
      <w:r>
        <w:rPr>
          <w:rStyle w:val="VerbatimChar"/>
        </w:rPr>
        <w:t xml:space="preserve">X-060</w:t>
      </w:r>
      <w:r>
        <w:t xml:space="preserve"> </w:t>
      </w:r>
      <w:r>
        <w:t xml:space="preserve">—</w:t>
      </w:r>
      <w:r>
        <w:t xml:space="preserve"> </w:t>
      </w:r>
      <w:r>
        <w:rPr>
          <w:bCs/>
          <w:b/>
        </w:rPr>
        <w:t xml:space="preserve">Person names are stored as a structured Arabic quadruple</w:t>
      </w:r>
      <w:r>
        <w:t xml:space="preserve"> </w:t>
      </w:r>
      <w:r>
        <w:t xml:space="preserve">— given / father's / grandfather's / family —</w:t>
      </w:r>
      <w:r>
        <w:t xml:space="preserve"> </w:t>
      </w:r>
      <w:r>
        <w:rPr>
          <w:bCs/>
          <w:b/>
        </w:rPr>
        <w:t xml:space="preserve">plus one Latin transliteration captured verbatim from the identity document.</w:t>
      </w:r>
      <w:r>
        <w:t xml:space="preserve"> </w:t>
      </w:r>
      <w:r>
        <w:t xml:space="preserve">The two are not required to correspond and neither is derived from the other. Never</w:t>
      </w:r>
      <w:r>
        <w:t xml:space="preserve"> </w:t>
      </w:r>
      <w:r>
        <w:rPr>
          <w:rStyle w:val="VerbatimChar"/>
        </w:rPr>
        <w:t xml:space="preserve">first_name</w:t>
      </w:r>
      <w:r>
        <w:t xml:space="preserve">/</w:t>
      </w:r>
      <w:r>
        <w:rPr>
          <w:rStyle w:val="VerbatimChar"/>
        </w:rPr>
        <w:t xml:space="preserve">last_name</w:t>
      </w:r>
      <w:r>
        <w:t xml:space="preserve"> </w:t>
      </w:r>
      <w:r>
        <w:t xml:space="preserve">as the sole model. Never auto-transliterate. Never force an owner to have a surname.</w:t>
      </w:r>
    </w:p>
    <w:p>
      <w:pPr>
        <w:pStyle w:val="BodyText"/>
      </w:pPr>
      <w:r>
        <w:t xml:space="preserve">Test: a client named</w:t>
      </w:r>
      <w:r>
        <w:t xml:space="preserve"> </w:t>
      </w:r>
      <w:r>
        <w:rPr>
          <w:rStyle w:val="VerbatimChar"/>
        </w:rPr>
        <w:t xml:space="preserve">محمد عبدالله سعيد الغامدي</w:t>
      </w:r>
      <w:r>
        <w:t xml:space="preserve"> </w:t>
      </w:r>
      <w:r>
        <w:t xml:space="preserve">with Latin</w:t>
      </w:r>
      <w:r>
        <w:t xml:space="preserve"> </w:t>
      </w:r>
      <w:r>
        <w:rPr>
          <w:rStyle w:val="VerbatimChar"/>
        </w:rPr>
        <w:t xml:space="preserve">Mohammed Abdullah Saeed Alghamdi</w:t>
      </w:r>
      <w:r>
        <w:t xml:space="preserve"> </w:t>
      </w:r>
      <w:r>
        <w:t xml:space="preserve">is findable by</w:t>
      </w:r>
      <w:r>
        <w:t xml:space="preserve"> </w:t>
      </w:r>
      <w:r>
        <w:rPr>
          <w:rStyle w:val="VerbatimChar"/>
        </w:rPr>
        <w:t xml:space="preserve">الغامدي</w:t>
      </w:r>
      <w:r>
        <w:t xml:space="preserve">,</w:t>
      </w:r>
      <w:r>
        <w:t xml:space="preserve"> </w:t>
      </w:r>
      <w:r>
        <w:rPr>
          <w:rStyle w:val="VerbatimChar"/>
        </w:rPr>
        <w:t xml:space="preserve">الغامدى</w:t>
      </w:r>
      <w:r>
        <w:t xml:space="preserve">,</w:t>
      </w:r>
      <w:r>
        <w:t xml:space="preserve"> </w:t>
      </w:r>
      <w:r>
        <w:rPr>
          <w:rStyle w:val="VerbatimChar"/>
        </w:rPr>
        <w:t xml:space="preserve">غامدي</w:t>
      </w:r>
      <w:r>
        <w:t xml:space="preserve">,</w:t>
      </w:r>
      <w:r>
        <w:t xml:space="preserve"> </w:t>
      </w:r>
      <w:r>
        <w:rPr>
          <w:rStyle w:val="VerbatimChar"/>
        </w:rPr>
        <w:t xml:space="preserve">Alghamdi</w:t>
      </w:r>
      <w:r>
        <w:t xml:space="preserve">,</w:t>
      </w:r>
      <w:r>
        <w:t xml:space="preserve"> </w:t>
      </w:r>
      <w:r>
        <w:rPr>
          <w:rStyle w:val="VerbatimChar"/>
        </w:rPr>
        <w:t xml:space="preserve">Al-Ghamdi</w:t>
      </w:r>
      <w:r>
        <w:t xml:space="preserve">,</w:t>
      </w:r>
      <w:r>
        <w:t xml:space="preserve"> </w:t>
      </w:r>
      <w:r>
        <w:rPr>
          <w:rStyle w:val="VerbatimChar"/>
        </w:rPr>
        <w:t xml:space="preserve">alghamdi</w:t>
      </w:r>
      <w:r>
        <w:t xml:space="preserve">, and by the last four digits of their mobile.</w:t>
      </w:r>
    </w:p>
    <w:bookmarkEnd w:id="61"/>
    <w:bookmarkStart w:id="62" w:name="search-across-mixed-script-records"/>
    <w:p>
      <w:pPr>
        <w:pStyle w:val="Heading3"/>
      </w:pPr>
      <w:r>
        <w:t xml:space="preserve">Search across mixed-script records</w:t>
      </w:r>
    </w:p>
    <w:p>
      <w:pPr>
        <w:pStyle w:val="FirstParagraph"/>
      </w:pPr>
      <w:r>
        <w:rPr>
          <w:rStyle w:val="VerbatimChar"/>
        </w:rPr>
        <w:t xml:space="preserve">X-061</w:t>
      </w:r>
      <w:r>
        <w:t xml:space="preserve"> </w:t>
      </w:r>
      <w:r>
        <w:t xml:space="preserve">—</w:t>
      </w:r>
      <w:r>
        <w:t xml:space="preserve"> </w:t>
      </w:r>
      <w:r>
        <w:rPr>
          <w:bCs/>
          <w:b/>
        </w:rPr>
        <w:t xml:space="preserve">Normalisation pipeline</w:t>
      </w:r>
      <w:r>
        <w:t xml:space="preserve"> </w:t>
      </w:r>
      <w:r>
        <w:t xml:space="preserve">applied to indexed Arabic text and Arabic queries: alef variants folded (</w:t>
      </w:r>
      <w:r>
        <w:rPr>
          <w:rStyle w:val="VerbatimChar"/>
        </w:rPr>
        <w:t xml:space="preserve">أ إ آ ٱ → ا</w:t>
      </w:r>
      <w:r>
        <w:t xml:space="preserve">); ta marbuta ↔ ha; alef maqsura ↔ ya; tatweel stripped; diacritics stripped; presentation forms normalised to NFC; Hindi-Arabic digits folded to ASCII in the index.</w:t>
      </w:r>
    </w:p>
    <w:p>
      <w:pPr>
        <w:pStyle w:val="BodyText"/>
      </w:pPr>
      <w:r>
        <w:rPr>
          <w:rStyle w:val="VerbatimChar"/>
        </w:rPr>
        <w:t xml:space="preserve">X-062</w:t>
      </w:r>
      <w:r>
        <w:t xml:space="preserve"> </w:t>
      </w:r>
      <w:r>
        <w:t xml:space="preserve">—</w:t>
      </w:r>
      <w:r>
        <w:t xml:space="preserve"> </w:t>
      </w:r>
      <w:r>
        <w:rPr>
          <w:bCs/>
          <w:b/>
        </w:rPr>
        <w:t xml:space="preserve">A bilingual synonym ring for the formulary</w:t>
      </w:r>
      <w:r>
        <w:t xml:space="preserve">: a query for</w:t>
      </w:r>
      <w:r>
        <w:t xml:space="preserve"> </w:t>
      </w:r>
      <w:r>
        <w:rPr>
          <w:rStyle w:val="VerbatimChar"/>
        </w:rPr>
        <w:t xml:space="preserve">amox</w:t>
      </w:r>
      <w:r>
        <w:t xml:space="preserve"> </w:t>
      </w:r>
      <w:r>
        <w:t xml:space="preserve">matches</w:t>
      </w:r>
      <w:r>
        <w:t xml:space="preserve"> </w:t>
      </w:r>
      <w:r>
        <w:rPr>
          <w:rStyle w:val="VerbatimChar"/>
        </w:rPr>
        <w:t xml:space="preserve">Amoxicillin</w:t>
      </w:r>
      <w:r>
        <w:t xml:space="preserve">,</w:t>
      </w:r>
      <w:r>
        <w:t xml:space="preserve"> </w:t>
      </w:r>
      <w:r>
        <w:rPr>
          <w:rStyle w:val="VerbatimChar"/>
        </w:rPr>
        <w:t xml:space="preserve">أموكسيسيلين</w:t>
      </w:r>
      <w:r>
        <w:t xml:space="preserve"> </w:t>
      </w:r>
      <w:r>
        <w:t xml:space="preserve">and any registered brand name, and the reverse. Same for species, breeds and common clinical terms.</w:t>
      </w:r>
    </w:p>
    <w:p>
      <w:pPr>
        <w:pStyle w:val="BodyText"/>
      </w:pPr>
      <w:r>
        <w:rPr>
          <w:rStyle w:val="VerbatimChar"/>
        </w:rPr>
        <w:t xml:space="preserve">X-063</w:t>
      </w:r>
      <w:r>
        <w:t xml:space="preserve"> </w:t>
      </w:r>
      <w:r>
        <w:t xml:space="preserve">—</w:t>
      </w:r>
      <w:r>
        <w:t xml:space="preserve"> </w:t>
      </w:r>
      <w:r>
        <w:rPr>
          <w:bCs/>
          <w:b/>
        </w:rPr>
        <w:t xml:space="preserve">Registered legal identifiers are excluded from normalisation</w:t>
      </w:r>
      <w:r>
        <w:t xml:space="preserve"> </w:t>
      </w:r>
      <w:r>
        <w:t xml:space="preserve">— clinic legal name as registered with ZATCA, VAT number, CR number, licence numbers — and are matched and rendered verbatim.</w:t>
      </w:r>
    </w:p>
    <w:bookmarkEnd w:id="62"/>
    <w:bookmarkStart w:id="63" w:name="rtl-layout-mirroring"/>
    <w:p>
      <w:pPr>
        <w:pStyle w:val="Heading3"/>
      </w:pPr>
      <w:r>
        <w:t xml:space="preserve">RTL layout mirroring</w:t>
      </w:r>
    </w:p>
    <w:p>
      <w:pPr>
        <w:pStyle w:val="FirstParagraph"/>
      </w:pPr>
      <w:r>
        <w:rPr>
          <w:rStyle w:val="VerbatimChar"/>
        </w:rPr>
        <w:t xml:space="preserve">X-064</w:t>
      </w:r>
      <w:r>
        <w:t xml:space="preserve"> </w:t>
      </w:r>
      <w:r>
        <w:t xml:space="preserve">—</w:t>
      </w:r>
      <w:r>
        <w:t xml:space="preserve"> </w:t>
      </w:r>
      <w:r>
        <w:rPr>
          <w:bCs/>
          <w:b/>
        </w:rPr>
        <w:t xml:space="preserve">Mirror</w:t>
      </w:r>
      <w:r>
        <w:t xml:space="preserve">: page flow and reading order, navigation, back/forward affordances, progress indicators, list chevrons, label/field relationships, table column order, and all spacing via logical properties (</w:t>
      </w:r>
      <w:r>
        <w:rPr>
          <w:rStyle w:val="VerbatimChar"/>
        </w:rPr>
        <w:t xml:space="preserve">inline-start</w:t>
      </w:r>
      <w:r>
        <w:t xml:space="preserve">/</w:t>
      </w:r>
      <w:r>
        <w:rPr>
          <w:rStyle w:val="VerbatimChar"/>
        </w:rPr>
        <w:t xml:space="preserve">inline-end</w:t>
      </w:r>
      <w:r>
        <w:t xml:space="preserve">, never</w:t>
      </w:r>
      <w:r>
        <w:t xml:space="preserve"> </w:t>
      </w:r>
      <w:r>
        <w:rPr>
          <w:rStyle w:val="VerbatimChar"/>
        </w:rPr>
        <w:t xml:space="preserve">left</w:t>
      </w:r>
      <w:r>
        <w:t xml:space="preserve">/</w:t>
      </w:r>
      <w:r>
        <w:rPr>
          <w:rStyle w:val="VerbatimChar"/>
        </w:rPr>
        <w:t xml:space="preserve">right</w:t>
      </w:r>
      <w:r>
        <w:t xml:space="preserve">).</w:t>
      </w:r>
    </w:p>
    <w:p>
      <w:pPr>
        <w:pStyle w:val="BodyText"/>
      </w:pPr>
      <w:r>
        <w:rPr>
          <w:rStyle w:val="VerbatimChar"/>
        </w:rPr>
        <w:t xml:space="preserve">X-065</w:t>
      </w:r>
      <w:r>
        <w:t xml:space="preserve"> </w:t>
      </w:r>
      <w:r>
        <w:t xml:space="preserve">—</w:t>
      </w:r>
      <w:r>
        <w:t xml:space="preserve"> </w:t>
      </w:r>
      <w:r>
        <w:rPr>
          <w:bCs/>
          <w:b/>
        </w:rPr>
        <w:t xml:space="preserve">Do not mirror</w:t>
      </w:r>
      <w:r>
        <w:t xml:space="preserve">: the ZATCA QR code · barcodes · clinical images and radiographs · anatomical diagrams and body-condition charts · media controls · phone numbers · Latin drug names · dose expressions · and</w:t>
      </w:r>
      <w:r>
        <w:t xml:space="preserve"> </w:t>
      </w:r>
      <w:r>
        <w:rPr>
          <w:bCs/>
          <w:b/>
        </w:rPr>
        <w:t xml:space="preserve">time-series clinical charts, whose x-axis remains left→right</w:t>
      </w:r>
      <w:r>
        <w:t xml:space="preserve">.</w:t>
      </w:r>
      <w:r>
        <w:t xml:space="preserve"> </w:t>
      </w:r>
      <w:r>
        <w:rPr>
          <w:rStyle w:val="VerbatimChar"/>
        </w:rPr>
        <w:t xml:space="preserve">[DESIGN POSITION]</w:t>
      </w:r>
      <w:r>
        <w:t xml:space="preserve"> </w:t>
      </w:r>
      <w:r>
        <w:t xml:space="preserve">The left-to-right convention is universal in clinical literature; mirroring a weight or temperature trend invites misreading, which is a patient-safety issue rather than a layout preference.</w:t>
      </w:r>
    </w:p>
    <w:p>
      <w:pPr>
        <w:pStyle w:val="BodyText"/>
      </w:pPr>
      <w:r>
        <w:rPr>
          <w:bCs/>
          <w:b/>
        </w:rPr>
        <w:t xml:space="preserve">Every non-mirrored element is a documented exception with a stated reason. "We forgot" is not a permitted reason.</w:t>
      </w:r>
    </w:p>
    <w:bookmarkEnd w:id="63"/>
    <w:bookmarkStart w:id="64" w:name="printed-and-pdf-output"/>
    <w:p>
      <w:pPr>
        <w:pStyle w:val="Heading3"/>
      </w:pPr>
      <w:r>
        <w:t xml:space="preserve">Printed and PDF output</w:t>
      </w:r>
    </w:p>
    <w:p>
      <w:pPr>
        <w:pStyle w:val="FirstParagraph"/>
      </w:pPr>
      <w:r>
        <w:rPr>
          <w:rStyle w:val="VerbatimChar"/>
        </w:rPr>
        <w:t xml:space="preserve">X-066</w:t>
      </w:r>
      <w:r>
        <w:t xml:space="preserve"> </w:t>
      </w:r>
      <w:r>
        <w:t xml:space="preserve">—</w:t>
      </w:r>
      <w:r>
        <w:t xml:space="preserve"> </w:t>
      </w:r>
      <w:r>
        <w:rPr>
          <w:bCs/>
          <w:b/>
        </w:rPr>
        <w:t xml:space="preserve">Arabic fonts are embedded in every PDF.</w:t>
      </w:r>
      <w:r>
        <w:t xml:space="preserve"> </w:t>
      </w:r>
      <w:r>
        <w:t xml:space="preserve">No substitution, no system-font dependence. Shaping is applied at generation, not left to the viewer.</w:t>
      </w:r>
    </w:p>
    <w:p>
      <w:pPr>
        <w:pStyle w:val="BodyText"/>
      </w:pPr>
      <w:r>
        <w:rPr>
          <w:rStyle w:val="VerbatimChar"/>
        </w:rPr>
        <w:t xml:space="preserve">X-067</w:t>
      </w:r>
      <w:r>
        <w:t xml:space="preserve"> </w:t>
      </w:r>
      <w:r>
        <w:t xml:space="preserve">—</w:t>
      </w:r>
      <w:r>
        <w:t xml:space="preserve"> </w:t>
      </w:r>
      <w:r>
        <w:rPr>
          <w:bCs/>
          <w:b/>
        </w:rPr>
        <w:t xml:space="preserve">Text extracted from the PDF returns logical order, not visual order.</w:t>
      </w:r>
      <w:r>
        <w:t xml:space="preserve"> </w:t>
      </w:r>
      <w:r>
        <w:t xml:space="preserve">This is what makes the evidence pack machine-checkable and is a hard requirement.</w:t>
      </w:r>
    </w:p>
    <w:p>
      <w:pPr>
        <w:pStyle w:val="BodyText"/>
      </w:pPr>
      <w:r>
        <w:rPr>
          <w:rStyle w:val="VerbatimChar"/>
        </w:rPr>
        <w:t xml:space="preserve">X-068</w:t>
      </w:r>
      <w:r>
        <w:t xml:space="preserve"> </w:t>
      </w:r>
      <w:r>
        <w:t xml:space="preserve">—</w:t>
      </w:r>
      <w:r>
        <w:t xml:space="preserve"> </w:t>
      </w:r>
      <w:r>
        <w:rPr>
          <w:bCs/>
          <w:b/>
        </w:rPr>
        <w:t xml:space="preserve">Label printing handles Arabic shaping and line-breaking on narrow thermal media.</w:t>
      </w:r>
      <w:r>
        <w:t xml:space="preserve"> </w:t>
      </w:r>
      <w:r>
        <w:t xml:space="preserve">Arabic is never rendered as an image on a dispensing label unless the printer genuinely cannot do otherwise, and where it is, the record retains the text form.</w:t>
      </w:r>
    </w:p>
    <w:bookmarkEnd w:id="64"/>
    <w:bookmarkStart w:id="65" w:name="input-method-reality"/>
    <w:p>
      <w:pPr>
        <w:pStyle w:val="Heading3"/>
      </w:pPr>
      <w:r>
        <w:t xml:space="preserve">Input-method reality</w:t>
      </w:r>
    </w:p>
    <w:p>
      <w:pPr>
        <w:pStyle w:val="FirstParagraph"/>
      </w:pPr>
      <w:r>
        <w:rPr>
          <w:rStyle w:val="VerbatimChar"/>
        </w:rPr>
        <w:t xml:space="preserve">[DESIGN POSITION] X-069</w:t>
      </w:r>
      <w:r>
        <w:t xml:space="preserve"> </w:t>
      </w:r>
      <w:r>
        <w:t xml:space="preserve">—</w:t>
      </w:r>
      <w:r>
        <w:t xml:space="preserve"> </w:t>
      </w:r>
      <w:r>
        <w:rPr>
          <w:bCs/>
          <w:b/>
        </w:rPr>
        <w:t xml:space="preserve">The formulary field auto-switches to Latin-tolerant, transliteration-tolerant matching even when the device keyboard is Arabic</w:t>
      </w:r>
      <w:r>
        <w:t xml:space="preserve"> </w:t>
      </w:r>
      <w:r>
        <w:t xml:space="preserve">(</w:t>
      </w:r>
      <w:r>
        <w:rPr>
          <w:rStyle w:val="VerbatimChar"/>
        </w:rPr>
        <w:t xml:space="preserve">أموكس</w:t>
      </w:r>
      <w:r>
        <w:t xml:space="preserve"> </w:t>
      </w:r>
      <w:r>
        <w:t xml:space="preserve">→</w:t>
      </w:r>
      <w:r>
        <w:t xml:space="preserve"> </w:t>
      </w:r>
      <w:r>
        <w:rPr>
          <w:rStyle w:val="VerbatimChar"/>
        </w:rPr>
        <w:t xml:space="preserve">Amoxicillin</w:t>
      </w:r>
      <w:r>
        <w:t xml:space="preserve">), so a nurse never has to switch layouts mid-thought.</w:t>
      </w:r>
    </w:p>
    <w:bookmarkEnd w:id="65"/>
    <w:bookmarkEnd w:id="66"/>
    <w:bookmarkStart w:id="67" w:name="s46-mobile-and-in-consult-ergonomics"/>
    <w:p>
      <w:pPr>
        <w:pStyle w:val="Heading2"/>
      </w:pPr>
      <w:r>
        <w:t xml:space="preserve">S4.6 Mobile and in-consult ergonomics</w:t>
      </w:r>
    </w:p>
    <w:p>
      <w:pPr>
        <w:pStyle w:val="FirstParagraph"/>
      </w:pPr>
      <w:r>
        <w:rPr>
          <w:bCs/>
          <w:b/>
        </w:rPr>
        <w:t xml:space="preserve">The physical situation:</w:t>
      </w:r>
      <w:r>
        <w:t xml:space="preserve"> </w:t>
      </w:r>
      <w:r>
        <w:t xml:space="preserve">vet standing, gloved, animal on a table under partial restraint, one hand occupied, ambient noise, a phone in a pocket or a tablet on a wall mount.</w:t>
      </w:r>
      <w:r>
        <w:t xml:space="preserve"> </w:t>
      </w:r>
      <w:r>
        <w:rPr>
          <w:bCs/>
          <w:b/>
        </w:rPr>
        <w:t xml:space="preserve">Assume one thumb, imprecise touch, interrupted attention, and no reliable moment to type prose.</w:t>
      </w:r>
    </w:p>
    <w:p>
      <w:pPr>
        <w:pStyle w:val="BodyText"/>
      </w:pPr>
      <w:r>
        <w:rPr>
          <w:rStyle w:val="VerbatimChar"/>
        </w:rPr>
        <w:t xml:space="preserve">X-070</w:t>
      </w:r>
      <w:r>
        <w:t xml:space="preserve"> </w:t>
      </w:r>
      <w:r>
        <w:t xml:space="preserve">—</w:t>
      </w:r>
      <w:r>
        <w:t xml:space="preserve"> </w:t>
      </w:r>
      <w:r>
        <w:rPr>
          <w:bCs/>
          <w:b/>
        </w:rPr>
        <w:t xml:space="preserve">Tap-first, type-last.</w:t>
      </w:r>
      <w:r>
        <w:t xml:space="preserve"> </w:t>
      </w:r>
      <w:r>
        <w:t xml:space="preserve">Normal-findings-by-exception; last-visit values as one-tap defaults; per-vet favourite protocols.</w:t>
      </w:r>
    </w:p>
    <w:p>
      <w:pPr>
        <w:pStyle w:val="BodyText"/>
      </w:pPr>
      <w:r>
        <w:rPr>
          <w:rStyle w:val="VerbatimChar"/>
        </w:rPr>
        <w:t xml:space="preserve">X-071</w:t>
      </w:r>
      <w:r>
        <w:t xml:space="preserve"> </w:t>
      </w:r>
      <w:r>
        <w:t xml:space="preserve">—</w:t>
      </w:r>
      <w:r>
        <w:t xml:space="preserve"> </w:t>
      </w:r>
      <w:r>
        <w:rPr>
          <w:bCs/>
          <w:b/>
        </w:rPr>
        <w:t xml:space="preserve">Touch targets ≥ 56 CSS px</w:t>
      </w:r>
      <w:r>
        <w:t xml:space="preserve"> </w:t>
      </w:r>
      <w:r>
        <w:t xml:space="preserve">on any in-consult surface, ≥ 12 px separation, and</w:t>
      </w:r>
      <w:r>
        <w:t xml:space="preserve"> </w:t>
      </w:r>
      <w:r>
        <w:rPr>
          <w:bCs/>
          <w:b/>
        </w:rPr>
        <w:t xml:space="preserve">no destructive action within 24 px of a frequent action</w:t>
      </w:r>
      <w:r>
        <w:t xml:space="preserve">.</w:t>
      </w:r>
    </w:p>
    <w:p>
      <w:pPr>
        <w:pStyle w:val="BodyText"/>
      </w:pPr>
      <w:r>
        <w:rPr>
          <w:rStyle w:val="VerbatimChar"/>
        </w:rPr>
        <w:t xml:space="preserve">X-072</w:t>
      </w:r>
      <w:r>
        <w:t xml:space="preserve"> </w:t>
      </w:r>
      <w:r>
        <w:t xml:space="preserve">—</w:t>
      </w:r>
      <w:r>
        <w:t xml:space="preserve"> </w:t>
      </w:r>
      <w:r>
        <w:rPr>
          <w:bCs/>
          <w:b/>
        </w:rPr>
        <w:t xml:space="preserve">No precise cursor positioning is ever required.</w:t>
      </w:r>
      <w:r>
        <w:t xml:space="preserve"> </w:t>
      </w:r>
      <w:r>
        <w:t xml:space="preserve">No drag-to-reorder, no slider for a clinical value, no small corner close-button.</w:t>
      </w:r>
    </w:p>
    <w:p>
      <w:pPr>
        <w:pStyle w:val="BodyText"/>
      </w:pPr>
      <w:r>
        <w:rPr>
          <w:rStyle w:val="VerbatimChar"/>
        </w:rPr>
        <w:t xml:space="preserve">X-073</w:t>
      </w:r>
      <w:r>
        <w:t xml:space="preserve"> </w:t>
      </w:r>
      <w:r>
        <w:t xml:space="preserve">—</w:t>
      </w:r>
      <w:r>
        <w:t xml:space="preserve"> </w:t>
      </w:r>
      <w:r>
        <w:rPr>
          <w:bCs/>
          <w:b/>
        </w:rPr>
        <w:t xml:space="preserve">Numeric entry uses a large numeric pad</w:t>
      </w:r>
      <w:r>
        <w:t xml:space="preserve">, not the device keyboard, for weight, dose and temperature.</w:t>
      </w:r>
    </w:p>
    <w:p>
      <w:pPr>
        <w:pStyle w:val="BodyText"/>
      </w:pPr>
      <w:r>
        <w:rPr>
          <w:rStyle w:val="VerbatimChar"/>
        </w:rPr>
        <w:t xml:space="preserve">X-074</w:t>
      </w:r>
      <w:r>
        <w:t xml:space="preserve"> </w:t>
      </w:r>
      <w:r>
        <w:t xml:space="preserve">—</w:t>
      </w:r>
      <w:r>
        <w:t xml:space="preserve"> </w:t>
      </w:r>
      <w:r>
        <w:rPr>
          <w:bCs/>
          <w:b/>
        </w:rPr>
        <w:t xml:space="preserve">Photo capture is one tap from the encounter</w:t>
      </w:r>
      <w:r>
        <w:t xml:space="preserve">, attaching with orientation, timestamp and author. After weight, this is the fastest action in the product — photographs are the highest-value, lowest-friction clinical data a gloved vet can produce.</w:t>
      </w:r>
    </w:p>
    <w:p>
      <w:pPr>
        <w:pStyle w:val="BodyText"/>
      </w:pPr>
      <w:r>
        <w:rPr>
          <w:rStyle w:val="VerbatimChar"/>
        </w:rPr>
        <w:t xml:space="preserve">X-075</w:t>
      </w:r>
      <w:r>
        <w:t xml:space="preserve"> </w:t>
      </w:r>
      <w:r>
        <w:t xml:space="preserve">—</w:t>
      </w:r>
      <w:r>
        <w:t xml:space="preserve"> </w:t>
      </w:r>
      <w:r>
        <w:rPr>
          <w:bCs/>
          <w:b/>
        </w:rPr>
        <w:t xml:space="preserve">Dictation is optional and never auto-commits.</w:t>
      </w:r>
      <w:r>
        <w:t xml:space="preserve"> </w:t>
      </w:r>
      <w:r>
        <w:t xml:space="preserve">Transcribed text lands in the draft flagged</w:t>
      </w:r>
      <w:r>
        <w:t xml:space="preserve"> </w:t>
      </w:r>
      <w:r>
        <w:rPr>
          <w:rStyle w:val="VerbatimChar"/>
        </w:rPr>
        <w:t xml:space="preserve">unverified transcription</w:t>
      </w:r>
      <w:r>
        <w:t xml:space="preserve"> </w:t>
      </w:r>
      <w:r>
        <w:t xml:space="preserve">and must be cleared by the author before attestation.</w:t>
      </w:r>
      <w:r>
        <w:t xml:space="preserve"> </w:t>
      </w:r>
      <w:r>
        <w:rPr>
          <w:rStyle w:val="VerbatimChar"/>
        </w:rPr>
        <w:t xml:space="preserve">[EVIDENCE REQUIRED]</w:t>
      </w:r>
      <w:r>
        <w:t xml:space="preserve"> </w:t>
      </w:r>
      <w:r>
        <w:t xml:space="preserve">— Arabic and code-switched medical dictation accuracy. Until sourced, dictation is a convenience, never a dependency.</w:t>
      </w:r>
    </w:p>
    <w:p>
      <w:pPr>
        <w:pStyle w:val="BodyText"/>
      </w:pPr>
      <w:r>
        <w:rPr>
          <w:rStyle w:val="VerbatimChar"/>
        </w:rPr>
        <w:t xml:space="preserve">X-076</w:t>
      </w:r>
      <w:r>
        <w:t xml:space="preserve"> </w:t>
      </w:r>
      <w:r>
        <w:t xml:space="preserve">—</w:t>
      </w:r>
      <w:r>
        <w:t xml:space="preserve"> </w:t>
      </w:r>
      <w:r>
        <w:rPr>
          <w:bCs/>
          <w:b/>
        </w:rPr>
        <w:t xml:space="preserve">Autosave on every field blur and every 5 seconds of activity.</w:t>
      </w:r>
      <w:r>
        <w:t xml:space="preserve"> </w:t>
      </w:r>
      <w:r>
        <w:t xml:space="preserve">No Save button carries the risk of data loss.</w:t>
      </w:r>
    </w:p>
    <w:p>
      <w:pPr>
        <w:pStyle w:val="BodyText"/>
      </w:pPr>
      <w:r>
        <w:rPr>
          <w:rStyle w:val="VerbatimChar"/>
        </w:rPr>
        <w:t xml:space="preserve">[DESIGN POSITION] X-077</w:t>
      </w:r>
      <w:r>
        <w:t xml:space="preserve"> </w:t>
      </w:r>
      <w:r>
        <w:t xml:space="preserve">—</w:t>
      </w:r>
      <w:r>
        <w:t xml:space="preserve"> </w:t>
      </w:r>
      <w:r>
        <w:rPr>
          <w:bCs/>
          <w:b/>
        </w:rPr>
        <w:t xml:space="preserve">No full logout mid-encounter.</w:t>
      </w:r>
      <w:r>
        <w:t xml:space="preserve"> </w:t>
      </w:r>
      <w:r>
        <w:t xml:space="preserve">Inactivity triggers a</w:t>
      </w:r>
      <w:r>
        <w:t xml:space="preserve"> </w:t>
      </w:r>
      <w:r>
        <w:rPr>
          <w:bCs/>
          <w:b/>
        </w:rPr>
        <w:t xml:space="preserve">lock</w:t>
      </w:r>
      <w:r>
        <w:t xml:space="preserve"> </w:t>
      </w:r>
      <w:r>
        <w:t xml:space="preserve">with fast re-auth (biometric or 6-digit PIN), never a session termination. Rationale: forcing a full re-login mid-consult is the single largest driver of shared logins in clinical settings, and</w:t>
      </w:r>
      <w:r>
        <w:t xml:space="preserve"> </w:t>
      </w:r>
      <w:r>
        <w:rPr>
          <w:bCs/>
          <w:b/>
        </w:rPr>
        <w:t xml:space="preserve">shared logins destroy attribution, which destroys the evidence the product exists to produce.</w:t>
      </w:r>
      <w:r>
        <w:t xml:space="preserve"> </w:t>
      </w:r>
      <w:r>
        <w:t xml:space="preserve">Security is preserved by short lock timeouts and fast re-auth.</w:t>
      </w:r>
    </w:p>
    <w:p>
      <w:pPr>
        <w:pStyle w:val="BodyText"/>
      </w:pPr>
      <w:r>
        <w:rPr>
          <w:rStyle w:val="VerbatimChar"/>
        </w:rPr>
        <w:t xml:space="preserve">X-078</w:t>
      </w:r>
      <w:r>
        <w:t xml:space="preserve"> </w:t>
      </w:r>
      <w:r>
        <w:t xml:space="preserve">—</w:t>
      </w:r>
      <w:r>
        <w:t xml:space="preserve"> </w:t>
      </w:r>
      <w:r>
        <w:rPr>
          <w:bCs/>
          <w:b/>
        </w:rPr>
        <w:t xml:space="preserve">Fast user switching on the same device</w:t>
      </w:r>
      <w:r>
        <w:t xml:space="preserve">: a second vet can attest their own work without the first losing their draft.</w:t>
      </w:r>
    </w:p>
    <w:p>
      <w:pPr>
        <w:pStyle w:val="BodyText"/>
      </w:pPr>
      <w:r>
        <w:rPr>
          <w:rStyle w:val="VerbatimChar"/>
        </w:rPr>
        <w:t xml:space="preserve">X-079</w:t>
      </w:r>
      <w:r>
        <w:t xml:space="preserve"> </w:t>
      </w:r>
      <w:r>
        <w:t xml:space="preserve">—</w:t>
      </w:r>
      <w:r>
        <w:t xml:space="preserve"> </w:t>
      </w:r>
      <w:r>
        <w:rPr>
          <w:bCs/>
          <w:b/>
        </w:rPr>
        <w:t xml:space="preserve">Reference device is a mid-range Android phone on a mobile network</w:t>
      </w:r>
      <w:r>
        <w:t xml:space="preserve">, not an iPad on wifi. The principal's compliance view is phone-first, because that is where journey (e) actually happens.</w:t>
      </w:r>
    </w:p>
    <w:bookmarkEnd w:id="67"/>
    <w:bookmarkStart w:id="68" w:name="X53d3adfbe871d67aee33557702e31b4b3404feb"/>
    <w:p>
      <w:pPr>
        <w:pStyle w:val="Heading2"/>
      </w:pPr>
      <w:r>
        <w:t xml:space="preserve">S4.7 Degraded operation and reconciliation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Capability</w:t>
            </w:r>
          </w:p>
        </w:tc>
        <w:tc>
          <w:tcPr/>
          <w:p>
            <w:pPr>
              <w:pStyle w:val="Compact"/>
              <w:jc w:val="left"/>
            </w:pPr>
            <w:r>
              <w:t xml:space="preserve">T0 online</w:t>
            </w:r>
          </w:p>
        </w:tc>
        <w:tc>
          <w:tcPr/>
          <w:p>
            <w:pPr>
              <w:pStyle w:val="Compact"/>
              <w:jc w:val="left"/>
            </w:pPr>
            <w:r>
              <w:t xml:space="preserve">T1 degraded</w:t>
            </w:r>
          </w:p>
        </w:tc>
        <w:tc>
          <w:tcPr/>
          <w:p>
            <w:pPr>
              <w:pStyle w:val="Compact"/>
              <w:jc w:val="left"/>
            </w:pPr>
            <w:r>
              <w:t xml:space="preserve">T2 read-only</w:t>
            </w:r>
          </w:p>
        </w:tc>
        <w:tc>
          <w:tcPr/>
          <w:p>
            <w:pPr>
              <w:pStyle w:val="Compact"/>
              <w:jc w:val="left"/>
            </w:pPr>
            <w:r>
              <w:t xml:space="preserve">T3 break-glass</w:t>
            </w:r>
          </w:p>
        </w:tc>
      </w:tr>
      <w:tr>
        <w:tc>
          <w:tcPr/>
          <w:p>
            <w:pPr>
              <w:pStyle w:val="Compact"/>
              <w:jc w:val="left"/>
            </w:pPr>
            <w:r>
              <w:t xml:space="preserve">View patient history</w:t>
            </w:r>
          </w:p>
        </w:tc>
        <w:tc>
          <w:tcPr/>
          <w:p>
            <w:pPr>
              <w:pStyle w:val="Compact"/>
              <w:jc w:val="left"/>
            </w:pPr>
            <w:r>
              <w:t xml:space="preserve">✅</w:t>
            </w:r>
          </w:p>
        </w:tc>
        <w:tc>
          <w:tcPr/>
          <w:p>
            <w:pPr>
              <w:pStyle w:val="Compact"/>
              <w:jc w:val="left"/>
            </w:pPr>
            <w:r>
              <w:t xml:space="preserve">✅ cached</w:t>
            </w:r>
          </w:p>
        </w:tc>
        <w:tc>
          <w:tcPr/>
          <w:p>
            <w:pPr>
              <w:pStyle w:val="Compact"/>
              <w:jc w:val="left"/>
            </w:pPr>
            <w:r>
              <w:t xml:space="preserve">✅ cached</w:t>
            </w:r>
          </w:p>
        </w:tc>
        <w:tc>
          <w:tcPr/>
          <w:p>
            <w:pPr>
              <w:pStyle w:val="Compact"/>
              <w:jc w:val="left"/>
            </w:pPr>
            <w:r>
              <w:t xml:space="preserve">✅ minimum set</w:t>
            </w:r>
          </w:p>
        </w:tc>
      </w:tr>
      <w:tr>
        <w:tc>
          <w:tcPr/>
          <w:p>
            <w:pPr>
              <w:pStyle w:val="Compact"/>
              <w:jc w:val="left"/>
            </w:pPr>
            <w:r>
              <w:t xml:space="preserve">Record consultation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Prescribe with interlocks</w:t>
            </w:r>
          </w:p>
        </w:tc>
        <w:tc>
          <w:tcPr/>
          <w:p>
            <w:pPr>
              <w:pStyle w:val="Compact"/>
              <w:jc w:val="left"/>
            </w:pPr>
            <w:r>
              <w:t xml:space="preserve">✅</w:t>
            </w:r>
          </w:p>
        </w:tc>
        <w:tc>
          <w:tcPr/>
          <w:p>
            <w:pPr>
              <w:pStyle w:val="Compact"/>
              <w:jc w:val="left"/>
            </w:pPr>
            <w:r>
              <w:t xml:space="preserve">✅ local formulary + local history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Dispense, label, stock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Controlled dispense</w:t>
            </w:r>
          </w:p>
        </w:tc>
        <w:tc>
          <w:tcPr/>
          <w:p>
            <w:pPr>
              <w:pStyle w:val="Compact"/>
              <w:jc w:val="left"/>
            </w:pPr>
            <w:r>
              <w:t xml:space="preserve">✅</w:t>
            </w:r>
          </w:p>
        </w:tc>
        <w:tc>
          <w:tcPr/>
          <w:p>
            <w:pPr>
              <w:pStyle w:val="Compact"/>
              <w:jc w:val="left"/>
            </w:pPr>
            <w:r>
              <w:t xml:space="preserve">✅ marked</w:t>
            </w:r>
            <w:r>
              <w:t xml:space="preserve"> </w:t>
            </w:r>
            <w:r>
              <w:rPr>
                <w:rStyle w:val="VerbatimChar"/>
              </w:rPr>
              <w:t xml:space="preserve">offline</w:t>
            </w:r>
            <w:r>
              <w:t xml:space="preserve">, two-person, principal review on sync</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Simplified (B2C) invoice</w:t>
            </w:r>
          </w:p>
        </w:tc>
        <w:tc>
          <w:tcPr/>
          <w:p>
            <w:pPr>
              <w:pStyle w:val="Compact"/>
              <w:jc w:val="left"/>
            </w:pPr>
            <w:r>
              <w:t xml:space="preserve">✅</w:t>
            </w:r>
          </w:p>
        </w:tc>
        <w:tc>
          <w:tcPr/>
          <w:p>
            <w:pPr>
              <w:pStyle w:val="Compact"/>
              <w:jc w:val="left"/>
            </w:pPr>
            <w:r>
              <w:t xml:space="preserve">✅ stamped locally, QR printed, reported within 24 h</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Standard (B2B) invoice</w:t>
            </w:r>
          </w:p>
        </w:tc>
        <w:tc>
          <w:tcPr/>
          <w:p>
            <w:pPr>
              <w:pStyle w:val="Compact"/>
              <w:jc w:val="left"/>
            </w:pPr>
            <w:r>
              <w:t xml:space="preserve">✅</w:t>
            </w:r>
          </w:p>
        </w:tc>
        <w:tc>
          <w:tcPr/>
          <w:p>
            <w:pPr>
              <w:pStyle w:val="Compact"/>
              <w:jc w:val="left"/>
            </w:pPr>
            <w:r>
              <w:t xml:space="preserve">— non-tax document path</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Raise notifiable suspicion</w:t>
            </w:r>
          </w:p>
        </w:tc>
        <w:tc>
          <w:tcPr/>
          <w:p>
            <w:pPr>
              <w:pStyle w:val="Compact"/>
              <w:jc w:val="left"/>
            </w:pPr>
            <w:r>
              <w:t xml:space="preserve">✅</w:t>
            </w:r>
          </w:p>
        </w:tc>
        <w:tc>
          <w:tcPr/>
          <w:p>
            <w:pPr>
              <w:pStyle w:val="Compact"/>
              <w:jc w:val="left"/>
            </w:pPr>
            <w:r>
              <w:t xml:space="preserve">✅ clock runs locally, transmission plainly</w:t>
            </w:r>
            <w:r>
              <w:t xml:space="preserve"> </w:t>
            </w:r>
            <w:r>
              <w:rPr>
                <w:iCs/>
                <w:i/>
              </w:rPr>
              <w:t xml:space="preserve">not</w:t>
            </w:r>
            <w:r>
              <w:t xml:space="preserve"> </w:t>
            </w:r>
            <w:r>
              <w:t xml:space="preserve">done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Submit notifiable report</w:t>
            </w:r>
          </w:p>
        </w:tc>
        <w:tc>
          <w:tcPr/>
          <w:p>
            <w:pPr>
              <w:pStyle w:val="Compact"/>
              <w:jc w:val="left"/>
            </w:pPr>
            <w:r>
              <w:t xml:space="preserve">✅</w:t>
            </w:r>
          </w:p>
        </w:tc>
        <w:tc>
          <w:tcPr/>
          <w:p>
            <w:pPr>
              <w:pStyle w:val="Compact"/>
              <w:jc w:val="left"/>
            </w:pPr>
            <w:r>
              <w:t xml:space="preserve">— queued + escalating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Evidence pack</w:t>
            </w:r>
          </w:p>
        </w:tc>
        <w:tc>
          <w:tcPr/>
          <w:p>
            <w:pPr>
              <w:pStyle w:val="Compact"/>
              <w:jc w:val="left"/>
            </w:pPr>
            <w:r>
              <w:t xml:space="preserve">✅</w:t>
            </w:r>
          </w:p>
        </w:tc>
        <w:tc>
          <w:tcPr/>
          <w:p>
            <w:pPr>
              <w:pStyle w:val="Compact"/>
              <w:jc w:val="left"/>
            </w:pPr>
            <w:r>
              <w:t xml:space="preserve">cached, watermarked</w:t>
            </w:r>
          </w:p>
        </w:tc>
        <w:tc>
          <w:tcPr/>
          <w:p>
            <w:pPr>
              <w:pStyle w:val="Compact"/>
              <w:jc w:val="left"/>
            </w:pPr>
            <w:r>
              <w:t xml:space="preserve">cached</w:t>
            </w:r>
          </w:p>
        </w:tc>
        <w:tc>
          <w:tcPr/>
          <w:p>
            <w:pPr>
              <w:pStyle w:val="Compact"/>
              <w:jc w:val="left"/>
            </w:pPr>
            <w:r>
              <w:t xml:space="preserve">—</w:t>
            </w:r>
          </w:p>
        </w:tc>
      </w:tr>
    </w:tbl>
    <w:p>
      <w:pPr>
        <w:pStyle w:val="BodyText"/>
      </w:pPr>
      <w:r>
        <w:rPr>
          <w:rStyle w:val="VerbatimChar"/>
        </w:rPr>
        <w:t xml:space="preserve">X-080</w:t>
      </w:r>
      <w:r>
        <w:t xml:space="preserve"> </w:t>
      </w:r>
      <w:r>
        <w:t xml:space="preserve">—</w:t>
      </w:r>
      <w:r>
        <w:t xml:space="preserve"> </w:t>
      </w:r>
      <w:r>
        <w:rPr>
          <w:bCs/>
          <w:b/>
        </w:rPr>
        <w:t xml:space="preserve">T3 break-glass exists because the prior build had no emergency access at all.</w:t>
      </w:r>
      <w:r>
        <w:t xml:space="preserve"> </w:t>
      </w:r>
      <w:r>
        <w:t xml:space="preserve">An out-of-role clinician obtains a</w:t>
      </w:r>
      <w:r>
        <w:t xml:space="preserve"> </w:t>
      </w:r>
      <w:r>
        <w:rPr>
          <w:bCs/>
          <w:b/>
        </w:rPr>
        <w:t xml:space="preserve">read-only, minimum-necessary</w:t>
      </w:r>
      <w:r>
        <w:t xml:space="preserve"> </w:t>
      </w:r>
      <w:r>
        <w:t xml:space="preserve">view of critical history (allergies, adverse reactions, current medications, chronic conditions, recent procedures); requires a typed reason; notifies the principal immediately; auto-expires in 60 minutes; is permanently and prominently logged.</w:t>
      </w:r>
      <w:r>
        <w:t xml:space="preserve"> </w:t>
      </w:r>
      <w:r>
        <w:rPr>
          <w:bCs/>
          <w:b/>
        </w:rPr>
        <w:t xml:space="preserve">It is never a write path.</w:t>
      </w:r>
    </w:p>
    <w:p>
      <w:pPr>
        <w:pStyle w:val="BodyText"/>
      </w:pPr>
      <w:r>
        <w:rPr>
          <w:rStyle w:val="VerbatimChar"/>
        </w:rPr>
        <w:t xml:space="preserve">X-081</w:t>
      </w:r>
      <w:r>
        <w:t xml:space="preserve"> </w:t>
      </w:r>
      <w:r>
        <w:t xml:space="preserve">—</w:t>
      </w:r>
      <w:r>
        <w:t xml:space="preserve"> </w:t>
      </w:r>
      <w:r>
        <w:rPr>
          <w:bCs/>
          <w:b/>
        </w:rPr>
        <w:t xml:space="preserve">The user is told about degradation once, quietly, and not again until state changes.</w:t>
      </w:r>
      <w:r>
        <w:t xml:space="preserve"> </w:t>
      </w:r>
      <w:r>
        <w:t xml:space="preserve">A persistent unobtrusive chip:</w:t>
      </w:r>
      <w:r>
        <w:t xml:space="preserve"> </w:t>
      </w:r>
      <w:r>
        <w:rPr>
          <w:rStyle w:val="VerbatimChar"/>
        </w:rPr>
        <w:t xml:space="preserve">يعمل دون اتصال — العمل محفوظ محلياً</w:t>
      </w:r>
      <w:r>
        <w:t xml:space="preserve">.</w:t>
      </w:r>
      <w:r>
        <w:t xml:space="preserve"> </w:t>
      </w:r>
      <w:r>
        <w:rPr>
          <w:bCs/>
          <w:b/>
        </w:rPr>
        <w:t xml:space="preserve">Nothing rolls back. No dialog blocks the consult</w:t>
      </w:r>
      <w:r>
        <w:t xml:space="preserve"> </w:t>
      </w:r>
      <w:r>
        <w:t xml:space="preserve">— a modal in front of a vet with an animal on the table is the most damaging degraded-mode failure there is.</w:t>
      </w:r>
    </w:p>
    <w:p>
      <w:pPr>
        <w:pStyle w:val="BodyText"/>
      </w:pPr>
      <w:r>
        <w:rPr>
          <w:rStyle w:val="VerbatimChar"/>
        </w:rPr>
        <w:t xml:space="preserve">X-082</w:t>
      </w:r>
      <w:r>
        <w:t xml:space="preserve"> </w:t>
      </w:r>
      <w:r>
        <w:t xml:space="preserve">—</w:t>
      </w:r>
      <w:r>
        <w:t xml:space="preserve"> </w:t>
      </w:r>
      <w:r>
        <w:rPr>
          <w:bCs/>
          <w:b/>
        </w:rPr>
        <w:t xml:space="preserve">Statutory clocks keep running offline and say so explicitly.</w:t>
      </w:r>
      <w:r>
        <w:t xml:space="preserve"> </w:t>
      </w:r>
      <w:r>
        <w:t xml:space="preserve">The product must never let a clinic believe a duty was discharged when it was not.</w:t>
      </w:r>
    </w:p>
    <w:p>
      <w:pPr>
        <w:pStyle w:val="BodyText"/>
      </w:pPr>
      <w:r>
        <w:rPr>
          <w:rStyle w:val="VerbatimChar"/>
        </w:rPr>
        <w:t xml:space="preserve">[DESIGN POSITION] X-083</w:t>
      </w:r>
      <w:r>
        <w:t xml:space="preserve"> </w:t>
      </w:r>
      <w:r>
        <w:t xml:space="preserve">—</w:t>
      </w:r>
      <w:r>
        <w:t xml:space="preserve"> </w:t>
      </w:r>
      <w:r>
        <w:rPr>
          <w:bCs/>
          <w:b/>
        </w:rPr>
        <w:t xml:space="preserve">Reconciliation is event-sourced and append-only. Never last-write-wins.</w:t>
      </w:r>
      <w:r>
        <w:t xml:space="preserve"> </w:t>
      </w:r>
      <w:r>
        <w:t xml:space="preserve">Stock and controlled balances reconcile by summing events, not comparing totals.</w:t>
      </w:r>
      <w:r>
        <w:t xml:space="preserve"> </w:t>
      </w:r>
      <w:r>
        <w:rPr>
          <w:bCs/>
          <w:b/>
        </w:rPr>
        <w:t xml:space="preserve">Clinical text conflicts are never auto-merged</w:t>
      </w:r>
      <w:r>
        <w:t xml:space="preserve"> </w:t>
      </w:r>
      <w:r>
        <w:t xml:space="preserve">— both versions are preserved, a visible divergence banner appears, and a named clinician resolves it with a recorded reason; the unchosen version is retained.</w:t>
      </w:r>
      <w:r>
        <w:t xml:space="preserve"> </w:t>
      </w:r>
      <w:r>
        <w:rPr>
          <w:bCs/>
          <w:b/>
        </w:rPr>
        <w:t xml:space="preserve">Attested records never conflict</w:t>
      </w:r>
      <w:r>
        <w:t xml:space="preserve"> </w:t>
      </w:r>
      <w:r>
        <w:t xml:space="preserve">because they are immutable — only drafts can diverge, which is the main structural reason for the draft/attested split.</w:t>
      </w:r>
      <w:r>
        <w:t xml:space="preserve"> </w:t>
      </w:r>
      <w:r>
        <w:rPr>
          <w:bCs/>
          <w:b/>
        </w:rPr>
        <w:t xml:space="preserve">Invoice chains never merge</w:t>
      </w:r>
      <w:r>
        <w:t xml:space="preserve">, because each device owns its own chain. Sync is resumable and idempotent: a phone reconnecting in a lift must not duplicate a dispense or an invoice.</w:t>
      </w:r>
    </w:p>
    <w:p>
      <w:pPr>
        <w:pStyle w:val="BodyText"/>
      </w:pPr>
      <w:r>
        <w:rPr>
          <w:rStyle w:val="VerbatimChar"/>
        </w:rPr>
        <w:t xml:space="preserve">X-084</w:t>
      </w:r>
      <w:r>
        <w:t xml:space="preserve"> </w:t>
      </w:r>
      <w:r>
        <w:t xml:space="preserve">—</w:t>
      </w:r>
      <w:r>
        <w:t xml:space="preserve"> </w:t>
      </w:r>
      <w:r>
        <w:rPr>
          <w:bCs/>
          <w:b/>
        </w:rPr>
        <w:t xml:space="preserve">A reconciliation report after every material sync</w:t>
      </w:r>
      <w:r>
        <w:t xml:space="preserve">: what synced, what conflicted, what is queued, what needs a human — delivered to the principal, not buried.</w:t>
      </w:r>
    </w:p>
    <w:bookmarkEnd w:id="68"/>
    <w:bookmarkStart w:id="69" w:name="s48-accessibility"/>
    <w:p>
      <w:pPr>
        <w:pStyle w:val="Heading2"/>
      </w:pPr>
      <w:r>
        <w:t xml:space="preserve">S4.8 Accessibility</w:t>
      </w:r>
    </w:p>
    <w:p>
      <w:pPr>
        <w:pStyle w:val="FirstParagraph"/>
      </w:pPr>
      <w:r>
        <w:rPr>
          <w:rStyle w:val="VerbatimChar"/>
        </w:rPr>
        <w:t xml:space="preserve">X-085</w:t>
      </w:r>
      <w:r>
        <w:t xml:space="preserve"> </w:t>
      </w:r>
      <w:r>
        <w:t xml:space="preserve">— WCAG 2.1 AA as the floor</w:t>
      </w:r>
      <w:r>
        <w:t xml:space="preserve"> </w:t>
      </w:r>
      <w:r>
        <w:rPr>
          <w:bCs/>
          <w:b/>
        </w:rPr>
        <w:t xml:space="preserve">in both language directions</w:t>
      </w:r>
      <w:r>
        <w:t xml:space="preserve">. An audit performed only in LTR is not an audit, and the RTL audit is performed by an Arabic-speaking auditor.</w:t>
      </w:r>
    </w:p>
    <w:p>
      <w:pPr>
        <w:pStyle w:val="BodyText"/>
      </w:pPr>
      <w:r>
        <w:rPr>
          <w:rStyle w:val="VerbatimChar"/>
        </w:rPr>
        <w:t xml:space="preserve">X-086</w:t>
      </w:r>
      <w:r>
        <w:t xml:space="preserve"> </w:t>
      </w:r>
      <w:r>
        <w:t xml:space="preserve">— Contrast ≥ 4.5:1 under clinic lighting;</w:t>
      </w:r>
      <w:r>
        <w:t xml:space="preserve"> </w:t>
      </w:r>
      <w:r>
        <w:rPr>
          <w:bCs/>
          <w:b/>
        </w:rPr>
        <w:t xml:space="preserve">no compliance state is conveyed by colour alone</w:t>
      </w:r>
      <w:r>
        <w:t xml:space="preserve"> </w:t>
      </w:r>
      <w:r>
        <w:t xml:space="preserve">— red/amber/green carries an icon and a text label.</w:t>
      </w:r>
    </w:p>
    <w:p>
      <w:pPr>
        <w:pStyle w:val="BodyText"/>
      </w:pPr>
      <w:r>
        <w:rPr>
          <w:rStyle w:val="VerbatimChar"/>
        </w:rPr>
        <w:t xml:space="preserve">X-087</w:t>
      </w:r>
      <w:r>
        <w:t xml:space="preserve"> </w:t>
      </w:r>
      <w:r>
        <w:t xml:space="preserve">— Screen-reader labels authored in Arabic for the Arabic UI, with</w:t>
      </w:r>
      <w:r>
        <w:t xml:space="preserve"> </w:t>
      </w:r>
      <w:r>
        <w:rPr>
          <w:rStyle w:val="VerbatimChar"/>
        </w:rPr>
        <w:t xml:space="preserve">lang</w:t>
      </w:r>
      <w:r>
        <w:t xml:space="preserve"> </w:t>
      </w:r>
      <w:r>
        <w:t xml:space="preserve">and</w:t>
      </w:r>
      <w:r>
        <w:t xml:space="preserve"> </w:t>
      </w:r>
      <w:r>
        <w:rPr>
          <w:rStyle w:val="VerbatimChar"/>
        </w:rPr>
        <w:t xml:space="preserve">dir</w:t>
      </w:r>
      <w:r>
        <w:t xml:space="preserve"> </w:t>
      </w:r>
      <w:r>
        <w:t xml:space="preserve">set per element so the reader switches voice on embedded Latin drug names.</w:t>
      </w:r>
    </w:p>
    <w:p>
      <w:pPr>
        <w:pStyle w:val="BodyText"/>
      </w:pPr>
      <w:r>
        <w:rPr>
          <w:rStyle w:val="VerbatimChar"/>
        </w:rPr>
        <w:t xml:space="preserve">X-088</w:t>
      </w:r>
      <w:r>
        <w:t xml:space="preserve"> </w:t>
      </w:r>
      <w:r>
        <w:t xml:space="preserve">—</w:t>
      </w:r>
      <w:r>
        <w:t xml:space="preserve"> </w:t>
      </w:r>
      <w:r>
        <w:rPr>
          <w:bCs/>
          <w:b/>
        </w:rPr>
        <w:t xml:space="preserve">No time-limited interaction may cause data loss</w:t>
      </w:r>
      <w:r>
        <w:t xml:space="preserve"> </w:t>
      </w:r>
      <w:r>
        <w:t xml:space="preserve">— the lock-not-logout rule (</w:t>
      </w:r>
      <w:r>
        <w:rPr>
          <w:rStyle w:val="VerbatimChar"/>
        </w:rPr>
        <w:t xml:space="preserve">X-077</w:t>
      </w:r>
      <w:r>
        <w:t xml:space="preserve">) is also an accessibility requirement.</w:t>
      </w:r>
    </w:p>
    <w:bookmarkEnd w:id="69"/>
    <w:bookmarkStart w:id="70" w:name="X8ba8b5c0415a89158167ac562b2411ded2e6173"/>
    <w:p>
      <w:pPr>
        <w:pStyle w:val="Heading2"/>
      </w:pPr>
      <w:r>
        <w:t xml:space="preserve">S4.9 First-run: signed contract → first real patient, without a consultant</w:t>
      </w:r>
    </w:p>
    <w:p>
      <w:pPr>
        <w:pStyle w:val="FirstParagraph"/>
      </w:pPr>
      <w:r>
        <w:t xml:space="preserve">Three constraints shape everything:</w:t>
      </w:r>
      <w:r>
        <w:t xml:space="preserve"> </w:t>
      </w:r>
      <w:r>
        <w:rPr>
          <w:bCs/>
          <w:b/>
        </w:rPr>
        <w:t xml:space="preserve">the clinic cannot stop</w:t>
      </w:r>
      <w:r>
        <w:t xml:space="preserve"> </w:t>
      </w:r>
      <w:r>
        <w:t xml:space="preserve">(there is no migration weekend);</w:t>
      </w:r>
      <w:r>
        <w:t xml:space="preserve"> </w:t>
      </w:r>
      <w:r>
        <w:rPr>
          <w:bCs/>
          <w:b/>
        </w:rPr>
        <w:t xml:space="preserve">there is no consultant, by design</w:t>
      </w:r>
      <w:r>
        <w:t xml:space="preserve"> </w:t>
      </w:r>
      <w:r>
        <w:t xml:space="preserve">(a product needing one cannot scale across independent 2–5 vet practices); and</w:t>
      </w:r>
      <w:r>
        <w:t xml:space="preserve"> </w:t>
      </w:r>
      <w:r>
        <w:rPr>
          <w:bCs/>
          <w:b/>
        </w:rPr>
        <w:t xml:space="preserve">parallel running kills design partnerships</w:t>
      </w:r>
      <w:r>
        <w:t xml:space="preserve"> </w:t>
      </w:r>
      <w:r>
        <w:t xml:space="preserve">— if staff must keep the old book</w:t>
      </w:r>
      <w:r>
        <w:t xml:space="preserve"> </w:t>
      </w:r>
      <w:r>
        <w:rPr>
          <w:iCs/>
          <w:i/>
        </w:rPr>
        <w:t xml:space="preserve">and</w:t>
      </w:r>
      <w:r>
        <w:t xml:space="preserve"> </w:t>
      </w:r>
      <w:r>
        <w:t xml:space="preserve">the new system, they keep the old book and abandon the new system in about ten days.</w:t>
      </w:r>
    </w:p>
    <w:p>
      <w:pPr>
        <w:pStyle w:val="BodyText"/>
      </w:pPr>
      <w:r>
        <w:rPr>
          <w:rStyle w:val="VerbatimChar"/>
        </w:rPr>
        <w:t xml:space="preserve">[DESIGN POSITION] X-089</w:t>
      </w:r>
      <w:r>
        <w:t xml:space="preserve"> </w:t>
      </w:r>
      <w:r>
        <w:t xml:space="preserve">—</w:t>
      </w:r>
      <w:r>
        <w:t xml:space="preserve"> </w:t>
      </w:r>
      <w:r>
        <w:rPr>
          <w:bCs/>
          <w:b/>
        </w:rPr>
        <w:t xml:space="preserve">Cut over forward, migrate backward.</w:t>
      </w:r>
      <w:r>
        <w:t xml:space="preserve"> </w:t>
      </w:r>
      <w:r>
        <w:t xml:space="preserve">From go-live,</w:t>
      </w:r>
      <w:r>
        <w:t xml:space="preserve"> </w:t>
      </w:r>
      <w:r>
        <w:rPr>
          <w:iCs/>
          <w:i/>
        </w:rPr>
        <w:t xml:space="preserve">all new activity</w:t>
      </w:r>
      <w:r>
        <w:t xml:space="preserve"> </w:t>
      </w:r>
      <w:r>
        <w:t xml:space="preserve">is recorded in MyVetiCare only. History migrates behind the live front, asynchronously, and never gates a consultation.</w:t>
      </w:r>
    </w:p>
    <w:p>
      <w:pPr>
        <w:pStyle w:val="BodyText"/>
      </w:pPr>
      <w:r>
        <w:rPr>
          <w:bCs/>
          <w:b/>
        </w:rPr>
        <w:t xml:space="preserve">Target: contract → first real patient attested in under 2 hours of the principal's own effort, spread across a normal working day.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Effort</w:t>
            </w:r>
          </w:p>
        </w:tc>
        <w:tc>
          <w:tcPr/>
          <w:p>
            <w:pPr>
              <w:pStyle w:val="Compact"/>
              <w:jc w:val="left"/>
            </w:pPr>
            <w:r>
              <w:t xml:space="preserve">Content</w:t>
            </w:r>
          </w:p>
        </w:tc>
      </w:tr>
      <w:tr>
        <w:tc>
          <w:tcPr/>
          <w:p>
            <w:pPr>
              <w:pStyle w:val="Compact"/>
              <w:jc w:val="left"/>
            </w:pPr>
            <w:r>
              <w:t xml:space="preserve">0 · Provisional</w:t>
            </w:r>
          </w:p>
        </w:tc>
        <w:tc>
          <w:tcPr/>
          <w:p>
            <w:pPr>
              <w:pStyle w:val="Compact"/>
              <w:jc w:val="left"/>
            </w:pPr>
            <w:r>
              <w:t xml:space="preserve">Minutes</w:t>
            </w:r>
          </w:p>
        </w:tc>
        <w:tc>
          <w:tcPr/>
          <w:p>
            <w:pPr>
              <w:pStyle w:val="Compact"/>
              <w:jc w:val="left"/>
            </w:pPr>
            <w:r>
              <w:t xml:space="preserve">Self-serve workspace with a sample clinic pre-loaded, so the principal sees the product working before committing anything. Deleting the sample is one unambiguous action</w:t>
            </w:r>
          </w:p>
        </w:tc>
      </w:tr>
      <w:tr>
        <w:tc>
          <w:tcPr/>
          <w:p>
            <w:pPr>
              <w:pStyle w:val="Compact"/>
              <w:jc w:val="left"/>
            </w:pPr>
            <w:r>
              <w:t xml:space="preserve">1 · Clinic skeleton</w:t>
            </w:r>
          </w:p>
        </w:tc>
        <w:tc>
          <w:tcPr/>
          <w:p>
            <w:pPr>
              <w:pStyle w:val="Compact"/>
              <w:jc w:val="left"/>
            </w:pPr>
            <w:r>
              <w:t xml:space="preserve">30–45 min</w:t>
            </w:r>
          </w:p>
        </w:tc>
        <w:tc>
          <w:tcPr/>
          <w:p>
            <w:pPr>
              <w:pStyle w:val="Compact"/>
              <w:jc w:val="left"/>
            </w:pPr>
            <w:r>
              <w:t xml:space="preserve">Establishment identity and documents; practitioners and licences; services and prices;</w:t>
            </w:r>
            <w:r>
              <w:t xml:space="preserve"> </w:t>
            </w:r>
            <w:r>
              <w:rPr>
                <w:bCs/>
                <w:b/>
              </w:rPr>
              <w:t xml:space="preserve">only the 40–60 products the clinic actually uses</w:t>
            </w:r>
            <w:r>
              <w:t xml:space="preserve">, chosen from a pre-built Saudi companion-animal formulary rather than typed. A full catalogue import here is the classic onboarding stall and is deferred</w:t>
            </w:r>
          </w:p>
        </w:tc>
      </w:tr>
      <w:tr>
        <w:tc>
          <w:tcPr/>
          <w:p>
            <w:pPr>
              <w:pStyle w:val="Compact"/>
              <w:jc w:val="left"/>
            </w:pPr>
            <w:r>
              <w:t xml:space="preserve">2 · Invoicing device</w:t>
            </w:r>
          </w:p>
        </w:tc>
        <w:tc>
          <w:tcPr/>
          <w:p>
            <w:pPr>
              <w:pStyle w:val="Compact"/>
              <w:jc w:val="left"/>
            </w:pPr>
            <w:r>
              <w:t xml:space="preserve">15–30 min</w:t>
            </w:r>
          </w:p>
        </w:tc>
        <w:tc>
          <w:tcPr/>
          <w:p>
            <w:pPr>
              <w:pStyle w:val="Compact"/>
              <w:jc w:val="left"/>
            </w:pPr>
            <w:r>
              <w:t xml:space="preserve">ZATCA onboarding, a real test invoice, a real printed output checked by the principal's own eyes</w:t>
            </w:r>
          </w:p>
        </w:tc>
      </w:tr>
      <w:tr>
        <w:tc>
          <w:tcPr/>
          <w:p>
            <w:pPr>
              <w:pStyle w:val="Compact"/>
              <w:jc w:val="left"/>
            </w:pPr>
            <w:r>
              <w:t xml:space="preserve">3 · First real patient</w:t>
            </w:r>
          </w:p>
        </w:tc>
        <w:tc>
          <w:tcPr/>
          <w:p>
            <w:pPr>
              <w:pStyle w:val="Compact"/>
              <w:jc w:val="left"/>
            </w:pPr>
            <w:r>
              <w:t xml:space="preserve">Same day</w:t>
            </w:r>
          </w:p>
        </w:tc>
        <w:tc>
          <w:tcPr/>
          <w:p>
            <w:pPr>
              <w:pStyle w:val="Compact"/>
              <w:jc w:val="left"/>
            </w:pPr>
            <w:r>
              <w:t xml:space="preserve">The next animal through the door.</w:t>
            </w:r>
            <w:r>
              <w:t xml:space="preserve"> </w:t>
            </w:r>
            <w:r>
              <w:rPr>
                <w:rStyle w:val="VerbatimChar"/>
              </w:rPr>
              <w:t xml:space="preserve">species + name + owner mobile + weight</w:t>
            </w:r>
            <w:r>
              <w:t xml:space="preserve"> </w:t>
            </w:r>
            <w:r>
              <w:t xml:space="preserve">is enough to consult, prescribe, dispense and invoice.</w:t>
            </w:r>
            <w:r>
              <w:t xml:space="preserve"> </w:t>
            </w:r>
            <w:r>
              <w:rPr>
                <w:bCs/>
                <w:b/>
              </w:rPr>
              <w:t xml:space="preserve">This is the anti-parallel-running mechanism</w:t>
            </w:r>
            <w:r>
              <w:t xml:space="preserve"> </w:t>
            </w:r>
            <w:r>
              <w:t xml:space="preserve">— the system is usable at zero history, so there is never a moment where staff need the old book to do today's work</w:t>
            </w:r>
          </w:p>
        </w:tc>
      </w:tr>
      <w:tr>
        <w:tc>
          <w:tcPr/>
          <w:p>
            <w:pPr>
              <w:pStyle w:val="Compact"/>
              <w:jc w:val="left"/>
            </w:pPr>
            <w:r>
              <w:t xml:space="preserve">4 · History, backward</w:t>
            </w:r>
          </w:p>
        </w:tc>
        <w:tc>
          <w:tcPr/>
          <w:p>
            <w:pPr>
              <w:pStyle w:val="Compact"/>
              <w:jc w:val="left"/>
            </w:pPr>
            <w:r>
              <w:t xml:space="preserve">Weeks</w:t>
            </w:r>
          </w:p>
        </w:tc>
        <w:tc>
          <w:tcPr/>
          <w:p>
            <w:pPr>
              <w:pStyle w:val="Compact"/>
              <w:jc w:val="left"/>
            </w:pPr>
            <w:r>
              <w:t xml:space="preserve">See below</w:t>
            </w:r>
          </w:p>
        </w:tc>
      </w:tr>
      <w:tr>
        <w:tc>
          <w:tcPr/>
          <w:p>
            <w:pPr>
              <w:pStyle w:val="Compact"/>
              <w:jc w:val="left"/>
            </w:pPr>
            <w:r>
              <w:t xml:space="preserve">5 · Readiness gate</w:t>
            </w:r>
          </w:p>
        </w:tc>
        <w:tc>
          <w:tcPr/>
          <w:p>
            <w:pPr>
              <w:pStyle w:val="Compact"/>
              <w:jc w:val="left"/>
            </w:pPr>
            <w:r>
              <w:t xml:space="preserve">Week 2–4</w:t>
            </w:r>
          </w:p>
        </w:tc>
        <w:tc>
          <w:tcPr/>
          <w:p>
            <w:pPr>
              <w:pStyle w:val="Compact"/>
              <w:jc w:val="left"/>
            </w:pPr>
            <w:r>
              <w:t xml:space="preserve">The principal completes the go-live self-check (</w:t>
            </w:r>
            <w:r>
              <w:rPr>
                <w:rStyle w:val="VerbatimChar"/>
              </w:rPr>
              <w:t xml:space="preserve">X-010</w:t>
            </w:r>
            <w:r>
              <w:t xml:space="preserve">). Until then, a persistent non-alarming banner lists exactly what remains</w:t>
            </w:r>
          </w:p>
        </w:tc>
      </w:tr>
    </w:tbl>
    <w:p>
      <w:pPr>
        <w:pStyle w:val="BodyText"/>
      </w:pPr>
      <w:r>
        <w:rPr>
          <w:rStyle w:val="VerbatimChar"/>
        </w:rPr>
        <w:t xml:space="preserve">[DESIGN POSITION] X-090</w:t>
      </w:r>
      <w:r>
        <w:t xml:space="preserve"> </w:t>
      </w:r>
      <w:r>
        <w:t xml:space="preserve">—</w:t>
      </w:r>
      <w:r>
        <w:t xml:space="preserve"> </w:t>
      </w:r>
      <w:r>
        <w:rPr>
          <w:bCs/>
          <w:b/>
        </w:rPr>
        <w:t xml:space="preserve">Just-in-time migration is the primary path.</w:t>
      </w:r>
      <w:r>
        <w:t xml:space="preserve"> </w:t>
      </w:r>
      <w:r>
        <w:t xml:space="preserve">When an animal with history arrives, reception captures the previous record at that moment: photograph the paper card into the patient file (immediately useful before transcription) and transcribe only the clinically load-bearing subset — species/breed/DOB/sex/neuter, chronic conditions, allergies and adverse reactions, vaccination history with dates, current medications. Target under 4 minutes. This front-loads effort onto the animals that actually return, and it is done by the person holding the card.</w:t>
      </w:r>
    </w:p>
    <w:p>
      <w:pPr>
        <w:pStyle w:val="BodyText"/>
      </w:pPr>
      <w:r>
        <w:rPr>
          <w:rStyle w:val="VerbatimChar"/>
        </w:rPr>
        <w:t xml:space="preserve">X-091</w:t>
      </w:r>
      <w:r>
        <w:t xml:space="preserve"> </w:t>
      </w:r>
      <w:r>
        <w:t xml:space="preserve">—</w:t>
      </w:r>
      <w:r>
        <w:t xml:space="preserve"> </w:t>
      </w:r>
      <w:r>
        <w:rPr>
          <w:bCs/>
          <w:b/>
        </w:rPr>
        <w:t xml:space="preserve">Every imported field is marked</w:t>
      </w:r>
      <w:r>
        <w:rPr>
          <w:bCs/>
          <w:b/>
        </w:rPr>
        <w:t xml:space="preserve"> </w:t>
      </w:r>
      <w:r>
        <w:rPr>
          <w:rStyle w:val="VerbatimChar"/>
          <w:bCs/>
          <w:b/>
        </w:rPr>
        <w:t xml:space="preserve">imported, unverified, source, date</w:t>
      </w:r>
      <w:r>
        <w:rPr>
          <w:bCs/>
          <w:b/>
        </w:rPr>
        <w:t xml:space="preserve"> </w:t>
      </w:r>
      <w:r>
        <w:rPr>
          <w:bCs/>
          <w:b/>
        </w:rPr>
        <w:t xml:space="preserve">and is visually distinguishable from clinician-entered data forever.</w:t>
      </w:r>
      <w:r>
        <w:t xml:space="preserve"> </w:t>
      </w:r>
      <w:r>
        <w:t xml:space="preserve">Imported data is never attested; it can only be</w:t>
      </w:r>
      <w:r>
        <w:t xml:space="preserve"> </w:t>
      </w:r>
      <w:r>
        <w:rPr>
          <w:iCs/>
          <w:i/>
        </w:rPr>
        <w:t xml:space="preserve">confirmed</w:t>
      </w:r>
      <w:r>
        <w:t xml:space="preserve"> </w:t>
      </w:r>
      <w:r>
        <w:t xml:space="preserve">by a named clinician at the point of use.</w:t>
      </w:r>
      <w:r>
        <w:t xml:space="preserve"> </w:t>
      </w:r>
      <w:r>
        <w:rPr>
          <w:bCs/>
          <w:b/>
        </w:rPr>
        <w:t xml:space="preserve">An inspector must never be shown migrated data dressed as attested clinical record.</w:t>
      </w:r>
      <w:r>
        <w:t xml:space="preserve"> </w:t>
      </w:r>
      <w:r>
        <w:t xml:space="preserve">This is both an integrity requirement and a liability firewall.</w:t>
      </w:r>
    </w:p>
    <w:p>
      <w:pPr>
        <w:pStyle w:val="BodyText"/>
      </w:pPr>
      <w:r>
        <w:rPr>
          <w:rStyle w:val="VerbatimChar"/>
        </w:rPr>
        <w:t xml:space="preserve">X-092</w:t>
      </w:r>
      <w:r>
        <w:t xml:space="preserve"> </w:t>
      </w:r>
      <w:r>
        <w:t xml:space="preserve">—</w:t>
      </w:r>
      <w:r>
        <w:t xml:space="preserve"> </w:t>
      </w:r>
      <w:r>
        <w:rPr>
          <w:bCs/>
          <w:b/>
        </w:rPr>
        <w:t xml:space="preserve">Vaccination history is the priority backfill</w:t>
      </w:r>
      <w:r>
        <w:t xml:space="preserve"> </w:t>
      </w:r>
      <w:r>
        <w:t xml:space="preserve">— the highest-frequency owner request and the fastest continuity win.</w:t>
      </w:r>
    </w:p>
    <w:bookmarkEnd w:id="70"/>
    <w:bookmarkStart w:id="71" w:name="X9560c2b88569defb5d4c6f9d99138e7cfec66fc"/>
    <w:p>
      <w:pPr>
        <w:pStyle w:val="Heading2"/>
      </w:pPr>
      <w:r>
        <w:rPr>
          <w:bCs/>
          <w:b/>
        </w:rPr>
        <w:t xml:space="preserve">Anti-abandonment mechanics.</w:t>
      </w:r>
      <w:r>
        <w:t xml:space="preserve"> </w:t>
      </w:r>
      <w:r>
        <w:t xml:space="preserve">Nothing is required at onboarding that can be learned from use — prices, templates and reminder rules are configured in-flow with a sane default already applied.</w:t>
      </w:r>
      <w:r>
        <w:t xml:space="preserve"> </w:t>
      </w:r>
      <w:r>
        <w:rPr>
          <w:bCs/>
          <w:b/>
        </w:rPr>
        <w:t xml:space="preserve">The first two weeks surface exactly one metric to the principal: unattested encounters</w:t>
      </w:r>
      <w:r>
        <w:t xml:space="preserve"> </w:t>
      </w:r>
      <w:r>
        <w:t xml:space="preserve">— the only number that predicts abandonment. A named human is reachable in Arabic for the first 30 days.</w:t>
      </w:r>
      <w:r>
        <w:t xml:space="preserve"> </w:t>
      </w:r>
      <w:r>
        <w:rPr>
          <w:bCs/>
          <w:b/>
        </w:rPr>
        <w:t xml:space="preserve">If a screen requires explanation, it is a defect</w:t>
      </w:r>
      <w:r>
        <w:t xml:space="preserve">, logged against §S10.3.</w:t>
      </w:r>
    </w:p>
    <w:bookmarkEnd w:id="71"/>
    <w:bookmarkEnd w:id="72"/>
    <w:bookmarkStart w:id="86" w:name="s5--decision-support"/>
    <w:p>
      <w:pPr>
        <w:pStyle w:val="Heading1"/>
      </w:pPr>
      <w:r>
        <w:t xml:space="preserve">S5 · Decision Support</w:t>
      </w:r>
    </w:p>
    <w:bookmarkStart w:id="73" w:name="s51-the-governing-premise"/>
    <w:p>
      <w:pPr>
        <w:pStyle w:val="Heading2"/>
      </w:pPr>
      <w:r>
        <w:t xml:space="preserve">S5.1 The governing premise</w:t>
      </w:r>
    </w:p>
    <w:p>
      <w:pPr>
        <w:pStyle w:val="FirstParagraph"/>
      </w:pPr>
      <w:r>
        <w:rPr>
          <w:rStyle w:val="VerbatimChar"/>
          <w:bCs/>
          <w:b/>
        </w:rPr>
        <w:t xml:space="preserve">D-001</w:t>
      </w:r>
      <w:r>
        <w:rPr>
          <w:bCs/>
          <w:b/>
        </w:rPr>
        <w:t xml:space="preserve"> </w:t>
      </w:r>
      <w:r>
        <w:rPr>
          <w:bCs/>
          <w:b/>
        </w:rPr>
        <w:t xml:space="preserve">— The platform has no</w:t>
      </w:r>
      <w:r>
        <w:rPr>
          <w:bCs/>
          <w:b/>
        </w:rPr>
        <w:t xml:space="preserve"> </w:t>
      </w:r>
      <w:r>
        <w:rPr>
          <w:rStyle w:val="VerbatimChar"/>
          <w:bCs/>
          <w:b/>
        </w:rPr>
        <w:t xml:space="preserve">RECOMMENDATION</w:t>
      </w:r>
      <w:r>
        <w:rPr>
          <w:bCs/>
          <w:b/>
        </w:rPr>
        <w:t xml:space="preserve"> </w:t>
      </w:r>
      <w:r>
        <w:rPr>
          <w:bCs/>
          <w:b/>
        </w:rPr>
        <w:t xml:space="preserve">and no</w:t>
      </w:r>
      <w:r>
        <w:rPr>
          <w:bCs/>
          <w:b/>
        </w:rPr>
        <w:t xml:space="preserve"> </w:t>
      </w:r>
      <w:r>
        <w:rPr>
          <w:rStyle w:val="VerbatimChar"/>
          <w:bCs/>
          <w:b/>
        </w:rPr>
        <w:t xml:space="preserve">ASSESSMENT</w:t>
      </w:r>
      <w:r>
        <w:rPr>
          <w:bCs/>
          <w:b/>
        </w:rPr>
        <w:t xml:space="preserve"> </w:t>
      </w:r>
      <w:r>
        <w:rPr>
          <w:bCs/>
          <w:b/>
        </w:rPr>
        <w:t xml:space="preserve">output type in its schema.</w:t>
      </w:r>
      <w:r>
        <w:t xml:space="preserve"> </w:t>
      </w:r>
      <w:r>
        <w:t xml:space="preserve">Every decision-support output is typed as exactly one of five things:</w:t>
      </w:r>
    </w:p>
    <w:p>
      <w:pPr>
        <w:pStyle w:val="BodyText"/>
      </w:pPr>
      <w:r>
        <w:rPr>
          <w:rStyle w:val="VerbatimChar"/>
        </w:rPr>
        <w:t xml:space="preserve">OBSERVATION</w:t>
      </w:r>
      <w:r>
        <w:t xml:space="preserve"> </w:t>
      </w:r>
      <w:r>
        <w:t xml:space="preserve">·</w:t>
      </w:r>
      <w:r>
        <w:t xml:space="preserve"> </w:t>
      </w:r>
      <w:r>
        <w:rPr>
          <w:rStyle w:val="VerbatimChar"/>
        </w:rPr>
        <w:t xml:space="preserve">REFERENCE_CITATION</w:t>
      </w:r>
      <w:r>
        <w:t xml:space="preserve"> </w:t>
      </w:r>
      <w:r>
        <w:t xml:space="preserve">·</w:t>
      </w:r>
      <w:r>
        <w:t xml:space="preserve"> </w:t>
      </w:r>
      <w:r>
        <w:rPr>
          <w:rStyle w:val="VerbatimChar"/>
        </w:rPr>
        <w:t xml:space="preserve">STATUTORY_OBLIGATION</w:t>
      </w:r>
      <w:r>
        <w:t xml:space="preserve"> </w:t>
      </w:r>
      <w:r>
        <w:t xml:space="preserve">·</w:t>
      </w:r>
      <w:r>
        <w:t xml:space="preserve"> </w:t>
      </w:r>
      <w:r>
        <w:rPr>
          <w:rStyle w:val="VerbatimChar"/>
        </w:rPr>
        <w:t xml:space="preserve">ARITHMETIC</w:t>
      </w:r>
      <w:r>
        <w:t xml:space="preserve"> </w:t>
      </w:r>
      <w:r>
        <w:t xml:space="preserve">·</w:t>
      </w:r>
      <w:r>
        <w:t xml:space="preserve"> </w:t>
      </w:r>
      <w:r>
        <w:rPr>
          <w:rStyle w:val="VerbatimChar"/>
        </w:rPr>
        <w:t xml:space="preserve">STRUCTURING</w:t>
      </w:r>
    </w:p>
    <w:p>
      <w:pPr>
        <w:pStyle w:val="BodyText"/>
      </w:pPr>
      <w:r>
        <w:t xml:space="preserve">A capability that would classify urgency, rank differentials or advise a course of action</w:t>
      </w:r>
      <w:r>
        <w:t xml:space="preserve"> </w:t>
      </w:r>
      <w:r>
        <w:rPr>
          <w:bCs/>
          <w:b/>
        </w:rPr>
        <w:t xml:space="preserve">has no legal representation in the data model</w:t>
      </w:r>
      <w:r>
        <w:t xml:space="preserve">. It cannot be shipped by writing a prompt; it requires a schema migration, which trips the AI gate.</w:t>
      </w:r>
      <w:r>
        <w:t xml:space="preserve"> </w:t>
      </w:r>
      <w:r>
        <w:rPr>
          <w:bCs/>
          <w:b/>
        </w:rPr>
        <w:t xml:space="preserve">This is the difference between a stated boundary and an enforced one</w:t>
      </w:r>
      <w:r>
        <w:t xml:space="preserve">, and it is what makes the rejected 10pm-respiratory-triage journey structurally impossible rather than merely disallowed.</w:t>
      </w:r>
    </w:p>
    <w:p>
      <w:pPr>
        <w:pStyle w:val="BodyText"/>
      </w:pPr>
      <w:r>
        <w:rPr>
          <w:rStyle w:val="VerbatimChar"/>
          <w:bCs/>
          <w:b/>
        </w:rPr>
        <w:t xml:space="preserve">D-002</w:t>
      </w:r>
      <w:r>
        <w:rPr>
          <w:bCs/>
          <w:b/>
        </w:rPr>
        <w:t xml:space="preserve"> </w:t>
      </w:r>
      <w:r>
        <w:rPr>
          <w:bCs/>
          <w:b/>
        </w:rPr>
        <w:t xml:space="preserve">— Reference lookup and language generation are separate services</w:t>
      </w:r>
      <w:r>
        <w:t xml:space="preserve"> </w:t>
      </w:r>
      <w:r>
        <w:t xml:space="preserve">with no shared process, no shared credential, and a CI-enforced absence of any import path between them.</w:t>
      </w:r>
    </w:p>
    <w:bookmarkEnd w:id="73"/>
    <w:bookmarkStart w:id="77" w:name="s52-the-intelligence-inventory"/>
    <w:p>
      <w:pPr>
        <w:pStyle w:val="Heading2"/>
      </w:pPr>
      <w:r>
        <w:t xml:space="preserve">S5.2 The intelligence inventory</w:t>
      </w:r>
    </w:p>
    <w:bookmarkStart w:id="74" w:name="accepted-for-phase-1"/>
    <w:p>
      <w:pPr>
        <w:pStyle w:val="Heading3"/>
      </w:pPr>
      <w:r>
        <w:t xml:space="preserve">Accepted for Phase 1</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Capability</w:t>
            </w:r>
          </w:p>
        </w:tc>
        <w:tc>
          <w:tcPr/>
          <w:p>
            <w:pPr>
              <w:pStyle w:val="Compact"/>
              <w:jc w:val="left"/>
            </w:pPr>
            <w:r>
              <w:t xml:space="preserve">Method</w:t>
            </w:r>
          </w:p>
        </w:tc>
        <w:tc>
          <w:tcPr/>
          <w:p>
            <w:pPr>
              <w:pStyle w:val="Compact"/>
              <w:jc w:val="left"/>
            </w:pPr>
            <w:r>
              <w:t xml:space="preserve">Why it earns its place</w:t>
            </w:r>
          </w:p>
        </w:tc>
      </w:tr>
      <w:tr>
        <w:tc>
          <w:tcPr/>
          <w:p>
            <w:pPr>
              <w:pStyle w:val="Compact"/>
              <w:jc w:val="left"/>
            </w:pPr>
            <w:r>
              <w:rPr>
                <w:rStyle w:val="VerbatimChar"/>
                <w:bCs/>
                <w:b/>
              </w:rPr>
              <w:t xml:space="preserve">D-101</w:t>
            </w:r>
          </w:p>
        </w:tc>
        <w:tc>
          <w:tcPr/>
          <w:p>
            <w:pPr>
              <w:pStyle w:val="Compact"/>
              <w:jc w:val="left"/>
            </w:pPr>
            <w:r>
              <w:rPr>
                <w:bCs/>
                <w:b/>
              </w:rPr>
              <w:t xml:space="preserve">Compliance-position derivation</w:t>
            </w:r>
            <w:r>
              <w:t xml:space="preserve"> </w:t>
            </w:r>
            <w:r>
              <w:t xml:space="preserve">from licence and record state</w:t>
            </w:r>
          </w:p>
        </w:tc>
        <w:tc>
          <w:tcPr/>
          <w:p>
            <w:pPr>
              <w:pStyle w:val="Compact"/>
              <w:jc w:val="left"/>
            </w:pPr>
            <w:r>
              <w:t xml:space="preserve">Deterministic rule pack</w:t>
            </w:r>
          </w:p>
        </w:tc>
        <w:tc>
          <w:tcPr/>
          <w:p>
            <w:pPr>
              <w:pStyle w:val="Compact"/>
              <w:jc w:val="left"/>
            </w:pPr>
            <w:r>
              <w:t xml:space="preserve">This is the wedge. No clinic can read its own compliance posture off source records — it is a join across licence expiry, record completeness, controlled-drug reconciliation and retention windows that nobody performs manually</w:t>
            </w:r>
          </w:p>
        </w:tc>
      </w:tr>
      <w:tr>
        <w:tc>
          <w:tcPr/>
          <w:p>
            <w:pPr>
              <w:pStyle w:val="Compact"/>
              <w:jc w:val="left"/>
            </w:pPr>
            <w:r>
              <w:rPr>
                <w:rStyle w:val="VerbatimChar"/>
                <w:bCs/>
                <w:b/>
              </w:rPr>
              <w:t xml:space="preserve">D-102</w:t>
            </w:r>
          </w:p>
        </w:tc>
        <w:tc>
          <w:tcPr/>
          <w:p>
            <w:pPr>
              <w:pStyle w:val="Compact"/>
              <w:jc w:val="left"/>
            </w:pPr>
            <w:r>
              <w:rPr>
                <w:bCs/>
                <w:b/>
              </w:rPr>
              <w:t xml:space="preserve">Notifiable-disease statutory trigger</w:t>
            </w:r>
            <w:r>
              <w:t xml:space="preserve"> </w:t>
            </w:r>
            <w:r>
              <w:t xml:space="preserve">from a</w:t>
            </w:r>
            <w:r>
              <w:t xml:space="preserve"> </w:t>
            </w:r>
            <w:r>
              <w:rPr>
                <w:iCs/>
                <w:i/>
              </w:rPr>
              <w:t xml:space="preserve">coded</w:t>
            </w:r>
            <w:r>
              <w:t xml:space="preserve"> </w:t>
            </w:r>
            <w:r>
              <w:t xml:space="preserve">diagnosis or differential</w:t>
            </w:r>
          </w:p>
        </w:tc>
        <w:tc>
          <w:tcPr/>
          <w:p>
            <w:pPr>
              <w:pStyle w:val="Compact"/>
              <w:jc w:val="left"/>
            </w:pPr>
            <w:r>
              <w:t xml:space="preserve">Deterministic lookup on a governed list</w:t>
            </w:r>
          </w:p>
        </w:tc>
        <w:tc>
          <w:tcPr/>
          <w:p>
            <w:pPr>
              <w:pStyle w:val="Compact"/>
              <w:jc w:val="left"/>
            </w:pPr>
            <w:r>
              <w:t xml:space="preserve">Converts a 24-hour duty across 32 diseases from memory-dependent to system-enforced. The vet codes the entity; the system knows the legal consequence.</w:t>
            </w:r>
            <w:r>
              <w:t xml:space="preserve"> </w:t>
            </w:r>
            <w:r>
              <w:rPr>
                <w:bCs/>
                <w:b/>
              </w:rPr>
              <w:t xml:space="preserve">The system never decides what the animal has</w:t>
            </w:r>
          </w:p>
        </w:tc>
      </w:tr>
      <w:tr>
        <w:tc>
          <w:tcPr/>
          <w:p>
            <w:pPr>
              <w:pStyle w:val="Compact"/>
              <w:jc w:val="left"/>
            </w:pPr>
            <w:r>
              <w:rPr>
                <w:rStyle w:val="VerbatimChar"/>
                <w:bCs/>
                <w:b/>
              </w:rPr>
              <w:t xml:space="preserve">D-103</w:t>
            </w:r>
          </w:p>
        </w:tc>
        <w:tc>
          <w:tcPr/>
          <w:p>
            <w:pPr>
              <w:pStyle w:val="Compact"/>
              <w:jc w:val="left"/>
            </w:pPr>
            <w:r>
              <w:rPr>
                <w:bCs/>
                <w:b/>
              </w:rPr>
              <w:t xml:space="preserve">Prescribing safety</w:t>
            </w:r>
            <w:r>
              <w:t xml:space="preserve"> </w:t>
            </w:r>
            <w:r>
              <w:t xml:space="preserve">— species / route / weight / dose-range / contraindication</w:t>
            </w:r>
          </w:p>
        </w:tc>
        <w:tc>
          <w:tcPr/>
          <w:p>
            <w:pPr>
              <w:pStyle w:val="Compact"/>
              <w:jc w:val="left"/>
            </w:pPr>
            <w:r>
              <w:t xml:space="preserve">Lookup against a licensed formulary</w:t>
            </w:r>
          </w:p>
        </w:tc>
        <w:tc>
          <w:tcPr/>
          <w:p>
            <w:pPr>
              <w:pStyle w:val="Compact"/>
              <w:jc w:val="left"/>
            </w:pPr>
            <w:r>
              <w:t xml:space="preserve">Catches the error class that is both common and catastrophic. Only defensible if every result quotes a licensed monograph verbatim</w:t>
            </w:r>
          </w:p>
        </w:tc>
      </w:tr>
      <w:tr>
        <w:tc>
          <w:tcPr/>
          <w:p>
            <w:pPr>
              <w:pStyle w:val="Compact"/>
              <w:jc w:val="left"/>
            </w:pPr>
            <w:r>
              <w:rPr>
                <w:rStyle w:val="VerbatimChar"/>
                <w:bCs/>
                <w:b/>
              </w:rPr>
              <w:t xml:space="preserve">D-104</w:t>
            </w:r>
          </w:p>
        </w:tc>
        <w:tc>
          <w:tcPr/>
          <w:p>
            <w:pPr>
              <w:pStyle w:val="Compact"/>
              <w:jc w:val="left"/>
            </w:pPr>
            <w:r>
              <w:rPr>
                <w:bCs/>
                <w:b/>
              </w:rPr>
              <w:t xml:space="preserve">Interaction and duplicate-therapy screening — major severity only</w:t>
            </w:r>
          </w:p>
        </w:tc>
        <w:tc>
          <w:tcPr/>
          <w:p>
            <w:pPr>
              <w:pStyle w:val="Compact"/>
              <w:jc w:val="left"/>
            </w:pPr>
            <w:r>
              <w:t xml:space="preserve">Lookup against a licensed, severity-graded source</w:t>
            </w:r>
          </w:p>
        </w:tc>
        <w:tc>
          <w:tcPr/>
          <w:p>
            <w:pPr>
              <w:pStyle w:val="Compact"/>
              <w:jc w:val="left"/>
            </w:pPr>
            <w:r>
              <w:t xml:space="preserve">Ships only with a source that grades severity itself. Minor and moderate are suppressed in Phase 1:</w:t>
            </w:r>
            <w:r>
              <w:t xml:space="preserve"> </w:t>
            </w:r>
            <w:r>
              <w:rPr>
                <w:bCs/>
                <w:b/>
              </w:rPr>
              <w:t xml:space="preserve">an alert stream nobody reads is a safety liability, not a safety feature</w:t>
            </w:r>
          </w:p>
        </w:tc>
      </w:tr>
      <w:tr>
        <w:tc>
          <w:tcPr/>
          <w:p>
            <w:pPr>
              <w:pStyle w:val="Compact"/>
              <w:jc w:val="left"/>
            </w:pPr>
            <w:r>
              <w:rPr>
                <w:rStyle w:val="VerbatimChar"/>
                <w:bCs/>
                <w:b/>
              </w:rPr>
              <w:t xml:space="preserve">D-105</w:t>
            </w:r>
          </w:p>
        </w:tc>
        <w:tc>
          <w:tcPr/>
          <w:p>
            <w:pPr>
              <w:pStyle w:val="Compact"/>
              <w:jc w:val="left"/>
            </w:pPr>
            <w:r>
              <w:rPr>
                <w:bCs/>
                <w:b/>
              </w:rPr>
              <w:t xml:space="preserve">Antimicrobial stewardship prompt and utilisation register</w:t>
            </w:r>
          </w:p>
        </w:tc>
        <w:tc>
          <w:tcPr/>
          <w:p>
            <w:pPr>
              <w:pStyle w:val="Compact"/>
              <w:jc w:val="left"/>
            </w:pPr>
            <w:r>
              <w:t xml:space="preserve">Deterministic rule + descriptive statistics</w:t>
            </w:r>
          </w:p>
        </w:tc>
        <w:tc>
          <w:tcPr/>
          <w:p>
            <w:pPr>
              <w:pStyle w:val="Compact"/>
              <w:jc w:val="left"/>
            </w:pPr>
            <w:r>
              <w:t xml:space="preserve">Serves the KSA AMR National Action Plan's veterinary-clinic monitoring commitment. Prompts for</w:t>
            </w:r>
            <w:r>
              <w:t xml:space="preserve"> </w:t>
            </w:r>
            <w:r>
              <w:rPr>
                <w:iCs/>
                <w:i/>
              </w:rPr>
              <w:t xml:space="preserve">record completeness</w:t>
            </w:r>
            <w:r>
              <w:t xml:space="preserve">, never for</w:t>
            </w:r>
            <w:r>
              <w:t xml:space="preserve"> </w:t>
            </w:r>
            <w:r>
              <w:rPr>
                <w:iCs/>
                <w:i/>
              </w:rPr>
              <w:t xml:space="preserve">whether to prescribe</w:t>
            </w:r>
          </w:p>
        </w:tc>
      </w:tr>
      <w:tr>
        <w:tc>
          <w:tcPr/>
          <w:p>
            <w:pPr>
              <w:pStyle w:val="Compact"/>
              <w:jc w:val="left"/>
            </w:pPr>
            <w:r>
              <w:rPr>
                <w:rStyle w:val="VerbatimChar"/>
                <w:bCs/>
                <w:b/>
              </w:rPr>
              <w:t xml:space="preserve">D-106</w:t>
            </w:r>
          </w:p>
        </w:tc>
        <w:tc>
          <w:tcPr/>
          <w:p>
            <w:pPr>
              <w:pStyle w:val="Compact"/>
              <w:jc w:val="left"/>
            </w:pPr>
            <w:r>
              <w:rPr>
                <w:bCs/>
                <w:b/>
              </w:rPr>
              <w:t xml:space="preserve">Recall and batch exposure identification</w:t>
            </w:r>
          </w:p>
        </w:tc>
        <w:tc>
          <w:tcPr/>
          <w:p>
            <w:pPr>
              <w:pStyle w:val="Compact"/>
              <w:jc w:val="left"/>
            </w:pPr>
            <w:r>
              <w:t xml:space="preserve">Deterministic set intersection</w:t>
            </w:r>
          </w:p>
        </w:tc>
        <w:tc>
          <w:tcPr/>
          <w:p>
            <w:pPr>
              <w:pStyle w:val="Compact"/>
              <w:jc w:val="left"/>
            </w:pPr>
            <w:r>
              <w:t xml:space="preserve">Given a recalled lot, returns the exact animals and owners exposed, with a defensible completeness statement. Impossible manually across years</w:t>
            </w:r>
          </w:p>
        </w:tc>
      </w:tr>
      <w:tr>
        <w:tc>
          <w:tcPr/>
          <w:p>
            <w:pPr>
              <w:pStyle w:val="Compact"/>
              <w:jc w:val="left"/>
            </w:pPr>
            <w:r>
              <w:rPr>
                <w:rStyle w:val="VerbatimChar"/>
                <w:bCs/>
                <w:b/>
              </w:rPr>
              <w:t xml:space="preserve">D-107</w:t>
            </w:r>
          </w:p>
        </w:tc>
        <w:tc>
          <w:tcPr/>
          <w:p>
            <w:pPr>
              <w:pStyle w:val="Compact"/>
              <w:jc w:val="left"/>
            </w:pPr>
            <w:r>
              <w:rPr>
                <w:bCs/>
                <w:b/>
              </w:rPr>
              <w:t xml:space="preserve">Consultation note structuring — extractive, not generative</w:t>
            </w:r>
          </w:p>
        </w:tc>
        <w:tc>
          <w:tcPr/>
          <w:p>
            <w:pPr>
              <w:pStyle w:val="Compact"/>
              <w:jc w:val="left"/>
            </w:pPr>
            <w:r>
              <w:t xml:space="preserve">Constrained language model, extraction-only</w:t>
            </w:r>
          </w:p>
        </w:tc>
        <w:tc>
          <w:tcPr/>
          <w:p>
            <w:pPr>
              <w:pStyle w:val="Compact"/>
              <w:jc w:val="left"/>
            </w:pPr>
            <w:r>
              <w:t xml:space="preserve">Reorganises the vet's own text into SOAP fields.</w:t>
            </w:r>
            <w:r>
              <w:t xml:space="preserve"> </w:t>
            </w:r>
            <w:r>
              <w:rPr>
                <w:bCs/>
                <w:b/>
              </w:rPr>
              <w:t xml:space="preserve">Every emitted span must trace to a character range in the vet's own input.</w:t>
            </w:r>
            <w:r>
              <w:t xml:space="preserve"> </w:t>
            </w:r>
            <w:r>
              <w:t xml:space="preserve">It adds no clinical content. This is not drafting</w:t>
            </w:r>
          </w:p>
        </w:tc>
      </w:tr>
      <w:tr>
        <w:tc>
          <w:tcPr/>
          <w:p>
            <w:pPr>
              <w:pStyle w:val="Compact"/>
              <w:jc w:val="left"/>
            </w:pPr>
            <w:r>
              <w:rPr>
                <w:rStyle w:val="VerbatimChar"/>
                <w:bCs/>
                <w:b/>
              </w:rPr>
              <w:t xml:space="preserve">D-108</w:t>
            </w:r>
          </w:p>
        </w:tc>
        <w:tc>
          <w:tcPr/>
          <w:p>
            <w:pPr>
              <w:pStyle w:val="Compact"/>
              <w:jc w:val="left"/>
            </w:pPr>
            <w:r>
              <w:rPr>
                <w:bCs/>
                <w:b/>
              </w:rPr>
              <w:t xml:space="preserve">Inventory expiry and stock-out forecast</w:t>
            </w:r>
          </w:p>
        </w:tc>
        <w:tc>
          <w:tcPr/>
          <w:p>
            <w:pPr>
              <w:pStyle w:val="Compact"/>
              <w:jc w:val="left"/>
            </w:pPr>
            <w:r>
              <w:t xml:space="preserve">Deterministic expiry + statistical forecast</w:t>
            </w:r>
          </w:p>
        </w:tc>
        <w:tc>
          <w:tcPr/>
          <w:p>
            <w:pPr>
              <w:pStyle w:val="Compact"/>
              <w:jc w:val="left"/>
            </w:pPr>
            <w:r>
              <w:t xml:space="preserve">Non-clinical. The one place a statistical model is entirely safe, and it proves the model-governance machinery works before anything clinical uses it</w:t>
            </w:r>
          </w:p>
        </w:tc>
      </w:tr>
    </w:tbl>
    <w:bookmarkEnd w:id="74"/>
    <w:bookmarkStart w:id="75" w:name="deferred-with-a-phase-1-substitute"/>
    <w:p>
      <w:pPr>
        <w:pStyle w:val="Heading3"/>
      </w:pPr>
      <w:r>
        <w:t xml:space="preserve">Deferred, with a Phase-1 substitute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Capability</w:t>
            </w:r>
          </w:p>
        </w:tc>
        <w:tc>
          <w:tcPr/>
          <w:p>
            <w:pPr>
              <w:pStyle w:val="Compact"/>
              <w:jc w:val="left"/>
            </w:pPr>
            <w:r>
              <w:t xml:space="preserve">Verdict</w:t>
            </w:r>
          </w:p>
        </w:tc>
        <w:tc>
          <w:tcPr/>
          <w:p>
            <w:pPr>
              <w:pStyle w:val="Compact"/>
              <w:jc w:val="left"/>
            </w:pPr>
            <w:r>
              <w:t xml:space="preserve">Substitute</w:t>
            </w:r>
          </w:p>
        </w:tc>
      </w:tr>
      <w:tr>
        <w:tc>
          <w:tcPr/>
          <w:p>
            <w:pPr>
              <w:pStyle w:val="Compact"/>
              <w:jc w:val="left"/>
            </w:pPr>
            <w:r>
              <w:rPr>
                <w:rStyle w:val="VerbatimChar"/>
              </w:rPr>
              <w:t xml:space="preserve">D-201</w:t>
            </w:r>
          </w:p>
        </w:tc>
        <w:tc>
          <w:tcPr/>
          <w:p>
            <w:pPr>
              <w:pStyle w:val="Compact"/>
              <w:jc w:val="left"/>
            </w:pPr>
            <w:r>
              <w:t xml:space="preserve">History summarisation across prior vets</w:t>
            </w:r>
          </w:p>
        </w:tc>
        <w:tc>
          <w:tcPr/>
          <w:p>
            <w:pPr>
              <w:pStyle w:val="Compact"/>
              <w:jc w:val="left"/>
            </w:pPr>
            <w:r>
              <w:rPr>
                <w:bCs/>
                <w:b/>
              </w:rPr>
              <w:t xml:space="preserve">DEFER</w:t>
            </w:r>
            <w:r>
              <w:t xml:space="preserve"> </w:t>
            </w:r>
            <w:r>
              <w:t xml:space="preserve">— summarisation fails by</w:t>
            </w:r>
            <w:r>
              <w:t xml:space="preserve"> </w:t>
            </w:r>
            <w:r>
              <w:rPr>
                <w:iCs/>
                <w:i/>
              </w:rPr>
              <w:t xml:space="preserve">omission</w:t>
            </w:r>
            <w:r>
              <w:t xml:space="preserve">, and omission is invisible. Dropping the one prior adverse drug reaction from a five-year history produces a confident, fluent, dangerous artefact with no error signal</w:t>
            </w:r>
          </w:p>
        </w:tc>
        <w:tc>
          <w:tcPr/>
          <w:p>
            <w:pPr>
              <w:pStyle w:val="Compact"/>
              <w:jc w:val="left"/>
            </w:pPr>
            <w:r>
              <w:rPr>
                <w:rStyle w:val="VerbatimChar"/>
                <w:bCs/>
                <w:b/>
              </w:rPr>
              <w:t xml:space="preserve">D-109</w:t>
            </w:r>
            <w:r>
              <w:rPr>
                <w:bCs/>
                <w:b/>
              </w:rPr>
              <w:t xml:space="preserve"> </w:t>
            </w:r>
            <w:r>
              <w:rPr>
                <w:bCs/>
                <w:b/>
              </w:rPr>
              <w:t xml:space="preserve">Longitudinal fact ledger</w:t>
            </w:r>
            <w:r>
              <w:t xml:space="preserve"> </w:t>
            </w:r>
            <w:r>
              <w:t xml:space="preserve">— not a summary, a complete structured filterable list: prior adverse reactions, chronic diagnoses, active medications, recorded allergies, prior notifiable events, each linked to its source record and authoring vet.</w:t>
            </w:r>
            <w:r>
              <w:t xml:space="preserve"> </w:t>
            </w:r>
            <w:r>
              <w:rPr>
                <w:bCs/>
                <w:b/>
              </w:rPr>
              <w:t xml:space="preserve">Complete by construction.</w:t>
            </w:r>
            <w:r>
              <w:t xml:space="preserve"> </w:t>
            </w:r>
            <w:r>
              <w:t xml:space="preserve">This is a display feature, and it removes most of the demand for summarisation</w:t>
            </w:r>
          </w:p>
        </w:tc>
      </w:tr>
      <w:tr>
        <w:tc>
          <w:tcPr/>
          <w:p>
            <w:pPr>
              <w:pStyle w:val="Compact"/>
              <w:jc w:val="left"/>
            </w:pPr>
            <w:r>
              <w:rPr>
                <w:rStyle w:val="VerbatimChar"/>
              </w:rPr>
              <w:t xml:space="preserve">D-202</w:t>
            </w:r>
          </w:p>
        </w:tc>
        <w:tc>
          <w:tcPr/>
          <w:p>
            <w:pPr>
              <w:pStyle w:val="Compact"/>
              <w:jc w:val="left"/>
            </w:pPr>
            <w:r>
              <w:t xml:space="preserve">Recall-due prediction</w:t>
            </w:r>
          </w:p>
        </w:tc>
        <w:tc>
          <w:tcPr/>
          <w:p>
            <w:pPr>
              <w:pStyle w:val="Compact"/>
              <w:jc w:val="left"/>
            </w:pPr>
            <w:r>
              <w:rPr>
                <w:bCs/>
                <w:b/>
              </w:rPr>
              <w:t xml:space="preserve">REJECT as ML, ACCEPT as calendar</w:t>
            </w:r>
            <w:r>
              <w:t xml:space="preserve"> </w:t>
            </w:r>
            <w:r>
              <w:t xml:space="preserve">— "when is this vaccine due" is arithmetic on a recorded date and a product interval</w:t>
            </w:r>
          </w:p>
        </w:tc>
        <w:tc>
          <w:tcPr/>
          <w:p>
            <w:pPr>
              <w:pStyle w:val="Compact"/>
              <w:jc w:val="left"/>
            </w:pPr>
            <w:r>
              <w:t xml:space="preserve">Deterministic due-list under</w:t>
            </w:r>
            <w:r>
              <w:t xml:space="preserve"> </w:t>
            </w:r>
            <w:r>
              <w:rPr>
                <w:rStyle w:val="VerbatimChar"/>
              </w:rPr>
              <w:t xml:space="preserve">D-101</w:t>
            </w:r>
          </w:p>
        </w:tc>
      </w:tr>
      <w:tr>
        <w:tc>
          <w:tcPr/>
          <w:p>
            <w:pPr>
              <w:pStyle w:val="Compact"/>
              <w:jc w:val="left"/>
            </w:pPr>
            <w:r>
              <w:rPr>
                <w:rStyle w:val="VerbatimChar"/>
              </w:rPr>
              <w:t xml:space="preserve">D-203</w:t>
            </w:r>
          </w:p>
        </w:tc>
        <w:tc>
          <w:tcPr/>
          <w:p>
            <w:pPr>
              <w:pStyle w:val="Compact"/>
              <w:jc w:val="left"/>
            </w:pPr>
            <w:r>
              <w:t xml:space="preserve">Lab-result flagging against reference intervals</w:t>
            </w:r>
          </w:p>
        </w:tc>
        <w:tc>
          <w:tcPr/>
          <w:p>
            <w:pPr>
              <w:pStyle w:val="Compact"/>
              <w:jc w:val="left"/>
            </w:pPr>
            <w:r>
              <w:rPr>
                <w:bCs/>
                <w:b/>
              </w:rPr>
              <w:t xml:space="preserve">DEFER</w:t>
            </w:r>
            <w:r>
              <w:t xml:space="preserve"> </w:t>
            </w:r>
            <w:r>
              <w:t xml:space="preserve">— deterministic in principle, blocked on per-analyser per-species reference data under licence</w:t>
            </w:r>
          </w:p>
        </w:tc>
        <w:tc>
          <w:tcPr/>
          <w:p>
            <w:pPr>
              <w:pStyle w:val="Compact"/>
              <w:jc w:val="left"/>
            </w:pPr>
            <w:r>
              <w:t xml:space="preserve">Display the analyser's own flags verbatim, unmodified, attributed to the analyser</w:t>
            </w:r>
          </w:p>
        </w:tc>
      </w:tr>
      <w:tr>
        <w:tc>
          <w:tcPr/>
          <w:p>
            <w:pPr>
              <w:pStyle w:val="Compact"/>
              <w:jc w:val="left"/>
            </w:pPr>
            <w:r>
              <w:rPr>
                <w:rStyle w:val="VerbatimChar"/>
              </w:rPr>
              <w:t xml:space="preserve">D-204</w:t>
            </w:r>
          </w:p>
        </w:tc>
        <w:tc>
          <w:tcPr/>
          <w:p>
            <w:pPr>
              <w:pStyle w:val="Compact"/>
              <w:jc w:val="left"/>
            </w:pPr>
            <w:r>
              <w:t xml:space="preserve">Imaging triage</w:t>
            </w:r>
          </w:p>
        </w:tc>
        <w:tc>
          <w:tcPr/>
          <w:p>
            <w:pPr>
              <w:pStyle w:val="Compact"/>
              <w:jc w:val="left"/>
            </w:pPr>
            <w:r>
              <w:rPr>
                <w:bCs/>
                <w:b/>
              </w:rPr>
              <w:t xml:space="preserve">DEFER indefinitely</w:t>
            </w:r>
            <w:r>
              <w:t xml:space="preserve"> </w:t>
            </w:r>
            <w:r>
              <w:t xml:space="preserve">— assessment class; would require an</w:t>
            </w:r>
            <w:r>
              <w:t xml:space="preserve"> </w:t>
            </w:r>
            <w:r>
              <w:rPr>
                <w:rStyle w:val="VerbatimChar"/>
              </w:rPr>
              <w:t xml:space="preserve">ASSESSMENT</w:t>
            </w:r>
            <w:r>
              <w:t xml:space="preserve"> </w:t>
            </w:r>
            <w:r>
              <w:t xml:space="preserve">output type</w:t>
            </w:r>
          </w:p>
        </w:tc>
        <w:tc>
          <w:tcPr/>
          <w:p>
            <w:pPr>
              <w:pStyle w:val="Compact"/>
              <w:jc w:val="left"/>
            </w:pPr>
            <w:r>
              <w:t xml:space="preserve">None</w:t>
            </w:r>
          </w:p>
        </w:tc>
      </w:tr>
    </w:tbl>
    <w:bookmarkEnd w:id="75"/>
    <w:bookmarkStart w:id="76" w:name="rejected-structurally"/>
    <w:p>
      <w:pPr>
        <w:pStyle w:val="Heading3"/>
      </w:pPr>
      <w:r>
        <w:t xml:space="preserve">Rejected structurally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Capability</w:t>
            </w:r>
          </w:p>
        </w:tc>
        <w:tc>
          <w:tcPr/>
          <w:p>
            <w:pPr>
              <w:pStyle w:val="Compact"/>
              <w:jc w:val="left"/>
            </w:pPr>
            <w:r>
              <w:t xml:space="preserve">Why</w:t>
            </w:r>
          </w:p>
        </w:tc>
      </w:tr>
      <w:tr>
        <w:tc>
          <w:tcPr/>
          <w:p>
            <w:pPr>
              <w:pStyle w:val="Compact"/>
              <w:jc w:val="left"/>
            </w:pPr>
            <w:r>
              <w:rPr>
                <w:rStyle w:val="VerbatimChar"/>
              </w:rPr>
              <w:t xml:space="preserve">D-301</w:t>
            </w:r>
          </w:p>
        </w:tc>
        <w:tc>
          <w:tcPr/>
          <w:p>
            <w:pPr>
              <w:pStyle w:val="Compact"/>
              <w:jc w:val="left"/>
            </w:pPr>
            <w:r>
              <w:rPr>
                <w:bCs/>
                <w:b/>
              </w:rPr>
              <w:t xml:space="preserve">Urgency or triage classification, in any form</w:t>
            </w:r>
          </w:p>
        </w:tc>
        <w:tc>
          <w:tcPr/>
          <w:p>
            <w:pPr>
              <w:pStyle w:val="Compact"/>
              <w:jc w:val="left"/>
            </w:pPr>
            <w:r>
              <w:t xml:space="preserve">The rejected prior-BRD journey. Requires the system to hold a clinical position on severity.</w:t>
            </w:r>
            <w:r>
              <w:t xml:space="preserve"> </w:t>
            </w:r>
            <w:r>
              <w:rPr>
                <w:bCs/>
                <w:b/>
              </w:rPr>
              <w:t xml:space="preserve">No output type exists for it.</w:t>
            </w:r>
            <w:r>
              <w:t xml:space="preserve"> </w:t>
            </w:r>
            <w:r>
              <w:t xml:space="preserve">Any owner-facing "how urgent is this" surface is prohibited; the only permitted owner-facing routing is a static, vet-authored, non-adaptive contact-your-clinic message plus the clinic's own published emergency number</w:t>
            </w:r>
          </w:p>
        </w:tc>
      </w:tr>
      <w:tr>
        <w:tc>
          <w:tcPr/>
          <w:p>
            <w:pPr>
              <w:pStyle w:val="Compact"/>
              <w:jc w:val="left"/>
            </w:pPr>
            <w:r>
              <w:rPr>
                <w:rStyle w:val="VerbatimChar"/>
              </w:rPr>
              <w:t xml:space="preserve">D-302</w:t>
            </w:r>
          </w:p>
        </w:tc>
        <w:tc>
          <w:tcPr/>
          <w:p>
            <w:pPr>
              <w:pStyle w:val="Compact"/>
              <w:jc w:val="left"/>
            </w:pPr>
            <w:r>
              <w:t xml:space="preserve">Differential-diagnosis generation or ranking</w:t>
            </w:r>
          </w:p>
        </w:tc>
        <w:tc>
          <w:tcPr/>
          <w:p>
            <w:pPr>
              <w:pStyle w:val="Compact"/>
              <w:jc w:val="left"/>
            </w:pPr>
            <w:r>
              <w:t xml:space="preserve">The system authoring a diagnosis. Absolutely prohibited (§S5.4)</w:t>
            </w:r>
          </w:p>
        </w:tc>
      </w:tr>
      <w:tr>
        <w:tc>
          <w:tcPr/>
          <w:p>
            <w:pPr>
              <w:pStyle w:val="Compact"/>
              <w:jc w:val="left"/>
            </w:pPr>
            <w:r>
              <w:rPr>
                <w:rStyle w:val="VerbatimChar"/>
              </w:rPr>
              <w:t xml:space="preserve">D-303</w:t>
            </w:r>
          </w:p>
        </w:tc>
        <w:tc>
          <w:tcPr/>
          <w:p>
            <w:pPr>
              <w:pStyle w:val="Compact"/>
              <w:jc w:val="left"/>
            </w:pPr>
            <w:r>
              <w:rPr>
                <w:bCs/>
                <w:b/>
              </w:rPr>
              <w:t xml:space="preserve">Notifiable-disease detection from free-text notes</w:t>
            </w:r>
          </w:p>
        </w:tc>
        <w:tc>
          <w:tcPr/>
          <w:p>
            <w:pPr>
              <w:pStyle w:val="Compact"/>
              <w:jc w:val="left"/>
            </w:pPr>
            <w:r>
              <w:t xml:space="preserve">Attractive and wrong. Free-text detection means the system forms a view on what the animal has and then attaches a statutory consequence to its own inference. A false negative is a missed duty the clinic believes was covered; a false positive is an erroneous report to a regulator. Phase 1 triggers only on a</w:t>
            </w:r>
            <w:r>
              <w:t xml:space="preserve"> </w:t>
            </w:r>
            <w:r>
              <w:rPr>
                <w:bCs/>
                <w:b/>
              </w:rPr>
              <w:t xml:space="preserve">coded entry the vet selected</w:t>
            </w:r>
          </w:p>
        </w:tc>
      </w:tr>
      <w:tr>
        <w:tc>
          <w:tcPr/>
          <w:p>
            <w:pPr>
              <w:pStyle w:val="Compact"/>
              <w:jc w:val="left"/>
            </w:pPr>
            <w:r>
              <w:rPr>
                <w:rStyle w:val="VerbatimChar"/>
              </w:rPr>
              <w:t xml:space="preserve">D-304</w:t>
            </w:r>
          </w:p>
        </w:tc>
        <w:tc>
          <w:tcPr/>
          <w:p>
            <w:pPr>
              <w:pStyle w:val="Compact"/>
              <w:jc w:val="left"/>
            </w:pPr>
            <w:r>
              <w:t xml:space="preserve">No-show prediction (per-owner behavioural score)</w:t>
            </w:r>
          </w:p>
        </w:tc>
        <w:tc>
          <w:tcPr/>
          <w:p>
            <w:pPr>
              <w:pStyle w:val="Compact"/>
              <w:jc w:val="left"/>
            </w:pPr>
            <w:r>
              <w:t xml:space="preserve">A behavioural score on an identified natural person under PDPL, with an obvious discriminatory downstream and a feedback loop that entrenches it. Replaced by clinic-level, non-personal reminder-effectiveness reporting</w:t>
            </w:r>
          </w:p>
        </w:tc>
      </w:tr>
      <w:tr>
        <w:tc>
          <w:tcPr/>
          <w:p>
            <w:pPr>
              <w:pStyle w:val="Compact"/>
              <w:jc w:val="left"/>
            </w:pPr>
            <w:r>
              <w:rPr>
                <w:rStyle w:val="VerbatimChar"/>
              </w:rPr>
              <w:t xml:space="preserve">D-305</w:t>
            </w:r>
          </w:p>
        </w:tc>
        <w:tc>
          <w:tcPr/>
          <w:p>
            <w:pPr>
              <w:pStyle w:val="Compact"/>
              <w:jc w:val="left"/>
            </w:pPr>
            <w:r>
              <w:t xml:space="preserve">Owner-facing symptom checker or clinical chatbot</w:t>
            </w:r>
          </w:p>
        </w:tc>
        <w:tc>
          <w:tcPr/>
          <w:p>
            <w:pPr>
              <w:pStyle w:val="Compact"/>
              <w:jc w:val="left"/>
            </w:pPr>
            <w:r>
              <w:t xml:space="preserve">Assessment class, delivered to a layperson, outside a consultation</w:t>
            </w:r>
          </w:p>
        </w:tc>
      </w:tr>
      <w:tr>
        <w:tc>
          <w:tcPr/>
          <w:p>
            <w:pPr>
              <w:pStyle w:val="Compact"/>
              <w:jc w:val="left"/>
            </w:pPr>
            <w:r>
              <w:rPr>
                <w:rStyle w:val="VerbatimChar"/>
              </w:rPr>
              <w:t xml:space="preserve">D-306</w:t>
            </w:r>
          </w:p>
        </w:tc>
        <w:tc>
          <w:tcPr/>
          <w:p>
            <w:pPr>
              <w:pStyle w:val="Compact"/>
              <w:jc w:val="left"/>
            </w:pPr>
            <w:r>
              <w:t xml:space="preserve">Generative authoring of any prescription, dose, or discharge instruction containing a dose or frequency</w:t>
            </w:r>
          </w:p>
        </w:tc>
        <w:tc>
          <w:tcPr/>
          <w:p>
            <w:pPr>
              <w:pStyle w:val="Compact"/>
              <w:jc w:val="left"/>
            </w:pPr>
            <w:r>
              <w:t xml:space="preserve">The generation plane may not emit numerals in clinical fields</w:t>
            </w:r>
          </w:p>
        </w:tc>
      </w:tr>
      <w:tr>
        <w:tc>
          <w:tcPr/>
          <w:p>
            <w:pPr>
              <w:pStyle w:val="Compact"/>
              <w:jc w:val="left"/>
            </w:pPr>
            <w:r>
              <w:rPr>
                <w:rStyle w:val="VerbatimChar"/>
              </w:rPr>
              <w:t xml:space="preserve">D-307</w:t>
            </w:r>
          </w:p>
        </w:tc>
        <w:tc>
          <w:tcPr/>
          <w:p>
            <w:pPr>
              <w:pStyle w:val="Compact"/>
              <w:jc w:val="left"/>
            </w:pPr>
            <w:r>
              <w:rPr>
                <w:bCs/>
                <w:b/>
              </w:rPr>
              <w:t xml:space="preserve">Automated submission to Weqaa without named-vet attestation</w:t>
            </w:r>
          </w:p>
        </w:tc>
        <w:tc>
          <w:tcPr/>
          <w:p>
            <w:pPr>
              <w:pStyle w:val="Compact"/>
              <w:jc w:val="left"/>
            </w:pPr>
            <w:r>
              <w:t xml:space="preserve">The platform prepares and evidences; the licensed vet submits and is recorded as submitter. Automating it would make the platform the reporter</w:t>
            </w:r>
          </w:p>
        </w:tc>
      </w:tr>
      <w:tr>
        <w:tc>
          <w:tcPr/>
          <w:p>
            <w:pPr>
              <w:pStyle w:val="Compact"/>
              <w:jc w:val="left"/>
            </w:pPr>
            <w:r>
              <w:rPr>
                <w:rStyle w:val="VerbatimChar"/>
              </w:rPr>
              <w:t xml:space="preserve">D-308</w:t>
            </w:r>
          </w:p>
        </w:tc>
        <w:tc>
          <w:tcPr/>
          <w:p>
            <w:pPr>
              <w:pStyle w:val="Compact"/>
              <w:jc w:val="left"/>
            </w:pPr>
            <w:r>
              <w:t xml:space="preserve">Cross-clinic AI benchmarking of individual vets' clinical decisions</w:t>
            </w:r>
          </w:p>
        </w:tc>
        <w:tc>
          <w:tcPr/>
          <w:p>
            <w:pPr>
              <w:pStyle w:val="Compact"/>
              <w:jc w:val="left"/>
            </w:pPr>
            <w:r>
              <w:t xml:space="preserve">Turns assistive infrastructure into surveillance of professional judgement. Clinic-level aggregates only</w:t>
            </w:r>
          </w:p>
        </w:tc>
      </w:tr>
    </w:tbl>
    <w:bookmarkEnd w:id="76"/>
    <w:bookmarkEnd w:id="77"/>
    <w:bookmarkStart w:id="78" w:name="X30a53e79d1e057269e7e3fcdd9880174e67bc36"/>
    <w:p>
      <w:pPr>
        <w:pStyle w:val="Heading2"/>
      </w:pPr>
      <w:r>
        <w:t xml:space="preserve">S5.3 The safety architecture — structural enforcement</w:t>
      </w:r>
    </w:p>
    <w:p>
      <w:pPr>
        <w:pStyle w:val="FirstParagraph"/>
      </w:pPr>
      <w:r>
        <w:rPr>
          <w:rStyle w:val="VerbatimChar"/>
          <w:bCs/>
          <w:b/>
        </w:rPr>
        <w:t xml:space="preserve">D-003</w:t>
      </w:r>
      <w:r>
        <w:rPr>
          <w:bCs/>
          <w:b/>
        </w:rPr>
        <w:t xml:space="preserve"> </w:t>
      </w:r>
      <w:r>
        <w:rPr>
          <w:bCs/>
          <w:b/>
        </w:rPr>
        <w:t xml:space="preserve">— Two-plane separation.</w:t>
      </w:r>
      <w:r>
        <w:t xml:space="preserve"> </w:t>
      </w:r>
      <w:r>
        <w:t xml:space="preserve">Two independently deployed services, two repositories, two credentials.</w:t>
      </w:r>
    </w:p>
    <w:p>
      <w:pPr>
        <w:pStyle w:val="BodyText"/>
      </w:pPr>
      <w:r>
        <w:rPr>
          <w:bCs/>
          <w:b/>
        </w:rPr>
        <w:t xml:space="preserve">Reference Plane</w:t>
      </w:r>
      <w:r>
        <w:t xml:space="preserve"> </w:t>
      </w:r>
      <w:r>
        <w:t xml:space="preserve">(</w:t>
      </w:r>
      <w:r>
        <w:rPr>
          <w:rStyle w:val="VerbatimChar"/>
        </w:rPr>
        <w:t xml:space="preserve">D-101</w:t>
      </w:r>
      <w:r>
        <w:t xml:space="preserve">–</w:t>
      </w:r>
      <w:r>
        <w:rPr>
          <w:rStyle w:val="VerbatimChar"/>
        </w:rPr>
        <w:t xml:space="preserve">D-106</w:t>
      </w:r>
      <w:r>
        <w:t xml:space="preserve">, expiry alerting): deterministic rules, licensed lookup, transparent arithmetic. May read clinical tables. May write only to the assist-event log.</w:t>
      </w:r>
      <w:r>
        <w:t xml:space="preserve"> </w:t>
      </w:r>
      <w:r>
        <w:rPr>
          <w:bCs/>
          <w:b/>
        </w:rPr>
        <w:t xml:space="preserve">Has no language-model client library anywhere in its dependency graph</w:t>
      </w:r>
      <w:r>
        <w:t xml:space="preserve">, enforced by a CI check that fails the build if any inference SDK or HTTP client to an inference endpoint appears in the resolved dependency tree.</w:t>
      </w:r>
    </w:p>
    <w:p>
      <w:pPr>
        <w:pStyle w:val="BodyText"/>
      </w:pPr>
      <w:r>
        <w:rPr>
          <w:bCs/>
          <w:b/>
        </w:rPr>
        <w:t xml:space="preserve">Generation Plane</w:t>
      </w:r>
      <w:r>
        <w:t xml:space="preserve"> </w:t>
      </w:r>
      <w:r>
        <w:t xml:space="preserve">(</w:t>
      </w:r>
      <w:r>
        <w:rPr>
          <w:rStyle w:val="VerbatimChar"/>
        </w:rPr>
        <w:t xml:space="preserve">D-107</w:t>
      </w:r>
      <w:r>
        <w:t xml:space="preserve"> </w:t>
      </w:r>
      <w:r>
        <w:t xml:space="preserve">only): the constrained extractive structurer.</w:t>
      </w:r>
      <w:r>
        <w:t xml:space="preserve"> </w:t>
      </w:r>
      <w:r>
        <w:rPr>
          <w:bCs/>
          <w:b/>
        </w:rPr>
        <w:t xml:space="preserve">No credential for the formulary. No read access to prescribing, dispensing, controlled-substance or notifiable-disease tables. No write access to any clinical table.</w:t>
      </w:r>
      <w:r>
        <w:t xml:space="preserve"> </w:t>
      </w:r>
      <w:r>
        <w:t xml:space="preserve">It writes to exactly one place — a draft-structuring table the vet must act on.</w:t>
      </w:r>
      <w:r>
        <w:t xml:space="preserve"> </w:t>
      </w:r>
      <w:r>
        <w:rPr>
          <w:bCs/>
          <w:b/>
        </w:rPr>
        <w:t xml:space="preserve">Enforced by database role grants, not application code</w:t>
      </w:r>
      <w:r>
        <w:t xml:space="preserve">: the generation plane's role has no</w:t>
      </w:r>
      <w:r>
        <w:t xml:space="preserve"> </w:t>
      </w:r>
      <w:r>
        <w:rPr>
          <w:rStyle w:val="VerbatimChar"/>
        </w:rPr>
        <w:t xml:space="preserve">INSERT</w:t>
      </w:r>
      <w:r>
        <w:t xml:space="preserve"> </w:t>
      </w:r>
      <w:r>
        <w:t xml:space="preserve">or</w:t>
      </w:r>
      <w:r>
        <w:t xml:space="preserve"> </w:t>
      </w:r>
      <w:r>
        <w:rPr>
          <w:rStyle w:val="VerbatimChar"/>
        </w:rPr>
        <w:t xml:space="preserve">UPDATE</w:t>
      </w:r>
      <w:r>
        <w:t xml:space="preserve"> </w:t>
      </w:r>
      <w:r>
        <w:t xml:space="preserve">on clinical tables at all, so an application bug cannot produce a write it is not permitted.</w:t>
      </w:r>
    </w:p>
    <w:p>
      <w:pPr>
        <w:pStyle w:val="BodyText"/>
      </w:pPr>
      <w:r>
        <w:rPr>
          <w:rStyle w:val="VerbatimChar"/>
          <w:bCs/>
          <w:b/>
        </w:rPr>
        <w:t xml:space="preserve">D-004</w:t>
      </w:r>
      <w:r>
        <w:rPr>
          <w:bCs/>
          <w:b/>
        </w:rPr>
        <w:t xml:space="preserve"> </w:t>
      </w:r>
      <w:r>
        <w:rPr>
          <w:bCs/>
          <w:b/>
        </w:rPr>
        <w:t xml:space="preserve">— The prohibited edge.</w:t>
      </w:r>
      <w:r>
        <w:t xml:space="preserve"> </w:t>
      </w:r>
      <w:r>
        <w:t xml:space="preserve">No code path lets generation-plane output become reference-plane input, or the reverse. A CI architecture test asserts no import, no shared module, no shared queue topic, no shared database role. It is a required check on the protected branch and cannot be bypassed by a single approver.</w:t>
      </w:r>
    </w:p>
    <w:p>
      <w:pPr>
        <w:pStyle w:val="BodyText"/>
      </w:pPr>
      <w:r>
        <w:rPr>
          <w:rStyle w:val="VerbatimChar"/>
          <w:bCs/>
          <w:b/>
        </w:rPr>
        <w:t xml:space="preserve">D-005</w:t>
      </w:r>
      <w:r>
        <w:rPr>
          <w:bCs/>
          <w:b/>
        </w:rPr>
        <w:t xml:space="preserve"> </w:t>
      </w:r>
      <w:r>
        <w:rPr>
          <w:bCs/>
          <w:b/>
        </w:rPr>
        <w:t xml:space="preserve">— Numeral prohibition.</w:t>
      </w:r>
      <w:r>
        <w:t xml:space="preserve"> </w:t>
      </w:r>
      <w:r>
        <w:t xml:space="preserve">The generation plane's output validator rejects any emitted sequence containing a digit, a unit token, or a controlled-vocabulary drug name that does not verify as an exact substring of the vet's input.</w:t>
      </w:r>
      <w:r>
        <w:t xml:space="preserve"> </w:t>
      </w:r>
      <w:r>
        <w:rPr>
          <w:iCs/>
          <w:i/>
        </w:rPr>
        <w:t xml:space="preserve">"The model wrote a dose"</w:t>
      </w:r>
      <w:r>
        <w:t xml:space="preserve"> </w:t>
      </w:r>
      <w:r>
        <w:t xml:space="preserve">is not a reachable state.</w:t>
      </w:r>
    </w:p>
    <w:bookmarkEnd w:id="78"/>
    <w:bookmarkStart w:id="79" w:name="X85996a885ff2b05c38ab11b18cef2f0726a08c1"/>
    <w:p>
      <w:pPr>
        <w:pStyle w:val="Heading2"/>
      </w:pPr>
      <w:r>
        <w:t xml:space="preserve">S5.4 The prohibition on authoring a diagnosis — three layers</w:t>
      </w:r>
    </w:p>
    <w:p>
      <w:pPr>
        <w:numPr>
          <w:ilvl w:val="0"/>
          <w:numId w:val="1003"/>
        </w:numPr>
        <w:pStyle w:val="Compact"/>
      </w:pPr>
      <w:r>
        <w:rPr>
          <w:bCs/>
          <w:b/>
        </w:rPr>
        <w:t xml:space="preserve">Schema.</w:t>
      </w:r>
      <w:r>
        <w:t xml:space="preserve"> </w:t>
      </w:r>
      <w:r>
        <w:t xml:space="preserve">Diagnosis and differential fields carry a mandatory</w:t>
      </w:r>
      <w:r>
        <w:t xml:space="preserve"> </w:t>
      </w:r>
      <w:r>
        <w:rPr>
          <w:rStyle w:val="VerbatimChar"/>
        </w:rPr>
        <w:t xml:space="preserve">entered_by_type</w:t>
      </w:r>
      <w:r>
        <w:t xml:space="preserve"> </w:t>
      </w:r>
      <w:r>
        <w:t xml:space="preserve">enum whose only permitted value is</w:t>
      </w:r>
      <w:r>
        <w:t xml:space="preserve"> </w:t>
      </w:r>
      <w:r>
        <w:rPr>
          <w:rStyle w:val="VerbatimChar"/>
        </w:rPr>
        <w:t xml:space="preserve">HUMAN_PRACTITIONER</w:t>
      </w:r>
      <w:r>
        <w:t xml:space="preserve">.</w:t>
      </w:r>
      <w:r>
        <w:t xml:space="preserve"> </w:t>
      </w:r>
      <w:r>
        <w:rPr>
          <w:bCs/>
          <w:b/>
        </w:rPr>
        <w:t xml:space="preserve">There is no</w:t>
      </w:r>
      <w:r>
        <w:rPr>
          <w:bCs/>
          <w:b/>
        </w:rPr>
        <w:t xml:space="preserve"> </w:t>
      </w:r>
      <w:r>
        <w:rPr>
          <w:rStyle w:val="VerbatimChar"/>
          <w:bCs/>
          <w:b/>
        </w:rPr>
        <w:t xml:space="preserve">SYSTEM</w:t>
      </w:r>
      <w:r>
        <w:rPr>
          <w:bCs/>
          <w:b/>
        </w:rPr>
        <w:t xml:space="preserve"> </w:t>
      </w:r>
      <w:r>
        <w:rPr>
          <w:bCs/>
          <w:b/>
        </w:rPr>
        <w:t xml:space="preserve">value.</w:t>
      </w:r>
      <w:r>
        <w:t xml:space="preserve"> </w:t>
      </w:r>
      <w:r>
        <w:t xml:space="preserve">Adding one is a migration.</w:t>
      </w:r>
    </w:p>
    <w:p>
      <w:pPr>
        <w:numPr>
          <w:ilvl w:val="0"/>
          <w:numId w:val="1003"/>
        </w:numPr>
        <w:pStyle w:val="Compact"/>
      </w:pPr>
      <w:r>
        <w:rPr>
          <w:bCs/>
          <w:b/>
        </w:rPr>
        <w:t xml:space="preserve">Grant.</w:t>
      </w:r>
      <w:r>
        <w:t xml:space="preserve"> </w:t>
      </w:r>
      <w:r>
        <w:t xml:space="preserve">No service account holds</w:t>
      </w:r>
      <w:r>
        <w:t xml:space="preserve"> </w:t>
      </w:r>
      <w:r>
        <w:rPr>
          <w:rStyle w:val="VerbatimChar"/>
        </w:rPr>
        <w:t xml:space="preserve">INSERT</w:t>
      </w:r>
      <w:r>
        <w:t xml:space="preserve"> </w:t>
      </w:r>
      <w:r>
        <w:t xml:space="preserve">or</w:t>
      </w:r>
      <w:r>
        <w:t xml:space="preserve"> </w:t>
      </w:r>
      <w:r>
        <w:rPr>
          <w:rStyle w:val="VerbatimChar"/>
        </w:rPr>
        <w:t xml:space="preserve">UPDATE</w:t>
      </w:r>
      <w:r>
        <w:t xml:space="preserve"> </w:t>
      </w:r>
      <w:r>
        <w:t xml:space="preserve">on diagnosis, differential, assessment or plan tables. Only sessions authenticated as a natural person holding a licence.</w:t>
      </w:r>
    </w:p>
    <w:p>
      <w:pPr>
        <w:numPr>
          <w:ilvl w:val="0"/>
          <w:numId w:val="1003"/>
        </w:numPr>
        <w:pStyle w:val="Compact"/>
      </w:pPr>
      <w:r>
        <w:rPr>
          <w:bCs/>
          <w:b/>
        </w:rPr>
        <w:t xml:space="preserve">Output typing.</w:t>
      </w:r>
      <w:r>
        <w:t xml:space="preserve"> </w:t>
      </w:r>
      <w:r>
        <w:t xml:space="preserve">The assist-event output type column is constrained to the five permitted values.</w:t>
      </w:r>
      <w:r>
        <w:t xml:space="preserve"> </w:t>
      </w:r>
      <w:r>
        <w:rPr>
          <w:rStyle w:val="VerbatimChar"/>
        </w:rPr>
        <w:t xml:space="preserve">RECOMMENDATION</w:t>
      </w:r>
      <w:r>
        <w:t xml:space="preserve"> </w:t>
      </w:r>
      <w:r>
        <w:t xml:space="preserve">and</w:t>
      </w:r>
      <w:r>
        <w:t xml:space="preserve"> </w:t>
      </w:r>
      <w:r>
        <w:rPr>
          <w:rStyle w:val="VerbatimChar"/>
        </w:rPr>
        <w:t xml:space="preserve">ASSESSMENT</w:t>
      </w:r>
      <w:r>
        <w:t xml:space="preserve"> </w:t>
      </w:r>
      <w:r>
        <w:t xml:space="preserve">are not in the enum; any capability that would emit one fails at insert.</w:t>
      </w:r>
    </w:p>
    <w:p>
      <w:pPr>
        <w:pStyle w:val="FirstParagraph"/>
      </w:pPr>
      <w:r>
        <w:rPr>
          <w:bCs/>
          <w:b/>
        </w:rPr>
        <w:t xml:space="preserve">Together these mean the sentence</w:t>
      </w:r>
      <w:r>
        <w:rPr>
          <w:bCs/>
          <w:b/>
        </w:rPr>
        <w:t xml:space="preserve"> </w:t>
      </w:r>
      <w:r>
        <w:rPr>
          <w:iCs/>
          <w:i/>
          <w:bCs/>
          <w:b/>
        </w:rPr>
        <w:t xml:space="preserve">"the AI suggested a diagnosis"</w:t>
      </w:r>
      <w:r>
        <w:rPr>
          <w:bCs/>
          <w:b/>
        </w:rPr>
        <w:t xml:space="preserve"> </w:t>
      </w:r>
      <w:r>
        <w:rPr>
          <w:bCs/>
          <w:b/>
        </w:rPr>
        <w:t xml:space="preserve">describes a state the database cannot hold.</w:t>
      </w:r>
    </w:p>
    <w:bookmarkEnd w:id="79"/>
    <w:bookmarkStart w:id="80" w:name="s55-the-decision-authority-record"/>
    <w:p>
      <w:pPr>
        <w:pStyle w:val="Heading2"/>
      </w:pPr>
      <w:r>
        <w:t xml:space="preserve">S5.5 The Decision Authority Record</w:t>
      </w:r>
    </w:p>
    <w:p>
      <w:pPr>
        <w:pStyle w:val="FirstParagraph"/>
      </w:pPr>
      <w:r>
        <w:rPr>
          <w:rStyle w:val="VerbatimChar"/>
          <w:bCs/>
          <w:b/>
        </w:rPr>
        <w:t xml:space="preserve">D-006</w:t>
      </w:r>
      <w:r>
        <w:t xml:space="preserve"> </w:t>
      </w:r>
      <w:r>
        <w:t xml:space="preserve">— Every clinical act — prescription, dispensing, diagnosis entry, notifiable attestation, discharge — carries a non-nullable Decision Authority Record, written</w:t>
      </w:r>
      <w:r>
        <w:t xml:space="preserve"> </w:t>
      </w:r>
      <w:r>
        <w:rPr>
          <w:bCs/>
          <w:b/>
        </w:rPr>
        <w:t xml:space="preserve">in the same transaction as the act</w:t>
      </w:r>
      <w:r>
        <w:t xml:space="preserve">, so there is no window in which an act exists without an owner.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Note</w:t>
            </w:r>
          </w:p>
        </w:tc>
      </w:tr>
      <w:tr>
        <w:tc>
          <w:tcPr/>
          <w:p>
            <w:pPr>
              <w:pStyle w:val="Compact"/>
              <w:jc w:val="left"/>
            </w:pPr>
            <w:r>
              <w:rPr>
                <w:rStyle w:val="VerbatimChar"/>
              </w:rPr>
              <w:t xml:space="preserve">decided_by_practitioner_id</w:t>
            </w:r>
          </w:p>
        </w:tc>
        <w:tc>
          <w:tcPr/>
          <w:p>
            <w:pPr>
              <w:pStyle w:val="Compact"/>
              <w:jc w:val="left"/>
            </w:pPr>
            <w:r>
              <w:t xml:space="preserve">Natural person. Foreign key to practitioner</w:t>
            </w:r>
          </w:p>
        </w:tc>
      </w:tr>
      <w:tr>
        <w:tc>
          <w:tcPr/>
          <w:p>
            <w:pPr>
              <w:pStyle w:val="Compact"/>
              <w:jc w:val="left"/>
            </w:pPr>
            <w:r>
              <w:rPr>
                <w:rStyle w:val="VerbatimChar"/>
              </w:rPr>
              <w:t xml:space="preserve">licence_number</w:t>
            </w:r>
            <w:r>
              <w:t xml:space="preserve">,</w:t>
            </w:r>
            <w:r>
              <w:t xml:space="preserve"> </w:t>
            </w:r>
            <w:r>
              <w:rPr>
                <w:rStyle w:val="VerbatimChar"/>
              </w:rPr>
              <w:t xml:space="preserve">licence_authority</w:t>
            </w:r>
          </w:p>
        </w:tc>
        <w:tc>
          <w:tcPr/>
          <w:p>
            <w:pPr>
              <w:pStyle w:val="Compact"/>
              <w:jc w:val="left"/>
            </w:pPr>
            <w:r>
              <w:rPr>
                <w:bCs/>
                <w:b/>
              </w:rPr>
              <w:t xml:space="preserve">Copied, not referenced</w:t>
            </w:r>
            <w:r>
              <w:t xml:space="preserve"> </w:t>
            </w:r>
            <w:r>
              <w:t xml:space="preserve">— the licence as it stood at that moment</w:t>
            </w:r>
          </w:p>
        </w:tc>
      </w:tr>
      <w:tr>
        <w:tc>
          <w:tcPr/>
          <w:p>
            <w:pPr>
              <w:pStyle w:val="Compact"/>
              <w:jc w:val="left"/>
            </w:pPr>
            <w:r>
              <w:rPr>
                <w:rStyle w:val="VerbatimChar"/>
              </w:rPr>
              <w:t xml:space="preserve">licence_valid_at_decision</w:t>
            </w:r>
          </w:p>
        </w:tc>
        <w:tc>
          <w:tcPr/>
          <w:p>
            <w:pPr>
              <w:pStyle w:val="Compact"/>
              <w:jc w:val="left"/>
            </w:pPr>
            <w:r>
              <w:t xml:space="preserve">Computed at decision time and frozen</w:t>
            </w:r>
          </w:p>
        </w:tc>
      </w:tr>
      <w:tr>
        <w:tc>
          <w:tcPr/>
          <w:p>
            <w:pPr>
              <w:pStyle w:val="Compact"/>
              <w:jc w:val="left"/>
            </w:pPr>
            <w:r>
              <w:rPr>
                <w:rStyle w:val="VerbatimChar"/>
              </w:rPr>
              <w:t xml:space="preserve">decision_timestamp</w:t>
            </w:r>
          </w:p>
        </w:tc>
        <w:tc>
          <w:tcPr/>
          <w:p>
            <w:pPr>
              <w:pStyle w:val="Compact"/>
              <w:jc w:val="left"/>
            </w:pPr>
            <w:r>
              <w:t xml:space="preserve">Asia/Riyadh + UTC</w:t>
            </w:r>
          </w:p>
        </w:tc>
      </w:tr>
      <w:tr>
        <w:tc>
          <w:tcPr/>
          <w:p>
            <w:pPr>
              <w:pStyle w:val="Compact"/>
              <w:jc w:val="left"/>
            </w:pPr>
            <w:r>
              <w:rPr>
                <w:rStyle w:val="VerbatimChar"/>
              </w:rPr>
              <w:t xml:space="preserve">assist_events[]</w:t>
            </w:r>
          </w:p>
        </w:tc>
        <w:tc>
          <w:tcPr/>
          <w:p>
            <w:pPr>
              <w:pStyle w:val="Compact"/>
              <w:jc w:val="left"/>
            </w:pPr>
            <w:r>
              <w:t xml:space="preserve">Every assist event</w:t>
            </w:r>
            <w:r>
              <w:t xml:space="preserve"> </w:t>
            </w:r>
            <w:r>
              <w:rPr>
                <w:iCs/>
                <w:i/>
              </w:rPr>
              <w:t xml:space="preserve">shown</w:t>
            </w:r>
            <w:r>
              <w:t xml:space="preserve"> </w:t>
            </w:r>
            <w:r>
              <w:t xml:space="preserve">before the decision, and every one</w:t>
            </w:r>
            <w:r>
              <w:t xml:space="preserve"> </w:t>
            </w:r>
            <w:r>
              <w:rPr>
                <w:iCs/>
                <w:i/>
              </w:rPr>
              <w:t xml:space="preserve">evaluated but not shown</w:t>
            </w:r>
          </w:p>
        </w:tc>
      </w:tr>
      <w:tr>
        <w:tc>
          <w:tcPr/>
          <w:p>
            <w:pPr>
              <w:pStyle w:val="Compact"/>
              <w:jc w:val="left"/>
            </w:pPr>
            <w:r>
              <w:rPr>
                <w:rStyle w:val="VerbatimChar"/>
              </w:rPr>
              <w:t xml:space="preserve">overrides[]</w:t>
            </w:r>
          </w:p>
        </w:tc>
        <w:tc>
          <w:tcPr/>
          <w:p>
            <w:pPr>
              <w:pStyle w:val="Compact"/>
              <w:jc w:val="left"/>
            </w:pPr>
            <w:r>
              <w:t xml:space="preserve">Every finding proceeded past, with the acknowledgement text</w:t>
            </w:r>
          </w:p>
        </w:tc>
      </w:tr>
    </w:tbl>
    <w:p>
      <w:pPr>
        <w:pStyle w:val="BodyText"/>
      </w:pPr>
      <w:r>
        <w:t xml:space="preserve">The inspector's question is never</w:t>
      </w:r>
      <w:r>
        <w:t xml:space="preserve"> </w:t>
      </w:r>
      <w:r>
        <w:rPr>
          <w:iCs/>
          <w:i/>
        </w:rPr>
        <w:t xml:space="preserve">"is this vet licensed today"</w:t>
      </w:r>
      <w:r>
        <w:t xml:space="preserve">. It is</w:t>
      </w:r>
      <w:r>
        <w:t xml:space="preserve"> </w:t>
      </w:r>
      <w:r>
        <w:rPr>
          <w:iCs/>
          <w:i/>
        </w:rPr>
        <w:t xml:space="preserve">"was this vet licensed when they signed that note"</w:t>
      </w:r>
      <w:r>
        <w:t xml:space="preserve">. Only a frozen record answers it.</w:t>
      </w:r>
    </w:p>
    <w:bookmarkEnd w:id="80"/>
    <w:bookmarkStart w:id="81" w:name="s56-what-the-ui-must-never-do"/>
    <w:p>
      <w:pPr>
        <w:pStyle w:val="Heading2"/>
      </w:pPr>
      <w:r>
        <w:t xml:space="preserve">S5.6 What the UI must never do</w:t>
      </w:r>
    </w:p>
    <w:p>
      <w:pPr>
        <w:pStyle w:val="FirstParagraph"/>
      </w:pPr>
      <w:r>
        <w:t xml:space="preserve">Binding, each with an automated check:</w:t>
      </w:r>
    </w:p>
    <w:p>
      <w:pPr>
        <w:numPr>
          <w:ilvl w:val="0"/>
          <w:numId w:val="1004"/>
        </w:numPr>
        <w:pStyle w:val="Compact"/>
      </w:pPr>
      <w:r>
        <w:rPr>
          <w:bCs/>
          <w:b/>
        </w:rPr>
        <w:t xml:space="preserve">No pre-selection.</w:t>
      </w:r>
      <w:r>
        <w:t xml:space="preserve"> </w:t>
      </w:r>
      <w:r>
        <w:t xml:space="preserve">No assist output arrives pre-chosen, pre-filled, pre-ticked, or focused such that Enter is an acceptance.</w:t>
      </w:r>
    </w:p>
    <w:p>
      <w:pPr>
        <w:numPr>
          <w:ilvl w:val="0"/>
          <w:numId w:val="1004"/>
        </w:numPr>
        <w:pStyle w:val="Compact"/>
      </w:pPr>
      <w:r>
        <w:rPr>
          <w:bCs/>
          <w:b/>
        </w:rPr>
        <w:t xml:space="preserve">No auto-accept, no timeout-accept, no timeout-dismiss.</w:t>
      </w:r>
      <w:r>
        <w:t xml:space="preserve"> </w:t>
      </w:r>
      <w:r>
        <w:t xml:space="preserve">An assist panel persists until a human acts.</w:t>
      </w:r>
      <w:r>
        <w:t xml:space="preserve"> </w:t>
      </w:r>
      <w:r>
        <w:rPr>
          <w:bCs/>
          <w:b/>
        </w:rPr>
        <w:t xml:space="preserve">Silence is never consent and never dismissal.</w:t>
      </w:r>
    </w:p>
    <w:p>
      <w:pPr>
        <w:numPr>
          <w:ilvl w:val="0"/>
          <w:numId w:val="1004"/>
        </w:numPr>
        <w:pStyle w:val="Compact"/>
      </w:pPr>
      <w:r>
        <w:rPr>
          <w:bCs/>
          <w:b/>
        </w:rPr>
        <w:t xml:space="preserve">No ranking that reads as preference.</w:t>
      </w:r>
      <w:r>
        <w:t xml:space="preserve"> </w:t>
      </w:r>
      <w:r>
        <w:t xml:space="preserve">Ordering is alphabetical, chronological, or the source's own order — never anything the platform computed. No "top result", no "best match", no relevance score.</w:t>
      </w:r>
    </w:p>
    <w:p>
      <w:pPr>
        <w:numPr>
          <w:ilvl w:val="0"/>
          <w:numId w:val="1004"/>
        </w:numPr>
        <w:pStyle w:val="Compact"/>
      </w:pPr>
      <w:r>
        <w:rPr>
          <w:bCs/>
          <w:b/>
        </w:rPr>
        <w:t xml:space="preserve">No platform-assigned severity encoding.</w:t>
      </w:r>
      <w:r>
        <w:t xml:space="preserve"> </w:t>
      </w:r>
      <w:r>
        <w:t xml:space="preserve">Colour, icon and prominence may encode only</w:t>
      </w:r>
      <w:r>
        <w:t xml:space="preserve"> </w:t>
      </w:r>
      <w:r>
        <w:rPr>
          <w:rStyle w:val="VerbatimChar"/>
        </w:rPr>
        <w:t xml:space="preserve">HAS_FINDING</w:t>
      </w:r>
      <w:r>
        <w:t xml:space="preserve"> </w:t>
      </w:r>
      <w:r>
        <w:t xml:space="preserve">/</w:t>
      </w:r>
      <w:r>
        <w:t xml:space="preserve"> </w:t>
      </w:r>
      <w:r>
        <w:rPr>
          <w:rStyle w:val="VerbatimChar"/>
        </w:rPr>
        <w:t xml:space="preserve">NO_FINDING</w:t>
      </w:r>
      <w:r>
        <w:t xml:space="preserve"> </w:t>
      </w:r>
      <w:r>
        <w:t xml:space="preserve">/</w:t>
      </w:r>
      <w:r>
        <w:t xml:space="preserve"> </w:t>
      </w:r>
      <w:r>
        <w:rPr>
          <w:rStyle w:val="VerbatimChar"/>
        </w:rPr>
        <w:t xml:space="preserve">NOT_CHECKED</w:t>
      </w:r>
      <w:r>
        <w:t xml:space="preserve">. Severity may be displayed as text quoted from the reference but</w:t>
      </w:r>
      <w:r>
        <w:t xml:space="preserve"> </w:t>
      </w:r>
      <w:r>
        <w:rPr>
          <w:bCs/>
          <w:b/>
        </w:rPr>
        <w:t xml:space="preserve">may never drive platform styling</w:t>
      </w:r>
      <w:r>
        <w:t xml:space="preserve"> </w:t>
      </w:r>
      <w:r>
        <w:t xml:space="preserve">— otherwise the platform is grading.</w:t>
      </w:r>
    </w:p>
    <w:p>
      <w:pPr>
        <w:numPr>
          <w:ilvl w:val="0"/>
          <w:numId w:val="1004"/>
        </w:numPr>
        <w:pStyle w:val="Compact"/>
      </w:pPr>
      <w:r>
        <w:rPr>
          <w:bCs/>
          <w:b/>
        </w:rPr>
        <w:t xml:space="preserve">No suggestion affordances.</w:t>
      </w:r>
      <w:r>
        <w:t xml:space="preserve"> </w:t>
      </w:r>
      <w:r>
        <w:t xml:space="preserve">No "use this", no "apply", no one-click insertion of reference content into a prescribing field. Reference text is selectable and copyable; it is never injectable.</w:t>
      </w:r>
    </w:p>
    <w:p>
      <w:pPr>
        <w:numPr>
          <w:ilvl w:val="0"/>
          <w:numId w:val="1004"/>
        </w:numPr>
        <w:pStyle w:val="Compact"/>
      </w:pPr>
      <w:r>
        <w:rPr>
          <w:bCs/>
          <w:b/>
        </w:rPr>
        <w:t xml:space="preserve">No agency language.</w:t>
      </w:r>
      <w:r>
        <w:t xml:space="preserve"> </w:t>
      </w:r>
      <w:r>
        <w:t xml:space="preserve">Prohibited:</w:t>
      </w:r>
      <w:r>
        <w:t xml:space="preserve"> </w:t>
      </w:r>
      <w:r>
        <w:rPr>
          <w:iCs/>
          <w:i/>
        </w:rPr>
        <w:t xml:space="preserve">recommends, suggests, advises, thinks, believes, detected, diagnosed, AI says.</w:t>
      </w:r>
      <w:r>
        <w:t xml:space="preserve"> </w:t>
      </w:r>
      <w:r>
        <w:t xml:space="preserve">Permitted:</w:t>
      </w:r>
      <w:r>
        <w:t xml:space="preserve"> </w:t>
      </w:r>
      <w:r>
        <w:rPr>
          <w:iCs/>
          <w:i/>
        </w:rPr>
        <w:t xml:space="preserve">"{reference} states", "this system found", "no check performed", "records show".</w:t>
      </w:r>
      <w:r>
        <w:t xml:space="preserve"> </w:t>
      </w:r>
      <w:r>
        <w:t xml:space="preserve">Enforced by a lint rule over the string catalogue.</w:t>
      </w:r>
    </w:p>
    <w:p>
      <w:pPr>
        <w:numPr>
          <w:ilvl w:val="0"/>
          <w:numId w:val="1004"/>
        </w:numPr>
        <w:pStyle w:val="Compact"/>
      </w:pPr>
      <w:r>
        <w:rPr>
          <w:bCs/>
          <w:b/>
        </w:rPr>
        <w:t xml:space="preserve">No commercial signal on a clinical screen.</w:t>
      </w:r>
      <w:r>
        <w:t xml:space="preserve"> </w:t>
      </w:r>
      <w:r>
        <w:t xml:space="preserve">Stock levels, margins and supplier promotions may not render on prescribing surfaces — that is commercial pressure on a clinical decision.</w:t>
      </w:r>
    </w:p>
    <w:p>
      <w:pPr>
        <w:numPr>
          <w:ilvl w:val="0"/>
          <w:numId w:val="1004"/>
        </w:numPr>
        <w:pStyle w:val="Compact"/>
      </w:pPr>
      <w:r>
        <w:rPr>
          <w:bCs/>
          <w:b/>
        </w:rPr>
        <w:t xml:space="preserve">No hiding the override.</w:t>
      </w:r>
      <w:r>
        <w:t xml:space="preserve"> </w:t>
      </w:r>
      <w:r>
        <w:t xml:space="preserve">Proceed-as-entered is always visible at the same interaction depth as any acknowledgement control.</w:t>
      </w:r>
    </w:p>
    <w:p>
      <w:pPr>
        <w:numPr>
          <w:ilvl w:val="0"/>
          <w:numId w:val="1004"/>
        </w:numPr>
        <w:pStyle w:val="Compact"/>
      </w:pPr>
      <w:r>
        <w:rPr>
          <w:bCs/>
          <w:b/>
        </w:rPr>
        <w:t xml:space="preserve">No suppression by prior dismissal.</w:t>
      </w:r>
      <w:r>
        <w:t xml:space="preserve"> </w:t>
      </w:r>
      <w:r>
        <w:t xml:space="preserve">Findings are evaluated fresh per decision. There is no "don't show me this again" for</w:t>
      </w:r>
      <w:r>
        <w:t xml:space="preserve"> </w:t>
      </w:r>
      <w:r>
        <w:rPr>
          <w:rStyle w:val="VerbatimChar"/>
        </w:rPr>
        <w:t xml:space="preserve">D-102</w:t>
      </w:r>
      <w:r>
        <w:t xml:space="preserve">,</w:t>
      </w:r>
      <w:r>
        <w:t xml:space="preserve"> </w:t>
      </w:r>
      <w:r>
        <w:rPr>
          <w:rStyle w:val="VerbatimChar"/>
        </w:rPr>
        <w:t xml:space="preserve">D-103</w:t>
      </w:r>
      <w:r>
        <w:t xml:space="preserve"> </w:t>
      </w:r>
      <w:r>
        <w:t xml:space="preserve">or</w:t>
      </w:r>
      <w:r>
        <w:t xml:space="preserve"> </w:t>
      </w:r>
      <w:r>
        <w:rPr>
          <w:rStyle w:val="VerbatimChar"/>
        </w:rPr>
        <w:t xml:space="preserve">D-104</w:t>
      </w:r>
      <w:r>
        <w:t xml:space="preserve">.</w:t>
      </w:r>
    </w:p>
    <w:bookmarkEnd w:id="81"/>
    <w:bookmarkStart w:id="82" w:name="s57-the-silence-rule"/>
    <w:p>
      <w:pPr>
        <w:pStyle w:val="Heading2"/>
      </w:pPr>
      <w:r>
        <w:t xml:space="preserve">S5.7 The silence rule</w:t>
      </w:r>
    </w:p>
    <w:p>
      <w:pPr>
        <w:pStyle w:val="FirstParagraph"/>
      </w:pPr>
      <w:r>
        <w:rPr>
          <w:rStyle w:val="VerbatimChar"/>
          <w:bCs/>
          <w:b/>
        </w:rPr>
        <w:t xml:space="preserve">D-007</w:t>
      </w:r>
      <w:r>
        <w:rPr>
          <w:bCs/>
          <w:b/>
        </w:rPr>
        <w:t xml:space="preserve"> </w:t>
      </w:r>
      <w:r>
        <w:rPr>
          <w:bCs/>
          <w:b/>
        </w:rPr>
        <w:t xml:space="preserve">— Where the reference is silent, the system reports silence. It never infers.</w:t>
      </w:r>
    </w:p>
    <w:p>
      <w:pPr>
        <w:pStyle w:val="BodyText"/>
      </w:pPr>
      <w:r>
        <w:t xml:space="preserve">For</w:t>
      </w:r>
      <w:r>
        <w:t xml:space="preserve"> </w:t>
      </w:r>
      <w:r>
        <w:rPr>
          <w:rStyle w:val="VerbatimChar"/>
        </w:rPr>
        <w:t xml:space="preserve">D-103</w:t>
      </w:r>
      <w:r>
        <w:t xml:space="preserve">:</w:t>
      </w:r>
      <w:r>
        <w:t xml:space="preserve"> </w:t>
      </w:r>
      <w:r>
        <w:rPr>
          <w:iCs/>
          <w:i/>
        </w:rPr>
        <w:t xml:space="preserve">"{reference} version {v} states no dose for {species} by {route} for this product. No range check has been performed."</w:t>
      </w:r>
      <w:r>
        <w:t xml:space="preserve"> </w:t>
      </w:r>
      <w:r>
        <w:t xml:space="preserve">It must never infer from a neighbouring species, a neighbouring route, a human dose, or a related molecule.</w:t>
      </w:r>
      <w:r>
        <w:t xml:space="preserve"> </w:t>
      </w:r>
      <w:r>
        <w:rPr>
          <w:bCs/>
          <w:b/>
        </w:rPr>
        <w:t xml:space="preserve">Absence of a reference statement is never converted into a finding, a caution, or a reassurance.</w:t>
      </w:r>
    </w:p>
    <w:p>
      <w:pPr>
        <w:pStyle w:val="BodyText"/>
      </w:pPr>
      <w:r>
        <w:t xml:space="preserve">For</w:t>
      </w:r>
      <w:r>
        <w:t xml:space="preserve"> </w:t>
      </w:r>
      <w:r>
        <w:rPr>
          <w:rStyle w:val="VerbatimChar"/>
        </w:rPr>
        <w:t xml:space="preserve">D-102</w:t>
      </w:r>
      <w:r>
        <w:t xml:space="preserve">: if the coded entity is not on the list, the system says nothing.</w:t>
      </w:r>
      <w:r>
        <w:t xml:space="preserve"> </w:t>
      </w:r>
      <w:r>
        <w:rPr>
          <w:bCs/>
          <w:b/>
        </w:rPr>
        <w:t xml:space="preserve">It never says "this is not notifiable"</w:t>
      </w:r>
      <w:r>
        <w:t xml:space="preserve"> </w:t>
      </w:r>
      <w:r>
        <w:t xml:space="preserve">— that would be a legal conclusion.</w:t>
      </w:r>
    </w:p>
    <w:p>
      <w:pPr>
        <w:pStyle w:val="BodyText"/>
      </w:pPr>
      <w:r>
        <w:t xml:space="preserve">For</w:t>
      </w:r>
      <w:r>
        <w:t xml:space="preserve"> </w:t>
      </w:r>
      <w:r>
        <w:rPr>
          <w:rStyle w:val="VerbatimChar"/>
        </w:rPr>
        <w:t xml:space="preserve">D-104</w:t>
      </w:r>
      <w:r>
        <w:t xml:space="preserve">: silence about a pair is never presented as absence of interaction. The negative state string explicitly says</w:t>
      </w:r>
      <w:r>
        <w:t xml:space="preserve"> </w:t>
      </w:r>
      <w:r>
        <w:rPr>
          <w:iCs/>
          <w:i/>
        </w:rPr>
        <w:t xml:space="preserve">"for matched items, at major grade, in version {v}"</w:t>
      </w:r>
      <w:r>
        <w:t xml:space="preserve">, and the panel always discloses that lower-graded findings exist and are not shown — because suppressing tiers silently would let a vet infer</w:t>
      </w:r>
      <w:r>
        <w:t xml:space="preserve"> </w:t>
      </w:r>
      <w:r>
        <w:rPr>
          <w:iCs/>
          <w:i/>
        </w:rPr>
        <w:t xml:space="preserve">no alert = no interaction</w:t>
      </w:r>
      <w:r>
        <w:t xml:space="preserve">.</w:t>
      </w:r>
    </w:p>
    <w:bookmarkEnd w:id="82"/>
    <w:bookmarkStart w:id="83" w:name="s58-reference-data-governance"/>
    <w:p>
      <w:pPr>
        <w:pStyle w:val="Heading2"/>
      </w:pPr>
      <w:r>
        <w:t xml:space="preserve">S5.8 Reference-data governance</w:t>
      </w:r>
    </w:p>
    <w:p>
      <w:pPr>
        <w:pStyle w:val="FirstParagraph"/>
      </w:pPr>
      <w:r>
        <w:rPr>
          <w:rStyle w:val="VerbatimChar"/>
          <w:bCs/>
          <w:b/>
        </w:rPr>
        <w:t xml:space="preserve">D-008</w:t>
      </w:r>
      <w:r>
        <w:rPr>
          <w:bCs/>
          <w:b/>
        </w:rPr>
        <w:t xml:space="preserve"> </w:t>
      </w:r>
      <w:r>
        <w:rPr>
          <w:bCs/>
          <w:b/>
        </w:rPr>
        <w:t xml:space="preserve">— A clinical reference source is eligible only if it satisfies all six criteria:</w:t>
      </w:r>
      <w:r>
        <w:t xml:space="preserve"> </w:t>
      </w:r>
      <w:r>
        <w:t xml:space="preserve">authored and maintained by a body competent in veterinary pharmacology, publishing under its own name · species-specific for companion animals, not extrapolated from human or food-animal data · versioned with a publisher-issued identifier and publication date · entry-addressable, so every claim resolves to a stable monograph ID citable in a result and re-fetchable later ·</w:t>
      </w:r>
      <w:r>
        <w:t xml:space="preserve"> </w:t>
      </w:r>
      <w:r>
        <w:rPr>
          <w:bCs/>
          <w:b/>
        </w:rPr>
        <w:t xml:space="preserve">licensed in writing for embedded display within a commercial practice-management platform, including verbatim quotation to the end-user vet, with redistribution scope, seat model and geography explicit</w:t>
      </w:r>
      <w:r>
        <w:t xml:space="preserve"> </w:t>
      </w:r>
      <w:r>
        <w:t xml:space="preserve">·</w:t>
      </w:r>
      <w:r>
        <w:t xml:space="preserve"> </w:t>
      </w:r>
      <w:r>
        <w:rPr>
          <w:bCs/>
          <w:b/>
        </w:rPr>
        <w:t xml:space="preserve">retrievable as a pinned historical version for the full clinical-record retention period</w:t>
      </w:r>
      <w:r>
        <w:t xml:space="preserve">, because a check performed in 2027 must be re-explainable in 2034 against the text as it then stood.</w:t>
      </w:r>
    </w:p>
    <w:p>
      <w:pPr>
        <w:pStyle w:val="BodyText"/>
      </w:pPr>
      <w:r>
        <w:t xml:space="preserve">The sixth criterion is routinely overlooked and is the one most likely to fail in negotiation. If a vendor will only serve "current", MyVetiCare must license the right to retain a local immutable snapshot of every version it used.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Candidate</w:t>
            </w:r>
          </w:p>
        </w:tc>
        <w:tc>
          <w:tcPr/>
          <w:p>
            <w:pPr>
              <w:pStyle w:val="Compact"/>
              <w:jc w:val="left"/>
            </w:pPr>
            <w:r>
              <w:t xml:space="preserve">Fit</w:t>
            </w:r>
          </w:p>
        </w:tc>
        <w:tc>
          <w:tcPr/>
          <w:p>
            <w:pPr>
              <w:pStyle w:val="Compact"/>
              <w:jc w:val="left"/>
            </w:pPr>
            <w:r>
              <w:t xml:space="preserve">Position</w:t>
            </w:r>
          </w:p>
        </w:tc>
      </w:tr>
      <w:tr>
        <w:tc>
          <w:tcPr/>
          <w:p>
            <w:pPr>
              <w:pStyle w:val="Compact"/>
              <w:jc w:val="left"/>
            </w:pPr>
            <w:r>
              <w:rPr>
                <w:bCs/>
                <w:b/>
              </w:rPr>
              <w:t xml:space="preserve">Medi-Span Vet Meds</w:t>
            </w:r>
            <w:r>
              <w:t xml:space="preserve"> </w:t>
            </w:r>
            <w:r>
              <w:t xml:space="preserve">(Wolters Kluwer)</w:t>
            </w:r>
          </w:p>
        </w:tc>
        <w:tc>
          <w:tcPr/>
          <w:p>
            <w:pPr>
              <w:pStyle w:val="Compact"/>
              <w:jc w:val="left"/>
            </w:pPr>
            <w:r>
              <w:rPr>
                <w:bCs/>
                <w:b/>
              </w:rPr>
              <w:t xml:space="preserve">Strongest structural fit.</w:t>
            </w:r>
            <w:r>
              <w:t xml:space="preserve"> </w:t>
            </w:r>
            <w:r>
              <w:t xml:space="preserve">Veterinary drug file plus a screening API covering species/weight dosing, physiology-based contraindication, vet-specific interactions and human-drugs-in-pets; explicitly built for embedding</w:t>
            </w:r>
          </w:p>
        </w:tc>
        <w:tc>
          <w:tcPr/>
          <w:p>
            <w:pPr>
              <w:pStyle w:val="Compact"/>
              <w:jc w:val="left"/>
            </w:pPr>
            <w:r>
              <w:rPr>
                <w:bCs/>
                <w:b/>
              </w:rPr>
              <w:t xml:space="preserve">Recommended primary</w:t>
            </w:r>
            <w:r>
              <w:t xml:space="preserve">, subject to contract.</w:t>
            </w:r>
            <w:r>
              <w:t xml:space="preserve"> </w:t>
            </w:r>
            <w:r>
              <w:rPr>
                <w:rStyle w:val="VerbatimChar"/>
              </w:rPr>
              <w:t xml:space="preserve">[EVIDENCE REQUIRED]</w:t>
            </w:r>
            <w:r>
              <w:t xml:space="preserve">: KSA/MENA territory rights; verbatim-display permission; historical-version retention; whether interaction severity is an exposed field (</w:t>
            </w:r>
            <w:r>
              <w:rPr>
                <w:rStyle w:val="VerbatimChar"/>
              </w:rPr>
              <w:t xml:space="preserve">D-104</w:t>
            </w:r>
            <w:r>
              <w:t xml:space="preserve"> </w:t>
            </w:r>
            <w:r>
              <w:t xml:space="preserve">depends on it)</w:t>
            </w:r>
          </w:p>
        </w:tc>
      </w:tr>
      <w:tr>
        <w:tc>
          <w:tcPr/>
          <w:p>
            <w:pPr>
              <w:pStyle w:val="Compact"/>
              <w:jc w:val="left"/>
            </w:pPr>
            <w:r>
              <w:rPr>
                <w:bCs/>
                <w:b/>
              </w:rPr>
              <w:t xml:space="preserve">Plumb's Veterinary Drugs</w:t>
            </w:r>
          </w:p>
        </w:tc>
        <w:tc>
          <w:tcPr/>
          <w:p>
            <w:pPr>
              <w:pStyle w:val="Compact"/>
              <w:jc w:val="left"/>
            </w:pPr>
            <w:r>
              <w:t xml:space="preserve">Highest clinical credibility with practising vets; per-seat subscription; API only against the multi-location pharmacy plan;</w:t>
            </w:r>
            <w:r>
              <w:t xml:space="preserve"> </w:t>
            </w:r>
            <w:r>
              <w:rPr>
                <w:bCs/>
                <w:b/>
              </w:rPr>
              <w:t xml:space="preserve">no published third-party embedding offering</w:t>
            </w:r>
          </w:p>
        </w:tc>
        <w:tc>
          <w:tcPr/>
          <w:p>
            <w:pPr>
              <w:pStyle w:val="Compact"/>
              <w:jc w:val="left"/>
            </w:pPr>
            <w:r>
              <w:rPr>
                <w:bCs/>
                <w:b/>
              </w:rPr>
              <w:t xml:space="preserve">Credibility asset and adjudication reference</w:t>
            </w:r>
            <w:r>
              <w:t xml:space="preserve">, not a data source, unless an embedding licence is secured.</w:t>
            </w:r>
            <w:r>
              <w:t xml:space="preserve"> </w:t>
            </w:r>
            <w:r>
              <w:rPr>
                <w:rStyle w:val="VerbatimChar"/>
              </w:rPr>
              <w:t xml:space="preserve">[EVIDENCE REQUIRED]</w:t>
            </w:r>
          </w:p>
        </w:tc>
      </w:tr>
      <w:tr>
        <w:tc>
          <w:tcPr/>
          <w:p>
            <w:pPr>
              <w:pStyle w:val="Compact"/>
              <w:jc w:val="left"/>
            </w:pPr>
            <w:r>
              <w:rPr>
                <w:bCs/>
                <w:b/>
              </w:rPr>
              <w:t xml:space="preserve">BSAVA Small Animal Formulary</w:t>
            </w:r>
          </w:p>
        </w:tc>
        <w:tc>
          <w:tcPr/>
          <w:p>
            <w:pPr>
              <w:pStyle w:val="Compact"/>
              <w:jc w:val="left"/>
            </w:pPr>
            <w:r>
              <w:t xml:space="preserve">Authoritative companion-animal formulary; no published machine-readable feed</w:t>
            </w:r>
          </w:p>
        </w:tc>
        <w:tc>
          <w:tcPr/>
          <w:p>
            <w:pPr>
              <w:pStyle w:val="Compact"/>
              <w:jc w:val="left"/>
            </w:pPr>
            <w:r>
              <w:rPr>
                <w:bCs/>
                <w:b/>
              </w:rPr>
              <w:t xml:space="preserve">The clinical-governance reference the Veterinary Clinical Lead adjudicates against</w:t>
            </w:r>
            <w:r>
              <w:t xml:space="preserve">, even if not the machine source.</w:t>
            </w:r>
            <w:r>
              <w:t xml:space="preserve"> </w:t>
            </w:r>
            <w:r>
              <w:rPr>
                <w:rStyle w:val="VerbatimChar"/>
              </w:rPr>
              <w:t xml:space="preserve">[EVIDENCE REQUIRED]</w:t>
            </w:r>
          </w:p>
        </w:tc>
      </w:tr>
      <w:tr>
        <w:tc>
          <w:tcPr/>
          <w:p>
            <w:pPr>
              <w:pStyle w:val="Compact"/>
              <w:jc w:val="left"/>
            </w:pPr>
            <w:r>
              <w:rPr>
                <w:bCs/>
                <w:b/>
              </w:rPr>
              <w:t xml:space="preserve">FDB Pet MedKnowledge</w:t>
            </w:r>
          </w:p>
        </w:tc>
        <w:tc>
          <w:tcPr/>
          <w:p>
            <w:pPr>
              <w:pStyle w:val="Compact"/>
              <w:jc w:val="left"/>
            </w:pPr>
            <w:r>
              <w:t xml:space="preserve">Commerce and dispensing orientation; screening modules not stated publicly</w:t>
            </w:r>
          </w:p>
        </w:tc>
        <w:tc>
          <w:tcPr/>
          <w:p>
            <w:pPr>
              <w:pStyle w:val="Compact"/>
              <w:jc w:val="left"/>
            </w:pPr>
            <w:r>
              <w:t xml:space="preserve">Weaker fit than Medi-Span for</w:t>
            </w:r>
            <w:r>
              <w:t xml:space="preserve"> </w:t>
            </w:r>
            <w:r>
              <w:rPr>
                <w:rStyle w:val="VerbatimChar"/>
              </w:rPr>
              <w:t xml:space="preserve">D-103</w:t>
            </w:r>
            <w:r>
              <w:t xml:space="preserve">.</w:t>
            </w:r>
            <w:r>
              <w:t xml:space="preserve"> </w:t>
            </w:r>
            <w:r>
              <w:rPr>
                <w:rStyle w:val="VerbatimChar"/>
              </w:rPr>
              <w:t xml:space="preserve">[EVIDENCE REQUIRED]</w:t>
            </w:r>
          </w:p>
        </w:tc>
      </w:tr>
      <w:tr>
        <w:tc>
          <w:tcPr/>
          <w:p>
            <w:pPr>
              <w:pStyle w:val="Compact"/>
              <w:jc w:val="left"/>
            </w:pPr>
            <w:r>
              <w:rPr>
                <w:bCs/>
                <w:b/>
              </w:rPr>
              <w:t xml:space="preserve">SFDA registered-drug register</w:t>
            </w:r>
          </w:p>
        </w:tc>
        <w:tc>
          <w:tcPr/>
          <w:p>
            <w:pPr>
              <w:pStyle w:val="Compact"/>
              <w:jc w:val="left"/>
            </w:pPr>
            <w:r>
              <w:t xml:space="preserve">The authoritative answer to a</w:t>
            </w:r>
            <w:r>
              <w:t xml:space="preserve"> </w:t>
            </w:r>
            <w:r>
              <w:rPr>
                <w:iCs/>
                <w:i/>
              </w:rPr>
              <w:t xml:space="preserve">different question</w:t>
            </w:r>
            <w:r>
              <w:t xml:space="preserve">: what is legally marketable in the Kingdom</w:t>
            </w:r>
          </w:p>
        </w:tc>
        <w:tc>
          <w:tcPr/>
          <w:p>
            <w:pPr>
              <w:pStyle w:val="Compact"/>
              <w:jc w:val="left"/>
            </w:pPr>
            <w:r>
              <w:t xml:space="preserve">Used</w:t>
            </w:r>
            <w:r>
              <w:t xml:space="preserve"> </w:t>
            </w:r>
            <w:r>
              <w:rPr>
                <w:bCs/>
                <w:b/>
              </w:rPr>
              <w:t xml:space="preserve">only</w:t>
            </w:r>
            <w:r>
              <w:t xml:space="preserve"> </w:t>
            </w:r>
            <w:r>
              <w:t xml:space="preserve">for registration status.</w:t>
            </w:r>
            <w:r>
              <w:t xml:space="preserve"> </w:t>
            </w:r>
            <w:r>
              <w:rPr>
                <w:bCs/>
                <w:b/>
              </w:rPr>
              <w:t xml:space="preserve">Never for dosing or contraindication</w:t>
            </w:r>
          </w:p>
        </w:tc>
      </w:tr>
      <w:tr>
        <w:tc>
          <w:tcPr/>
          <w:p>
            <w:pPr>
              <w:pStyle w:val="Compact"/>
              <w:jc w:val="left"/>
            </w:pPr>
            <w:r>
              <w:rPr>
                <w:bCs/>
                <w:b/>
              </w:rPr>
              <w:t xml:space="preserve">FDA Green Book / openFDA animal AE</w:t>
            </w:r>
          </w:p>
        </w:tc>
        <w:tc>
          <w:tcPr/>
          <w:p>
            <w:pPr>
              <w:pStyle w:val="Compact"/>
              <w:jc w:val="left"/>
            </w:pPr>
            <w:r>
              <w:t xml:space="preserve">US federal data, favourable reuse position; Green Book is a bulk download, not an API</w:t>
            </w:r>
          </w:p>
        </w:tc>
        <w:tc>
          <w:tcPr/>
          <w:p>
            <w:pPr>
              <w:pStyle w:val="Compact"/>
              <w:jc w:val="left"/>
            </w:pPr>
            <w:r>
              <w:t xml:space="preserve">Free corroboration layer and adverse-event signal. Not a formulary</w:t>
            </w:r>
          </w:p>
        </w:tc>
      </w:tr>
    </w:tbl>
    <w:p>
      <w:pPr>
        <w:pStyle w:val="BodyText"/>
      </w:pPr>
      <w:r>
        <w:rPr>
          <w:rStyle w:val="VerbatimChar"/>
          <w:bCs/>
          <w:b/>
        </w:rPr>
        <w:t xml:space="preserve">D-009</w:t>
      </w:r>
      <w:r>
        <w:rPr>
          <w:bCs/>
          <w:b/>
        </w:rPr>
        <w:t xml:space="preserve"> </w:t>
      </w:r>
      <w:r>
        <w:rPr>
          <w:bCs/>
          <w:b/>
        </w:rPr>
        <w:t xml:space="preserve">— If no embedding licence is secured,</w:t>
      </w:r>
      <w:r>
        <w:rPr>
          <w:bCs/>
          <w:b/>
        </w:rPr>
        <w:t xml:space="preserve"> </w:t>
      </w:r>
      <w:r>
        <w:rPr>
          <w:rStyle w:val="VerbatimChar"/>
          <w:bCs/>
          <w:b/>
        </w:rPr>
        <w:t xml:space="preserve">D-103</w:t>
      </w:r>
      <w:r>
        <w:rPr>
          <w:bCs/>
          <w:b/>
        </w:rPr>
        <w:t xml:space="preserve"> </w:t>
      </w:r>
      <w:r>
        <w:rPr>
          <w:bCs/>
          <w:b/>
        </w:rPr>
        <w:t xml:space="preserve">and</w:t>
      </w:r>
      <w:r>
        <w:rPr>
          <w:bCs/>
          <w:b/>
        </w:rPr>
        <w:t xml:space="preserve"> </w:t>
      </w:r>
      <w:r>
        <w:rPr>
          <w:rStyle w:val="VerbatimChar"/>
          <w:bCs/>
          <w:b/>
        </w:rPr>
        <w:t xml:space="preserve">D-104</w:t>
      </w:r>
      <w:r>
        <w:rPr>
          <w:bCs/>
          <w:b/>
        </w:rPr>
        <w:t xml:space="preserve"> </w:t>
      </w:r>
      <w:r>
        <w:rPr>
          <w:bCs/>
          <w:b/>
        </w:rPr>
        <w:t xml:space="preserve">do not ship.</w:t>
      </w:r>
      <w:r>
        <w:t xml:space="preserve"> </w:t>
      </w:r>
      <w:r>
        <w:t xml:space="preserve">There is no acceptable fallback. Building an in-house dosing table would make Maqaleed the author of clinical claims it is not licensed to make, and is prohibited.</w:t>
      </w:r>
    </w:p>
    <w:p>
      <w:pPr>
        <w:pStyle w:val="BodyText"/>
      </w:pPr>
      <w:r>
        <w:rPr>
          <w:rStyle w:val="VerbatimChar"/>
          <w:bCs/>
          <w:b/>
        </w:rPr>
        <w:t xml:space="preserve">D-010</w:t>
      </w:r>
      <w:r>
        <w:rPr>
          <w:bCs/>
          <w:b/>
        </w:rPr>
        <w:t xml:space="preserve"> </w:t>
      </w:r>
      <w:r>
        <w:rPr>
          <w:bCs/>
          <w:b/>
        </w:rPr>
        <w:t xml:space="preserve">— Staleness has two thresholds and no silent middle.</w:t>
      </w:r>
      <w:r>
        <w:t xml:space="preserve"> </w:t>
      </w:r>
      <w:r>
        <w:t xml:space="preserve">Current (≤ 90 days): normal. Ageing (90–180): checks run, every result additionally displays the publication date and that newer information may exist.</w:t>
      </w:r>
      <w:r>
        <w:t xml:space="preserve"> </w:t>
      </w:r>
      <w:r>
        <w:rPr>
          <w:bCs/>
          <w:b/>
        </w:rPr>
        <w:t xml:space="preserve">Stale (&gt; 180): the capability auto-mutes.</w:t>
      </w:r>
      <w:r>
        <w:t xml:space="preserve"> </w:t>
      </w:r>
      <w:r>
        <w:t xml:space="preserve">Prescribing continues unimpeded; every prescription is stamped</w:t>
      </w:r>
      <w:r>
        <w:t xml:space="preserve"> </w:t>
      </w:r>
      <w:r>
        <w:rPr>
          <w:rStyle w:val="VerbatimChar"/>
        </w:rPr>
        <w:t xml:space="preserve">checks_performed: NONE, reason: REFERENCE_STALE</w:t>
      </w:r>
      <w:r>
        <w:t xml:space="preserve">; the screen says so.</w:t>
      </w:r>
      <w:r>
        <w:t xml:space="preserve"> </w:t>
      </w:r>
      <w:r>
        <w:rPr>
          <w:bCs/>
          <w:b/>
        </w:rPr>
        <w:t xml:space="preserve">The prohibited behaviour is running a stale check without saying so — a vet who believes a check ran is worse off than one who knows it did not.</w:t>
      </w:r>
    </w:p>
    <w:p>
      <w:pPr>
        <w:pStyle w:val="BodyText"/>
      </w:pPr>
      <w:r>
        <w:rPr>
          <w:rStyle w:val="VerbatimChar"/>
          <w:bCs/>
          <w:b/>
        </w:rPr>
        <w:t xml:space="preserve">D-011</w:t>
      </w:r>
      <w:r>
        <w:rPr>
          <w:bCs/>
          <w:b/>
        </w:rPr>
        <w:t xml:space="preserve"> </w:t>
      </w:r>
      <w:r>
        <w:rPr>
          <w:bCs/>
          <w:b/>
        </w:rPr>
        <w:t xml:space="preserve">— Six rules that keep the platform from authoring clinical claims</w:t>
      </w:r>
      <w:r>
        <w:t xml:space="preserve">, each mechanically enforced: verbatim display only, with a render-time hash comparison and abstention on mismatch · no merging of two entries into one statement · no gap-filling across species, route, molecule class or age band · arithmetic shown as working with both operands and their sources, never as an answer ·</w:t>
      </w:r>
      <w:r>
        <w:t xml:space="preserve"> </w:t>
      </w:r>
      <w:r>
        <w:rPr>
          <w:bCs/>
          <w:b/>
        </w:rPr>
        <w:t xml:space="preserve">no MyVetiCare-authored string may contain a clinical assertion</w:t>
      </w:r>
      <w:r>
        <w:t xml:space="preserve"> </w:t>
      </w:r>
      <w:r>
        <w:t xml:space="preserve">(a review gate on every string addition) · reference attribution on every export.</w:t>
      </w:r>
    </w:p>
    <w:p>
      <w:pPr>
        <w:pStyle w:val="BodyText"/>
      </w:pPr>
      <w:r>
        <w:t xml:space="preserve">Together these position Maqaleed as a</w:t>
      </w:r>
      <w:r>
        <w:t xml:space="preserve"> </w:t>
      </w:r>
      <w:r>
        <w:rPr>
          <w:bCs/>
          <w:b/>
        </w:rPr>
        <w:t xml:space="preserve">conduit and evidencer, not a publisher of clinical claims</w:t>
      </w:r>
      <w:r>
        <w:t xml:space="preserve"> </w:t>
      </w:r>
      <w:r>
        <w:t xml:space="preserve">— which is both the safety posture and the commercially sane one.</w:t>
      </w:r>
    </w:p>
    <w:bookmarkEnd w:id="83"/>
    <w:bookmarkStart w:id="84" w:name="s59-evaluation-drift-and-kill-switch"/>
    <w:p>
      <w:pPr>
        <w:pStyle w:val="Heading2"/>
      </w:pPr>
      <w:r>
        <w:t xml:space="preserve">S5.9 Evaluation, drift and kill-switch</w:t>
      </w:r>
    </w:p>
    <w:p>
      <w:pPr>
        <w:pStyle w:val="FirstParagraph"/>
      </w:pPr>
      <w:r>
        <w:rPr>
          <w:rStyle w:val="VerbatimChar"/>
          <w:bCs/>
          <w:b/>
        </w:rPr>
        <w:t xml:space="preserve">D-012</w:t>
      </w:r>
      <w:r>
        <w:rPr>
          <w:bCs/>
          <w:b/>
        </w:rPr>
        <w:t xml:space="preserve"> </w:t>
      </w:r>
      <w:r>
        <w:rPr>
          <w:bCs/>
          <w:b/>
        </w:rPr>
        <w:t xml:space="preserve">— Golden datasets per capability</w:t>
      </w:r>
      <w:r>
        <w:t xml:space="preserve">, with a</w:t>
      </w:r>
      <w:r>
        <w:t xml:space="preserve"> </w:t>
      </w:r>
      <w:r>
        <w:rPr>
          <w:bCs/>
          <w:b/>
        </w:rPr>
        <w:t xml:space="preserve">silence set as a first-class artefact for every one</w:t>
      </w:r>
      <w:r>
        <w:t xml:space="preserve">: a set of cases where the only correct behaviour is explicit abstention. Correct abstention is measured, reported and gated exactly like correct output.</w:t>
      </w:r>
    </w:p>
    <w:p>
      <w:pPr>
        <w:pStyle w:val="BodyText"/>
      </w:pPr>
      <w:r>
        <w:rPr>
          <w:rStyle w:val="VerbatimChar"/>
          <w:bCs/>
          <w:b/>
        </w:rPr>
        <w:t xml:space="preserve">D-013</w:t>
      </w:r>
      <w:r>
        <w:rPr>
          <w:bCs/>
          <w:b/>
        </w:rPr>
        <w:t xml:space="preserve"> </w:t>
      </w:r>
      <w:r>
        <w:rPr>
          <w:bCs/>
          <w:b/>
        </w:rPr>
        <w:t xml:space="preserve">— Adversarial suites are mandatory</w:t>
      </w:r>
      <w:r>
        <w:t xml:space="preserve">, including: decimal shifts and unit confusion (</w:t>
      </w:r>
      <w:r>
        <w:rPr>
          <w:rStyle w:val="VerbatimChar"/>
        </w:rPr>
        <w:t xml:space="preserve">mg</w:t>
      </w:r>
      <w:r>
        <w:t xml:space="preserve"> </w:t>
      </w:r>
      <w:r>
        <w:t xml:space="preserve">vs</w:t>
      </w:r>
      <w:r>
        <w:t xml:space="preserve"> </w:t>
      </w:r>
      <w:r>
        <w:rPr>
          <w:rStyle w:val="VerbatimChar"/>
        </w:rPr>
        <w:t xml:space="preserve">mcg</w:t>
      </w:r>
      <w:r>
        <w:t xml:space="preserve"> </w:t>
      </w:r>
      <w:r>
        <w:t xml:space="preserve">vs</w:t>
      </w:r>
      <w:r>
        <w:t xml:space="preserve"> </w:t>
      </w:r>
      <w:r>
        <w:rPr>
          <w:rStyle w:val="VerbatimChar"/>
        </w:rPr>
        <w:t xml:space="preserve">mg/kg</w:t>
      </w:r>
      <w:r>
        <w:t xml:space="preserve">;</w:t>
      </w:r>
      <w:r>
        <w:t xml:space="preserve"> </w:t>
      </w:r>
      <w:r>
        <w:rPr>
          <w:rStyle w:val="VerbatimChar"/>
        </w:rPr>
        <w:t xml:space="preserve">ml</w:t>
      </w:r>
      <w:r>
        <w:t xml:space="preserve"> </w:t>
      </w:r>
      <w:r>
        <w:t xml:space="preserve">of a named concentration vs</w:t>
      </w:r>
      <w:r>
        <w:t xml:space="preserve"> </w:t>
      </w:r>
      <w:r>
        <w:rPr>
          <w:rStyle w:val="VerbatimChar"/>
        </w:rPr>
        <w:t xml:space="preserve">mg</w:t>
      </w:r>
      <w:r>
        <w:t xml:space="preserve">); a weight in pounds entered into a kilogram field; a weight stale by six months on a growing patient; a species field set to dog on a cat record with a feline-typical product; a product with no feline entry at all (must abstain); a notifiable disease entered at 23:58 Riyadh; a code mapping to two list entries; a disease renamed between list versions; notes containing</w:t>
      </w:r>
      <w:r>
        <w:t xml:space="preserve"> </w:t>
      </w:r>
      <w:r>
        <w:rPr>
          <w:iCs/>
          <w:i/>
        </w:rPr>
        <w:t xml:space="preserve">"no evidence of X"</w:t>
      </w:r>
      <w:r>
        <w:t xml:space="preserve"> </w:t>
      </w:r>
      <w:r>
        <w:t xml:space="preserve">(negation must not be dropped or inverted) and</w:t>
      </w:r>
      <w:r>
        <w:t xml:space="preserve"> </w:t>
      </w:r>
      <w:r>
        <w:rPr>
          <w:iCs/>
          <w:i/>
        </w:rPr>
        <w:t xml:space="preserve">"rule out X"</w:t>
      </w:r>
      <w:r>
        <w:t xml:space="preserve"> </w:t>
      </w:r>
      <w:r>
        <w:t xml:space="preserve">(must not become</w:t>
      </w:r>
      <w:r>
        <w:t xml:space="preserve"> </w:t>
      </w:r>
      <w:r>
        <w:rPr>
          <w:iCs/>
          <w:i/>
        </w:rPr>
        <w:t xml:space="preserve">"X"</w:t>
      </w:r>
      <w:r>
        <w:t xml:space="preserve">); a drug name misspelled by the vet (</w:t>
      </w:r>
      <w:r>
        <w:rPr>
          <w:bCs/>
          <w:b/>
        </w:rPr>
        <w:t xml:space="preserve">carried as written, never corrected</w:t>
      </w:r>
      <w:r>
        <w:t xml:space="preserve">); Arabic/English code-switching within one note. Plus a</w:t>
      </w:r>
      <w:r>
        <w:t xml:space="preserve"> </w:t>
      </w:r>
      <w:r>
        <w:rPr>
          <w:bCs/>
          <w:b/>
        </w:rPr>
        <w:t xml:space="preserve">cross-cutting prompt-injection suite</w:t>
      </w:r>
      <w:r>
        <w:t xml:space="preserve"> </w:t>
      </w:r>
      <w:r>
        <w:t xml:space="preserve">over owner-supplied and externally-sourced text, with a pass bar of</w:t>
      </w:r>
      <w:r>
        <w:t xml:space="preserve"> </w:t>
      </w:r>
      <w:r>
        <w:rPr>
          <w:bCs/>
          <w:b/>
        </w:rPr>
        <w:t xml:space="preserve">zero behavioural change</w:t>
      </w:r>
      <w:r>
        <w:t xml:space="preserve">.</w:t>
      </w:r>
    </w:p>
    <w:p>
      <w:pPr>
        <w:pStyle w:val="BodyText"/>
      </w:pPr>
      <w:r>
        <w:rPr>
          <w:rStyle w:val="VerbatimChar"/>
          <w:bCs/>
          <w:b/>
        </w:rPr>
        <w:t xml:space="preserve">D-014</w:t>
      </w:r>
      <w:r>
        <w:rPr>
          <w:bCs/>
          <w:b/>
        </w:rPr>
        <w:t xml:space="preserve"> </w:t>
      </w:r>
      <w:r>
        <w:rPr>
          <w:bCs/>
          <w:b/>
        </w:rPr>
        <w:t xml:space="preserve">— Pre-live gating sequence, no skipping</w:t>
      </w:r>
      <w:r>
        <w:t xml:space="preserve">: offline golden + adversarial + silence sets at the stated bar →</w:t>
      </w:r>
      <w:r>
        <w:t xml:space="preserve"> </w:t>
      </w:r>
      <w:r>
        <w:rPr>
          <w:bCs/>
          <w:b/>
        </w:rPr>
        <w:t xml:space="preserve">shadow mode ≥ 30 days</w:t>
      </w:r>
      <w:r>
        <w:t xml:space="preserve"> </w:t>
      </w:r>
      <w:r>
        <w:t xml:space="preserve">in ≥ 2 pilot clinics (computes and logs, shows nothing) → clinician acceptance trial with ≥ 3 KSA-licensed vets and ≥ 50 real cases each, where</w:t>
      </w:r>
      <w:r>
        <w:t xml:space="preserve"> </w:t>
      </w:r>
      <w:r>
        <w:rPr>
          <w:bCs/>
          <w:b/>
        </w:rPr>
        <w:t xml:space="preserve">any finding of perceived pressure on clinical judgement is a blocking defect</w:t>
      </w:r>
      <w:r>
        <w:t xml:space="preserve"> </w:t>
      </w:r>
      <w:r>
        <w:t xml:space="preserve">→ limited live enablement in one clinic with 100% review sampling for 14 days → staged rollout 25% → 50% → 100%, each stage ≥ 14 days, with automatic hold on any drift trigger.</w:t>
      </w:r>
    </w:p>
    <w:p>
      <w:pPr>
        <w:pStyle w:val="BodyText"/>
      </w:pPr>
      <w:r>
        <w:rPr>
          <w:rStyle w:val="VerbatimChar"/>
          <w:bCs/>
          <w:b/>
        </w:rPr>
        <w:t xml:space="preserve">D-015</w:t>
      </w:r>
      <w:r>
        <w:rPr>
          <w:bCs/>
          <w:b/>
        </w:rPr>
        <w:t xml:space="preserve"> </w:t>
      </w:r>
      <w:r>
        <w:rPr>
          <w:bCs/>
          <w:b/>
        </w:rPr>
        <w:t xml:space="preserve">— Drift monitors that automatically hold rollout</w:t>
      </w:r>
      <w:r>
        <w:t xml:space="preserve">: finding rate per 100 prescriptions (±40% week-over-week) ·</w:t>
      </w:r>
      <w:r>
        <w:t xml:space="preserve"> </w:t>
      </w:r>
      <w:r>
        <w:rPr>
          <w:bCs/>
          <w:b/>
        </w:rPr>
        <w:t xml:space="preserve">override rate &gt; 70% sustained (the capability is noise) or &lt; 2% (it is being rubber-stamped)</w:t>
      </w:r>
      <w:r>
        <w:t xml:space="preserve"> </w:t>
      </w:r>
      <w:r>
        <w:t xml:space="preserve">· abstention rate (±30%) ·</w:t>
      </w:r>
      <w:r>
        <w:t xml:space="preserve"> </w:t>
      </w:r>
      <w:r>
        <w:rPr>
          <w:bCs/>
          <w:b/>
        </w:rPr>
        <w:t xml:space="preserve">median time-on-screen before action &lt; 1.5 s (reflexive dismissal)</w:t>
      </w:r>
      <w:r>
        <w:t xml:space="preserve"> </w:t>
      </w:r>
      <w:r>
        <w:t xml:space="preserve">· unmatched-product rate &gt; 10% · validator rejection rate &gt; 2% · reference age past threshold · register coverage &lt; 90%.</w:t>
      </w:r>
    </w:p>
    <w:p>
      <w:pPr>
        <w:pStyle w:val="BodyText"/>
      </w:pPr>
      <w:r>
        <w:rPr>
          <w:rStyle w:val="VerbatimChar"/>
          <w:bCs/>
          <w:b/>
        </w:rPr>
        <w:t xml:space="preserve">D-016</w:t>
      </w:r>
      <w:r>
        <w:rPr>
          <w:bCs/>
          <w:b/>
        </w:rPr>
        <w:t xml:space="preserve"> </w:t>
      </w:r>
      <w:r>
        <w:rPr>
          <w:bCs/>
          <w:b/>
        </w:rPr>
        <w:t xml:space="preserve">— Any change to a pinned reference version, rule pack, severity map, classification list, model, prompt template or safety string re-runs the full offline suite and requires re-sign-off. There are no hotfixes to safety content.</w:t>
      </w:r>
    </w:p>
    <w:p>
      <w:pPr>
        <w:pStyle w:val="BodyText"/>
      </w:pPr>
      <w:r>
        <w:rPr>
          <w:rStyle w:val="VerbatimChar"/>
          <w:bCs/>
          <w:b/>
        </w:rPr>
        <w:t xml:space="preserve">D-017</w:t>
      </w:r>
      <w:r>
        <w:rPr>
          <w:bCs/>
          <w:b/>
        </w:rPr>
        <w:t xml:space="preserve"> </w:t>
      </w:r>
      <w:r>
        <w:rPr>
          <w:bCs/>
          <w:b/>
        </w:rPr>
        <w:t xml:space="preserve">— Kill switch</w:t>
      </w:r>
      <w:r>
        <w:t xml:space="preserve">: per-capability × per-clinic, plus a global per-capability freeze and a global all-AI freeze.</w:t>
      </w:r>
      <w:r>
        <w:t xml:space="preserve"> </w:t>
      </w:r>
      <w:r>
        <w:rPr>
          <w:bCs/>
          <w:b/>
        </w:rPr>
        <w:t xml:space="preserve">Evaluated at request time from a configuration store, never at deploy time, never cached beyond 30 seconds</w:t>
      </w:r>
      <w:r>
        <w:t xml:space="preserve"> </w:t>
      </w:r>
      <w:r>
        <w:t xml:space="preserve">— a kill switch requiring a deploy is not a kill switch.</w:t>
      </w:r>
      <w:r>
        <w:t xml:space="preserve"> </w:t>
      </w:r>
      <w:r>
        <w:rPr>
          <w:bCs/>
          <w:b/>
        </w:rPr>
        <w:t xml:space="preserve">Fails closed</w:t>
      </w:r>
      <w:r>
        <w:t xml:space="preserve">: if the flag store is unreachable, capabilities are off.</w:t>
      </w:r>
      <w:r>
        <w:t xml:space="preserve"> </w:t>
      </w:r>
      <w:r>
        <w:rPr>
          <w:bCs/>
          <w:b/>
        </w:rPr>
        <w:t xml:space="preserve">Killing a capability never produces an error and never blocks clinical work</w:t>
      </w:r>
      <w:r>
        <w:t xml:space="preserve"> </w:t>
      </w:r>
      <w:r>
        <w:t xml:space="preserve">— it produces the explicit "no check performed" statement and record stamp, tested as a first-class path in CI. Anyone may switch off without approval;</w:t>
      </w:r>
      <w:r>
        <w:t xml:space="preserve"> </w:t>
      </w:r>
      <w:r>
        <w:rPr>
          <w:bCs/>
          <w:b/>
        </w:rPr>
        <w:t xml:space="preserve">two-person approval is required to switch back on.</w:t>
      </w:r>
    </w:p>
    <w:p>
      <w:pPr>
        <w:pStyle w:val="BodyText"/>
      </w:pPr>
      <w:r>
        <w:rPr>
          <w:rStyle w:val="VerbatimChar"/>
          <w:bCs/>
          <w:b/>
        </w:rPr>
        <w:t xml:space="preserve">D-018</w:t>
      </w:r>
      <w:r>
        <w:rPr>
          <w:bCs/>
          <w:b/>
        </w:rPr>
        <w:t xml:space="preserve"> </w:t>
      </w:r>
      <w:r>
        <w:rPr>
          <w:bCs/>
          <w:b/>
        </w:rPr>
        <w:t xml:space="preserve">— Five signatories, per capability, per version, expiring after 12 months</w:t>
      </w:r>
      <w:r>
        <w:t xml:space="preserve">: Veterinary Clinical Lead (KSA-licensed, named) · regulatory affairs / KSA counsel (for</w:t>
      </w:r>
      <w:r>
        <w:t xml:space="preserve"> </w:t>
      </w:r>
      <w:r>
        <w:rPr>
          <w:rStyle w:val="VerbatimChar"/>
        </w:rPr>
        <w:t xml:space="preserve">D-101</w:t>
      </w:r>
      <w:r>
        <w:t xml:space="preserve"> </w:t>
      </w:r>
      <w:r>
        <w:t xml:space="preserve">and</w:t>
      </w:r>
      <w:r>
        <w:t xml:space="preserve"> </w:t>
      </w:r>
      <w:r>
        <w:rPr>
          <w:rStyle w:val="VerbatimChar"/>
        </w:rPr>
        <w:t xml:space="preserve">D-102</w:t>
      </w:r>
      <w:r>
        <w:t xml:space="preserve">) · Data Protection Officer · Head of Engineering · reference-licensing owner.</w:t>
      </w:r>
    </w:p>
    <w:bookmarkEnd w:id="84"/>
    <w:bookmarkStart w:id="85" w:name="Xee8ad656ad6c43a1731629abf7c48822f79dd43"/>
    <w:p>
      <w:pPr>
        <w:pStyle w:val="Heading2"/>
      </w:pPr>
      <w:r>
        <w:t xml:space="preserve">S5.10 Logging — the question the log must answer</w:t>
      </w:r>
    </w:p>
    <w:p>
      <w:pPr>
        <w:pStyle w:val="FirstParagraph"/>
      </w:pPr>
      <w:r>
        <w:rPr>
          <w:rStyle w:val="VerbatimChar"/>
          <w:bCs/>
          <w:b/>
        </w:rPr>
        <w:t xml:space="preserve">D-019</w:t>
      </w:r>
      <w:r>
        <w:rPr>
          <w:bCs/>
          <w:b/>
        </w:rPr>
        <w:t xml:space="preserve"> </w:t>
      </w:r>
      <w:r>
        <w:rPr>
          <w:bCs/>
          <w:b/>
        </w:rPr>
        <w:t xml:space="preserve">— Months later, the log must answer: what was shown to whom, on what evidence, on which reference version, and what did the vet then do?</w:t>
      </w:r>
    </w:p>
    <w:p>
      <w:pPr>
        <w:pStyle w:val="BodyText"/>
      </w:pPr>
      <w:r>
        <w:t xml:space="preserve">One row per evaluation —</w:t>
      </w:r>
      <w:r>
        <w:t xml:space="preserve"> </w:t>
      </w:r>
      <w:r>
        <w:rPr>
          <w:bCs/>
          <w:b/>
        </w:rPr>
        <w:t xml:space="preserve">including evaluations that produced nothing and evaluations that abstained.</w:t>
      </w:r>
      <w:r>
        <w:t xml:space="preserve"> </w:t>
      </w:r>
      <w:r>
        <w:t xml:space="preserve">Absence of a row must never be the only evidence a check did not fire. Each row carries: capability and version · encounter, patient, clinic · input hash</w:t>
      </w:r>
      <w:r>
        <w:t xml:space="preserve"> </w:t>
      </w:r>
      <w:r>
        <w:rPr>
          <w:bCs/>
          <w:b/>
        </w:rPr>
        <w:t xml:space="preserve">and the input tuple in structured form</w:t>
      </w:r>
      <w:r>
        <w:t xml:space="preserve"> </w:t>
      </w:r>
      <w:r>
        <w:t xml:space="preserve">(a hash alone cannot answer</w:t>
      </w:r>
      <w:r>
        <w:t xml:space="preserve"> </w:t>
      </w:r>
      <w:r>
        <w:rPr>
          <w:iCs/>
          <w:i/>
        </w:rPr>
        <w:t xml:space="preserve">on what evidence</w:t>
      </w:r>
      <w:r>
        <w:t xml:space="preserve">) · rule-pack or model version, decoding parameters, prompt-template version · reference name, version, publication date, entry IDs, and age at evaluation · output type and payload · outcome (</w:t>
      </w:r>
      <w:r>
        <w:rPr>
          <w:rStyle w:val="VerbatimChar"/>
        </w:rPr>
        <w:t xml:space="preserve">SHOWN</w:t>
      </w:r>
      <w:r>
        <w:t xml:space="preserve"> </w:t>
      </w:r>
      <w:r>
        <w:t xml:space="preserve">/</w:t>
      </w:r>
      <w:r>
        <w:t xml:space="preserve"> </w:t>
      </w:r>
      <w:r>
        <w:rPr>
          <w:rStyle w:val="VerbatimChar"/>
        </w:rPr>
        <w:t xml:space="preserve">NOT_SHOWN</w:t>
      </w:r>
      <w:r>
        <w:t xml:space="preserve"> </w:t>
      </w:r>
      <w:r>
        <w:t xml:space="preserve">/</w:t>
      </w:r>
      <w:r>
        <w:t xml:space="preserve"> </w:t>
      </w:r>
      <w:r>
        <w:rPr>
          <w:rStyle w:val="VerbatimChar"/>
        </w:rPr>
        <w:t xml:space="preserve">ABSTAINED</w:t>
      </w:r>
      <w:r>
        <w:t xml:space="preserve"> </w:t>
      </w:r>
      <w:r>
        <w:t xml:space="preserve">/</w:t>
      </w:r>
      <w:r>
        <w:t xml:space="preserve"> </w:t>
      </w:r>
      <w:r>
        <w:rPr>
          <w:rStyle w:val="VerbatimChar"/>
        </w:rPr>
        <w:t xml:space="preserve">SUPPRESSED_BY_SEVERITY_POLICY</w:t>
      </w:r>
      <w:r>
        <w:t xml:space="preserve"> </w:t>
      </w:r>
      <w:r>
        <w:t xml:space="preserve">/</w:t>
      </w:r>
      <w:r>
        <w:t xml:space="preserve"> </w:t>
      </w:r>
      <w:r>
        <w:rPr>
          <w:rStyle w:val="VerbatimChar"/>
        </w:rPr>
        <w:t xml:space="preserve">NOT_RUN</w:t>
      </w:r>
      <w:r>
        <w:t xml:space="preserve">, each with a reason) · who saw it, when, for how long · the user's action with before/after diff and acknowledgement text · the actor's licence number and validity at that moment · the feature-flag state · and</w:t>
      </w:r>
      <w:r>
        <w:t xml:space="preserve"> </w:t>
      </w:r>
      <w:r>
        <w:rPr>
          <w:bCs/>
          <w:b/>
        </w:rPr>
        <w:t xml:space="preserve">the exact version of every framing string shown</w:t>
      </w:r>
      <w:r>
        <w:t xml:space="preserve">.</w:t>
      </w:r>
    </w:p>
    <w:p>
      <w:pPr>
        <w:pStyle w:val="BodyText"/>
      </w:pPr>
      <w:r>
        <w:rPr>
          <w:rStyle w:val="VerbatimChar"/>
          <w:bCs/>
          <w:b/>
        </w:rPr>
        <w:t xml:space="preserve">D-020</w:t>
      </w:r>
      <w:r>
        <w:rPr>
          <w:bCs/>
          <w:b/>
        </w:rPr>
        <w:t xml:space="preserve"> </w:t>
      </w:r>
      <w:r>
        <w:rPr>
          <w:bCs/>
          <w:b/>
        </w:rPr>
        <w:t xml:space="preserve">— Append-only, tamper-evident, per-clinic hash-chained, anchored daily</w:t>
      </w:r>
      <w:r>
        <w:t xml:space="preserve"> </w:t>
      </w:r>
      <w:r>
        <w:t xml:space="preserve">(§S7.6). Retention is the longer of the clinical-record period and any statutory audit period; for</w:t>
      </w:r>
      <w:r>
        <w:t xml:space="preserve"> </w:t>
      </w:r>
      <w:r>
        <w:rPr>
          <w:rStyle w:val="VerbatimChar"/>
        </w:rPr>
        <w:t xml:space="preserve">D-102</w:t>
      </w:r>
      <w:r>
        <w:t xml:space="preserve"> </w:t>
      </w:r>
      <w:r>
        <w:t xml:space="preserve">events, the full statutory period regardless.</w:t>
      </w:r>
    </w:p>
    <w:p>
      <w:pPr>
        <w:pStyle w:val="BodyText"/>
      </w:pPr>
      <w:r>
        <w:rPr>
          <w:rStyle w:val="VerbatimChar"/>
          <w:bCs/>
          <w:b/>
        </w:rPr>
        <w:t xml:space="preserve">D-021</w:t>
      </w:r>
      <w:r>
        <w:rPr>
          <w:bCs/>
          <w:b/>
        </w:rPr>
        <w:t xml:space="preserve"> </w:t>
      </w:r>
      <w:r>
        <w:rPr>
          <w:bCs/>
          <w:b/>
        </w:rPr>
        <w:t xml:space="preserve">— Residency is absolute: entirely in-Kingdom, including model inference. If</w:t>
      </w:r>
      <w:r>
        <w:rPr>
          <w:bCs/>
          <w:b/>
        </w:rPr>
        <w:t xml:space="preserve"> </w:t>
      </w:r>
      <w:r>
        <w:rPr>
          <w:rStyle w:val="VerbatimChar"/>
          <w:bCs/>
          <w:b/>
        </w:rPr>
        <w:t xml:space="preserve">D-107</w:t>
      </w:r>
      <w:r>
        <w:rPr>
          <w:bCs/>
          <w:b/>
        </w:rPr>
        <w:t xml:space="preserve">'s model cannot be served in-Kingdom,</w:t>
      </w:r>
      <w:r>
        <w:rPr>
          <w:bCs/>
          <w:b/>
        </w:rPr>
        <w:t xml:space="preserve"> </w:t>
      </w:r>
      <w:r>
        <w:rPr>
          <w:rStyle w:val="VerbatimChar"/>
          <w:bCs/>
          <w:b/>
        </w:rPr>
        <w:t xml:space="preserve">D-107</w:t>
      </w:r>
      <w:r>
        <w:rPr>
          <w:bCs/>
          <w:b/>
        </w:rPr>
        <w:t xml:space="preserve"> </w:t>
      </w:r>
      <w:r>
        <w:rPr>
          <w:bCs/>
          <w:b/>
        </w:rPr>
        <w:t xml:space="preserve">does not ship.</w:t>
      </w:r>
      <w:r>
        <w:t xml:space="preserve"> </w:t>
      </w:r>
      <w:r>
        <w:t xml:space="preserve">There is no exception for convenience.</w:t>
      </w:r>
    </w:p>
    <w:p>
      <w:pPr>
        <w:pStyle w:val="BodyText"/>
      </w:pPr>
      <w:r>
        <w:rPr>
          <w:rStyle w:val="VerbatimChar"/>
          <w:bCs/>
          <w:b/>
        </w:rPr>
        <w:t xml:space="preserve">D-022</w:t>
      </w:r>
      <w:r>
        <w:rPr>
          <w:bCs/>
          <w:b/>
        </w:rPr>
        <w:t xml:space="preserve"> </w:t>
      </w:r>
      <w:r>
        <w:rPr>
          <w:bCs/>
          <w:b/>
        </w:rPr>
        <w:t xml:space="preserve">— The reconstruction test.</w:t>
      </w:r>
      <w:r>
        <w:t xml:space="preserve"> </w:t>
      </w:r>
      <w:r>
        <w:t xml:space="preserve">A standing automated quarterly test picks 20 random historical clinical decisions at least six months old and mechanically reconstructs, from the log alone: the inputs, the reference version and its text as it then stood, every assist output computed, which were shown, the exact framing strings displayed, the flag state, and the vet's action with their licence status at that moment.</w:t>
      </w:r>
      <w:r>
        <w:t xml:space="preserve"> </w:t>
      </w:r>
      <w:r>
        <w:rPr>
          <w:bCs/>
          <w:b/>
        </w:rPr>
        <w:t xml:space="preserve">Pass bar: 20/20.</w:t>
      </w:r>
      <w:r>
        <w:t xml:space="preserve"> </w:t>
      </w:r>
      <w:r>
        <w:t xml:space="preserve">Any failure is a P1 defect against the logging system.</w:t>
      </w:r>
      <w:r>
        <w:t xml:space="preserve"> </w:t>
      </w:r>
      <w:r>
        <w:rPr>
          <w:bCs/>
          <w:b/>
        </w:rPr>
        <w:t xml:space="preserve">This test is what proves the audit story is real rather than aspirational.</w:t>
      </w:r>
    </w:p>
    <w:p>
      <w:r>
        <w:pict>
          <v:rect style="width:0;height:1.5pt" o:hralign="center" o:hrstd="t" o:hr="t"/>
        </w:pict>
      </w:r>
    </w:p>
    <w:bookmarkEnd w:id="85"/>
    <w:bookmarkEnd w:id="86"/>
    <w:bookmarkStart w:id="100" w:name="s6--regulatory-trust-and-data-protection"/>
    <w:p>
      <w:pPr>
        <w:pStyle w:val="Heading1"/>
      </w:pPr>
      <w:r>
        <w:t xml:space="preserve">S6 · Regulatory, Trust and Data Protection</w:t>
      </w:r>
    </w:p>
    <w:bookmarkStart w:id="87" w:name="Xb16cc1b9e1bc829a47fc840c204a1394dd9fe30"/>
    <w:p>
      <w:pPr>
        <w:pStyle w:val="Heading2"/>
      </w:pPr>
      <w:r>
        <w:t xml:space="preserve">S6.1 Jurisdiction — the structural fact that everything follows from</w:t>
      </w:r>
    </w:p>
    <w:p>
      <w:pPr>
        <w:pStyle w:val="FirstParagraph"/>
      </w:pPr>
      <w:r>
        <w:rPr>
          <w:bCs/>
          <w:b/>
        </w:rPr>
        <w:t xml:space="preserve">Veterinary practice in KSA sits entirely outside the human-health regulatory stack.</w:t>
      </w:r>
      <w:r>
        <w:t xml:space="preserve"> </w:t>
      </w:r>
      <w:r>
        <w:t xml:space="preserve">Veterinarians are not classified by the Saudi Commission for Health Specialties, are not MOH-licensed, and are not "health practitioners" within the Law of Practicing Healthcare Professions. This is the single most consequential fact for the product, and the prior candidate BRD — which named SFDA more than twenty times and MEWA</w:t>
      </w:r>
      <w:r>
        <w:t xml:space="preserve"> </w:t>
      </w:r>
      <w:r>
        <w:rPr>
          <w:bCs/>
          <w:b/>
        </w:rPr>
        <w:t xml:space="preserve">zero</w:t>
      </w:r>
      <w:r>
        <w:t xml:space="preserve"> </w:t>
      </w:r>
      <w:r>
        <w:t xml:space="preserve">times — had the wrong regulator for the practitioners it proposed to onboard.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Authority</w:t>
            </w:r>
          </w:p>
        </w:tc>
        <w:tc>
          <w:tcPr/>
          <w:p>
            <w:pPr>
              <w:pStyle w:val="Compact"/>
              <w:jc w:val="left"/>
            </w:pPr>
            <w:r>
              <w:t xml:space="preserve">Confidence</w:t>
            </w:r>
          </w:p>
        </w:tc>
      </w:tr>
      <w:tr>
        <w:tc>
          <w:tcPr/>
          <w:p>
            <w:pPr>
              <w:pStyle w:val="Compact"/>
              <w:jc w:val="left"/>
            </w:pPr>
            <w:r>
              <w:t xml:space="preserve">Veterinary</w:t>
            </w:r>
            <w:r>
              <w:t xml:space="preserve"> </w:t>
            </w:r>
            <w:r>
              <w:rPr>
                <w:bCs/>
                <w:b/>
              </w:rPr>
              <w:t xml:space="preserve">practitioner</w:t>
            </w:r>
            <w:r>
              <w:t xml:space="preserve"> </w:t>
            </w:r>
            <w:r>
              <w:t xml:space="preserve">licensing</w:t>
            </w:r>
          </w:p>
        </w:tc>
        <w:tc>
          <w:tcPr/>
          <w:p>
            <w:pPr>
              <w:pStyle w:val="Compact"/>
              <w:jc w:val="left"/>
            </w:pPr>
            <w:r>
              <w:rPr>
                <w:bCs/>
                <w:b/>
              </w:rPr>
              <w:t xml:space="preserve">MEWA</w:t>
            </w:r>
            <w:r>
              <w:t xml:space="preserve">, delivered via the Nama platform</w:t>
            </w:r>
          </w:p>
        </w:tc>
        <w:tc>
          <w:tcPr/>
          <w:p>
            <w:pPr>
              <w:pStyle w:val="Compact"/>
              <w:jc w:val="left"/>
            </w:pPr>
            <w:r>
              <w:t xml:space="preserve">High</w:t>
            </w:r>
          </w:p>
        </w:tc>
      </w:tr>
      <w:tr>
        <w:tc>
          <w:tcPr/>
          <w:p>
            <w:pPr>
              <w:pStyle w:val="Compact"/>
              <w:jc w:val="left"/>
            </w:pPr>
            <w:r>
              <w:t xml:space="preserve">Veterinary</w:t>
            </w:r>
            <w:r>
              <w:t xml:space="preserve"> </w:t>
            </w:r>
            <w:r>
              <w:rPr>
                <w:bCs/>
                <w:b/>
              </w:rPr>
              <w:t xml:space="preserve">establishment/clinic</w:t>
            </w:r>
            <w:r>
              <w:t xml:space="preserve"> </w:t>
            </w:r>
            <w:r>
              <w:t xml:space="preserve">licensing</w:t>
            </w:r>
          </w:p>
        </w:tc>
        <w:tc>
          <w:tcPr/>
          <w:p>
            <w:pPr>
              <w:pStyle w:val="Compact"/>
              <w:jc w:val="left"/>
            </w:pPr>
            <w:r>
              <w:rPr>
                <w:bCs/>
                <w:b/>
              </w:rPr>
              <w:t xml:space="preserve">MEWA</w:t>
            </w:r>
            <w:r>
              <w:t xml:space="preserve"> </w:t>
            </w:r>
            <w:r>
              <w:t xml:space="preserve">(substantive licence)</w:t>
            </w:r>
          </w:p>
        </w:tc>
        <w:tc>
          <w:tcPr/>
          <w:p>
            <w:pPr>
              <w:pStyle w:val="Compact"/>
              <w:jc w:val="left"/>
            </w:pPr>
            <w:r>
              <w:t xml:space="preserve">High</w:t>
            </w:r>
          </w:p>
        </w:tc>
      </w:tr>
      <w:tr>
        <w:tc>
          <w:tcPr/>
          <w:p>
            <w:pPr>
              <w:pStyle w:val="Compact"/>
              <w:jc w:val="left"/>
            </w:pPr>
            <w:r>
              <w:rPr>
                <w:bCs/>
                <w:b/>
              </w:rPr>
              <w:t xml:space="preserve">Municipal premises</w:t>
            </w:r>
            <w:r>
              <w:t xml:space="preserve"> </w:t>
            </w:r>
            <w:r>
              <w:t xml:space="preserve">licensing for veterinary facilities</w:t>
            </w:r>
          </w:p>
        </w:tc>
        <w:tc>
          <w:tcPr/>
          <w:p>
            <w:pPr>
              <w:pStyle w:val="Compact"/>
              <w:jc w:val="left"/>
            </w:pPr>
            <w:r>
              <w:rPr>
                <w:bCs/>
                <w:b/>
              </w:rPr>
              <w:t xml:space="preserve">MOMRAH / Balady</w:t>
            </w:r>
            <w:r>
              <w:t xml:space="preserve"> </w:t>
            </w:r>
            <w:r>
              <w:t xml:space="preserve">— requires valid CR</w:t>
            </w:r>
            <w:r>
              <w:t xml:space="preserve"> </w:t>
            </w:r>
            <w:r>
              <w:rPr>
                <w:bCs/>
                <w:b/>
              </w:rPr>
              <w:t xml:space="preserve">plus</w:t>
            </w:r>
            <w:r>
              <w:t xml:space="preserve"> </w:t>
            </w:r>
            <w:r>
              <w:t xml:space="preserve">MEWA approval</w:t>
            </w:r>
            <w:r>
              <w:t xml:space="preserve"> </w:t>
            </w:r>
            <w:r>
              <w:rPr>
                <w:bCs/>
                <w:b/>
              </w:rPr>
              <w:t xml:space="preserve">plus</w:t>
            </w:r>
            <w:r>
              <w:t xml:space="preserve"> </w:t>
            </w:r>
            <w:r>
              <w:t xml:space="preserve">Civil Defence approval; binding on existing as well as new facilities and a</w:t>
            </w:r>
            <w:r>
              <w:t xml:space="preserve"> </w:t>
            </w:r>
            <w:r>
              <w:rPr>
                <w:bCs/>
                <w:b/>
              </w:rPr>
              <w:t xml:space="preserve">condition of licence renewal</w:t>
            </w:r>
          </w:p>
        </w:tc>
        <w:tc>
          <w:tcPr/>
          <w:p>
            <w:pPr>
              <w:pStyle w:val="Compact"/>
              <w:jc w:val="left"/>
            </w:pPr>
            <w:r>
              <w:t xml:space="preserve">High</w:t>
            </w:r>
          </w:p>
        </w:tc>
      </w:tr>
      <w:tr>
        <w:tc>
          <w:tcPr/>
          <w:p>
            <w:pPr>
              <w:pStyle w:val="Compact"/>
              <w:jc w:val="left"/>
            </w:pPr>
            <w:r>
              <w:t xml:space="preserve">Veterinary</w:t>
            </w:r>
            <w:r>
              <w:t xml:space="preserve"> </w:t>
            </w:r>
            <w:r>
              <w:rPr>
                <w:bCs/>
                <w:b/>
              </w:rPr>
              <w:t xml:space="preserve">medicinal products</w:t>
            </w:r>
            <w:r>
              <w:t xml:space="preserve"> </w:t>
            </w:r>
            <w:r>
              <w:t xml:space="preserve">— registration, import, recall</w:t>
            </w:r>
          </w:p>
        </w:tc>
        <w:tc>
          <w:tcPr/>
          <w:p>
            <w:pPr>
              <w:pStyle w:val="Compact"/>
              <w:jc w:val="left"/>
            </w:pPr>
            <w:r>
              <w:rPr>
                <w:bCs/>
                <w:b/>
              </w:rPr>
              <w:t xml:space="preserve">SFDA</w:t>
            </w:r>
          </w:p>
        </w:tc>
        <w:tc>
          <w:tcPr/>
          <w:p>
            <w:pPr>
              <w:pStyle w:val="Compact"/>
              <w:jc w:val="left"/>
            </w:pPr>
            <w:r>
              <w:t xml:space="preserve">High</w:t>
            </w:r>
          </w:p>
        </w:tc>
      </w:tr>
      <w:tr>
        <w:tc>
          <w:tcPr/>
          <w:p>
            <w:pPr>
              <w:pStyle w:val="Compact"/>
              <w:jc w:val="left"/>
            </w:pPr>
            <w:r>
              <w:t xml:space="preserve">Veterinary</w:t>
            </w:r>
            <w:r>
              <w:t xml:space="preserve"> </w:t>
            </w:r>
            <w:r>
              <w:rPr>
                <w:bCs/>
                <w:b/>
              </w:rPr>
              <w:t xml:space="preserve">pharmacy / dispensing</w:t>
            </w:r>
          </w:p>
        </w:tc>
        <w:tc>
          <w:tcPr/>
          <w:p>
            <w:pPr>
              <w:pStyle w:val="Compact"/>
              <w:jc w:val="left"/>
            </w:pPr>
            <w:r>
              <w:rPr>
                <w:bCs/>
                <w:b/>
              </w:rPr>
              <w:t xml:space="preserve">Split and not cleanly resolved.</w:t>
            </w:r>
            <w:r>
              <w:t xml:space="preserve"> </w:t>
            </w:r>
            <w:r>
              <w:t xml:space="preserve">MEWA regulates the in-clinic pharmacy as part of the establishment; SFDA regulates products and warehouses; MOMRAH lists pharmacies in the veterinary care sector</w:t>
            </w:r>
          </w:p>
        </w:tc>
        <w:tc>
          <w:tcPr/>
          <w:p>
            <w:pPr>
              <w:pStyle w:val="Compact"/>
              <w:jc w:val="left"/>
            </w:pPr>
            <w:r>
              <w:t xml:space="preserve">Medium</w:t>
            </w:r>
          </w:p>
        </w:tc>
      </w:tr>
      <w:tr>
        <w:tc>
          <w:tcPr/>
          <w:p>
            <w:pPr>
              <w:pStyle w:val="Compact"/>
              <w:jc w:val="left"/>
            </w:pPr>
            <w:r>
              <w:rPr>
                <w:bCs/>
                <w:b/>
              </w:rPr>
              <w:t xml:space="preserve">Animal disease control and notification</w:t>
            </w:r>
          </w:p>
        </w:tc>
        <w:tc>
          <w:tcPr/>
          <w:p>
            <w:pPr>
              <w:pStyle w:val="Compact"/>
              <w:jc w:val="left"/>
            </w:pPr>
            <w:r>
              <w:rPr>
                <w:bCs/>
                <w:b/>
              </w:rPr>
              <w:t xml:space="preserve">Weqaa</w:t>
            </w:r>
            <w:r>
              <w:t xml:space="preserve">, under MEWA</w:t>
            </w:r>
          </w:p>
        </w:tc>
        <w:tc>
          <w:tcPr/>
          <w:p>
            <w:pPr>
              <w:pStyle w:val="Compact"/>
              <w:jc w:val="left"/>
            </w:pPr>
            <w:r>
              <w:t xml:space="preserve">High</w:t>
            </w:r>
          </w:p>
        </w:tc>
      </w:tr>
      <w:tr>
        <w:tc>
          <w:tcPr/>
          <w:p>
            <w:pPr>
              <w:pStyle w:val="Compact"/>
              <w:jc w:val="left"/>
            </w:pPr>
            <w:r>
              <w:t xml:space="preserve">Personal data</w:t>
            </w:r>
          </w:p>
        </w:tc>
        <w:tc>
          <w:tcPr/>
          <w:p>
            <w:pPr>
              <w:pStyle w:val="Compact"/>
              <w:jc w:val="left"/>
            </w:pPr>
            <w:r>
              <w:rPr>
                <w:bCs/>
                <w:b/>
              </w:rPr>
              <w:t xml:space="preserve">SDAIA</w:t>
            </w:r>
            <w:r>
              <w:t xml:space="preserve"> </w:t>
            </w:r>
            <w:r>
              <w:t xml:space="preserve">(PDPL)</w:t>
            </w:r>
          </w:p>
        </w:tc>
        <w:tc>
          <w:tcPr/>
          <w:p>
            <w:pPr>
              <w:pStyle w:val="Compact"/>
              <w:jc w:val="left"/>
            </w:pPr>
            <w:r>
              <w:t xml:space="preserve">High</w:t>
            </w:r>
          </w:p>
        </w:tc>
      </w:tr>
      <w:tr>
        <w:tc>
          <w:tcPr/>
          <w:p>
            <w:pPr>
              <w:pStyle w:val="Compact"/>
              <w:jc w:val="left"/>
            </w:pPr>
            <w:r>
              <w:t xml:space="preserve">Cybersecurity</w:t>
            </w:r>
          </w:p>
        </w:tc>
        <w:tc>
          <w:tcPr/>
          <w:p>
            <w:pPr>
              <w:pStyle w:val="Compact"/>
              <w:jc w:val="left"/>
            </w:pPr>
            <w:r>
              <w:rPr>
                <w:bCs/>
                <w:b/>
              </w:rPr>
              <w:t xml:space="preserve">NCA</w:t>
            </w:r>
            <w:r>
              <w:t xml:space="preserve"> </w:t>
            </w:r>
            <w:r>
              <w:t xml:space="preserve">(ECC-2:2024)</w:t>
            </w:r>
          </w:p>
        </w:tc>
        <w:tc>
          <w:tcPr/>
          <w:p>
            <w:pPr>
              <w:pStyle w:val="Compact"/>
              <w:jc w:val="left"/>
            </w:pPr>
            <w:r>
              <w:t xml:space="preserve">High</w:t>
            </w:r>
          </w:p>
        </w:tc>
      </w:tr>
      <w:tr>
        <w:tc>
          <w:tcPr/>
          <w:p>
            <w:pPr>
              <w:pStyle w:val="Compact"/>
              <w:jc w:val="left"/>
            </w:pPr>
            <w:r>
              <w:t xml:space="preserve">Narcotics and psychotropics</w:t>
            </w:r>
          </w:p>
        </w:tc>
        <w:tc>
          <w:tcPr/>
          <w:p>
            <w:pPr>
              <w:pStyle w:val="Compact"/>
              <w:jc w:val="left"/>
            </w:pPr>
            <w:r>
              <w:rPr>
                <w:bCs/>
                <w:b/>
              </w:rPr>
              <w:t xml:space="preserve">SFDA</w:t>
            </w:r>
            <w:r>
              <w:t xml:space="preserve"> </w:t>
            </w:r>
            <w:r>
              <w:t xml:space="preserve">schedules under the Narcotics &amp; Psychotropic Substances Control Law —</w:t>
            </w:r>
            <w:r>
              <w:t xml:space="preserve"> </w:t>
            </w:r>
            <w:r>
              <w:rPr>
                <w:bCs/>
                <w:b/>
              </w:rPr>
              <w:t xml:space="preserve">veterinary prescriber status under this law is not established</w:t>
            </w:r>
          </w:p>
        </w:tc>
        <w:tc>
          <w:tcPr/>
          <w:p>
            <w:pPr>
              <w:pStyle w:val="Compact"/>
              <w:jc w:val="left"/>
            </w:pPr>
            <w:r>
              <w:t xml:space="preserve">Medium</w:t>
            </w:r>
          </w:p>
        </w:tc>
      </w:tr>
    </w:tbl>
    <w:bookmarkEnd w:id="87"/>
    <w:bookmarkStart w:id="88" w:name="X8fa0832a7bd0d69661e25c104ad2a85b1aa0b9e"/>
    <w:p>
      <w:pPr>
        <w:pStyle w:val="Heading2"/>
      </w:pPr>
      <w:r>
        <w:t xml:space="preserve">S6.2 Veterinary telemedicine —</w:t>
      </w:r>
      <w:r>
        <w:t xml:space="preserve"> </w:t>
      </w:r>
      <w:r>
        <w:rPr>
          <w:rStyle w:val="VerbatimChar"/>
        </w:rPr>
        <w:t xml:space="preserve">SILENT-UNRESOLVED</w:t>
      </w:r>
    </w:p>
    <w:p>
      <w:pPr>
        <w:pStyle w:val="FirstParagraph"/>
      </w:pPr>
      <w:r>
        <w:rPr>
          <w:bCs/>
          <w:b/>
        </w:rPr>
        <w:t xml:space="preserve">No framework. No prohibition.</w:t>
      </w:r>
    </w:p>
    <w:p>
      <w:pPr>
        <w:numPr>
          <w:ilvl w:val="0"/>
          <w:numId w:val="1005"/>
        </w:numPr>
        <w:pStyle w:val="Compact"/>
      </w:pPr>
      <w:r>
        <w:t xml:space="preserve">No MEWA, Weqaa or SFDA instrument was located that authorises, licenses, conditions or defines remote veterinary consultation.</w:t>
      </w:r>
    </w:p>
    <w:p>
      <w:pPr>
        <w:numPr>
          <w:ilvl w:val="0"/>
          <w:numId w:val="1005"/>
        </w:numPr>
        <w:pStyle w:val="Compact"/>
      </w:pPr>
      <w:r>
        <w:t xml:space="preserve">No prohibition was located either.</w:t>
      </w:r>
    </w:p>
    <w:p>
      <w:pPr>
        <w:numPr>
          <w:ilvl w:val="0"/>
          <w:numId w:val="1005"/>
        </w:numPr>
        <w:pStyle w:val="Compact"/>
      </w:pPr>
      <w:r>
        <w:rPr>
          <w:bCs/>
          <w:b/>
        </w:rPr>
        <w:t xml:space="preserve">The human telehealth framework does not extend to it.</w:t>
      </w:r>
      <w:r>
        <w:t xml:space="preserve"> </w:t>
      </w:r>
      <w:r>
        <w:t xml:space="preserve">The governing telehealth rules are scoped to practitioners registered with the Saudi Commission for Health Specialties. A telehealth-provider licence is therefore</w:t>
      </w:r>
      <w:r>
        <w:t xml:space="preserve"> </w:t>
      </w:r>
      <w:r>
        <w:rPr>
          <w:bCs/>
          <w:b/>
        </w:rPr>
        <w:t xml:space="preserve">not available</w:t>
      </w:r>
      <w:r>
        <w:t xml:space="preserve"> </w:t>
      </w:r>
      <w:r>
        <w:t xml:space="preserve">to a veterinary platform — and equally, those rules impose no obligation on one.</w:t>
      </w:r>
    </w:p>
    <w:p>
      <w:pPr>
        <w:numPr>
          <w:ilvl w:val="0"/>
          <w:numId w:val="1005"/>
        </w:numPr>
        <w:pStyle w:val="Compact"/>
      </w:pPr>
      <w:r>
        <w:rPr>
          <w:bCs/>
          <w:b/>
        </w:rPr>
        <w:t xml:space="preserve">The relevant instrument is in flux.</w:t>
      </w:r>
      <w:r>
        <w:t xml:space="preserve"> </w:t>
      </w:r>
      <w:r>
        <w:t xml:space="preserve">The MEWA</w:t>
      </w:r>
      <w:r>
        <w:t xml:space="preserve"> </w:t>
      </w:r>
      <w:r>
        <w:rPr>
          <w:iCs/>
          <w:i/>
        </w:rPr>
        <w:t xml:space="preserve">Veterinary Professions &amp; Establishments Guide</w:t>
      </w:r>
      <w:r>
        <w:t xml:space="preserve"> </w:t>
      </w:r>
      <w:r>
        <w:t xml:space="preserve">has been in force since 2 July 2023 and was put out for public consultation in 2025. Whether the in-force or updated text addresses remote services is not established.</w:t>
      </w:r>
    </w:p>
    <w:p>
      <w:pPr>
        <w:numPr>
          <w:ilvl w:val="0"/>
          <w:numId w:val="1005"/>
        </w:numPr>
        <w:pStyle w:val="Compact"/>
      </w:pPr>
      <w:r>
        <w:rPr>
          <w:bCs/>
          <w:b/>
        </w:rPr>
        <w:t xml:space="preserve">KSA has no Veterinarian–Client–Patient Relationship construct in law</w:t>
      </w:r>
      <w:r>
        <w:t xml:space="preserve"> </w:t>
      </w:r>
      <w:r>
        <w:t xml:space="preserve">that could be located. There is no located rule requiring in-person examination before prescribing.</w:t>
      </w:r>
      <w:r>
        <w:t xml:space="preserve"> </w:t>
      </w:r>
      <w:r>
        <w:rPr>
          <w:bCs/>
          <w:b/>
        </w:rPr>
        <w:t xml:space="preserve">That is an absence of rule, not a permission</w:t>
      </w:r>
      <w:r>
        <w:t xml:space="preserve"> </w:t>
      </w:r>
      <w:r>
        <w:t xml:space="preserve">— and it is a materially riskier position than a clear rule, because MEWA retains discretionary enforcement and publicly fines establishments for breaches of the veterinary professions regime.</w:t>
      </w:r>
    </w:p>
    <w:p>
      <w:pPr>
        <w:pStyle w:val="FirstParagraph"/>
      </w:pPr>
      <w:r>
        <w:rPr>
          <w:bCs/>
          <w:b/>
        </w:rPr>
        <w:t xml:space="preserve">Comparator risk characterisation.</w:t>
      </w:r>
      <w:r>
        <w:t xml:space="preserve"> </w:t>
      </w:r>
      <w:r>
        <w:t xml:space="preserve">Every mature jurisdiction that has addressed the question imposes</w:t>
      </w:r>
      <w:r>
        <w:t xml:space="preserve"> </w:t>
      </w:r>
      <w:r>
        <w:rPr>
          <w:bCs/>
          <w:b/>
        </w:rPr>
        <w:t xml:space="preserve">either</w:t>
      </w:r>
      <w:r>
        <w:t xml:space="preserve"> </w:t>
      </w:r>
      <w:r>
        <w:t xml:space="preserve">an in-person relationship precondition (US federal position: a VCPR cannot be established solely through telemedicine)</w:t>
      </w:r>
      <w:r>
        <w:t xml:space="preserve"> </w:t>
      </w:r>
      <w:r>
        <w:rPr>
          <w:bCs/>
          <w:b/>
        </w:rPr>
        <w:t xml:space="preserve">or</w:t>
      </w:r>
      <w:r>
        <w:t xml:space="preserve"> </w:t>
      </w:r>
      <w:r>
        <w:t xml:space="preserve">a carve-out requiring physical examination for antimicrobials, controlled drugs and notifiable disease plus a 24/7 physical-follow-up capability (UK/RCVS, remote prescribing permitted since September 2023 but with those exclusions).</w:t>
      </w:r>
      <w:r>
        <w:t xml:space="preserve"> </w:t>
      </w:r>
      <w:r>
        <w:rPr>
          <w:bCs/>
          <w:b/>
        </w:rPr>
        <w:t xml:space="preserve">No comparator permits unrestricted remote prescribing.</w:t>
      </w:r>
    </w:p>
    <w:p>
      <w:pPr>
        <w:pStyle w:val="BodyText"/>
      </w:pPr>
      <w:r>
        <w:rPr>
          <w:rStyle w:val="VerbatimChar"/>
          <w:bCs/>
          <w:b/>
        </w:rPr>
        <w:t xml:space="preserve">R-001</w:t>
      </w:r>
      <w:r>
        <w:rPr>
          <w:bCs/>
          <w:b/>
        </w:rPr>
        <w:t xml:space="preserve"> </w:t>
      </w:r>
      <w:r>
        <w:rPr>
          <w:bCs/>
          <w:b/>
        </w:rPr>
        <w:t xml:space="preserve">— The BRD does not record telemedicine as permitted.</w:t>
      </w:r>
      <w:r>
        <w:t xml:space="preserve"> </w:t>
      </w:r>
      <w:r>
        <w:t xml:space="preserve">It records it as unresolved, names the MEWA determination as the gating dependency (</w:t>
      </w:r>
      <w:r>
        <w:rPr>
          <w:rStyle w:val="VerbatimChar"/>
        </w:rPr>
        <w:t xml:space="preserve">P2</w:t>
      </w:r>
      <w:r>
        <w:t xml:space="preserve">, §S1.6), and specifies the RCVS-derived carve-outs as the</w:t>
      </w:r>
      <w:r>
        <w:t xml:space="preserve"> </w:t>
      </w:r>
      <w:r>
        <w:rPr>
          <w:bCs/>
          <w:b/>
        </w:rPr>
        <w:t xml:space="preserve">design floor that ships regardless of how MEWA answers</w:t>
      </w:r>
      <w:r>
        <w:t xml:space="preserve"> </w:t>
      </w:r>
      <w:r>
        <w:t xml:space="preserve">— because it is the most permissive credible regime and it still forbids the highest-risk categories.</w:t>
      </w:r>
    </w:p>
    <w:p>
      <w:pPr>
        <w:pStyle w:val="BodyText"/>
      </w:pPr>
      <w:r>
        <w:rPr>
          <w:rStyle w:val="VerbatimChar"/>
          <w:bCs/>
          <w:b/>
        </w:rPr>
        <w:t xml:space="preserve">R-002</w:t>
      </w:r>
      <w:r>
        <w:rPr>
          <w:bCs/>
          <w:b/>
        </w:rPr>
        <w:t xml:space="preserve"> </w:t>
      </w:r>
      <w:r>
        <w:rPr>
          <w:bCs/>
          <w:b/>
        </w:rPr>
        <w:t xml:space="preserve">— No market-facing or in-app text may represent the platform as licensed, accredited or approved for telemedicine by any Saudi authority.</w:t>
      </w:r>
      <w:r>
        <w:t xml:space="preserve"> </w:t>
      </w:r>
      <w:r>
        <w:t xml:space="preserve">Enforced by copy review; verified by a string-catalogue audit.</w:t>
      </w:r>
    </w:p>
    <w:bookmarkEnd w:id="88"/>
    <w:bookmarkStart w:id="96" w:name="s63-regulatory-requirements"/>
    <w:p>
      <w:pPr>
        <w:pStyle w:val="Heading2"/>
      </w:pPr>
      <w:r>
        <w:t xml:space="preserve">S6.3 Regulatory requirements</w:t>
      </w:r>
    </w:p>
    <w:bookmarkStart w:id="89" w:name="licensing-and-identity"/>
    <w:p>
      <w:pPr>
        <w:pStyle w:val="Heading3"/>
      </w:pPr>
      <w:r>
        <w:t xml:space="preserve">Licensing and identity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Conformance evidence</w:t>
            </w:r>
          </w:p>
        </w:tc>
      </w:tr>
      <w:tr>
        <w:tc>
          <w:tcPr/>
          <w:p>
            <w:pPr>
              <w:pStyle w:val="Compact"/>
              <w:jc w:val="left"/>
            </w:pPr>
            <w:r>
              <w:rPr>
                <w:rStyle w:val="VerbatimChar"/>
              </w:rPr>
              <w:t xml:space="preserve">R-101</w:t>
            </w:r>
          </w:p>
        </w:tc>
        <w:tc>
          <w:tcPr/>
          <w:p>
            <w:pPr>
              <w:pStyle w:val="Compact"/>
              <w:jc w:val="left"/>
            </w:pPr>
            <w:r>
              <w:t xml:space="preserve">Every user in a clinical role holds a current MEWA/Nama veterinary licence, captured, verified and expiry-monitored;</w:t>
            </w:r>
            <w:r>
              <w:t xml:space="preserve"> </w:t>
            </w:r>
            <w:r>
              <w:rPr>
                <w:bCs/>
                <w:b/>
              </w:rPr>
              <w:t xml:space="preserve">clinical actions block on lapse</w:t>
            </w:r>
          </w:p>
        </w:tc>
        <w:tc>
          <w:tcPr/>
          <w:p>
            <w:pPr>
              <w:pStyle w:val="Compact"/>
              <w:jc w:val="left"/>
            </w:pPr>
            <w:r>
              <w:t xml:space="preserve">MEWA</w:t>
            </w:r>
          </w:p>
        </w:tc>
        <w:tc>
          <w:tcPr/>
          <w:p>
            <w:pPr>
              <w:pStyle w:val="Compact"/>
              <w:jc w:val="left"/>
            </w:pPr>
            <w:r>
              <w:t xml:space="preserve">Licence number, dates, verification timestamp and method per practitioner; automated block-on-expiry demonstrable in test</w:t>
            </w:r>
          </w:p>
        </w:tc>
      </w:tr>
      <w:tr>
        <w:tc>
          <w:tcPr/>
          <w:p>
            <w:pPr>
              <w:pStyle w:val="Compact"/>
              <w:jc w:val="left"/>
            </w:pPr>
            <w:r>
              <w:rPr>
                <w:rStyle w:val="VerbatimChar"/>
              </w:rPr>
              <w:t xml:space="preserve">R-102</w:t>
            </w:r>
          </w:p>
        </w:tc>
        <w:tc>
          <w:tcPr/>
          <w:p>
            <w:pPr>
              <w:pStyle w:val="Compact"/>
              <w:jc w:val="left"/>
            </w:pPr>
            <w:r>
              <w:t xml:space="preserve">Every clinic tenant evidences a current MEWA establishment licence before clinical modules enable</w:t>
            </w:r>
          </w:p>
        </w:tc>
        <w:tc>
          <w:tcPr/>
          <w:p>
            <w:pPr>
              <w:pStyle w:val="Compact"/>
              <w:jc w:val="left"/>
            </w:pPr>
            <w:r>
              <w:t xml:space="preserve">MEWA</w:t>
            </w:r>
          </w:p>
        </w:tc>
        <w:tc>
          <w:tcPr/>
          <w:p>
            <w:pPr>
              <w:pStyle w:val="Compact"/>
              <w:jc w:val="left"/>
            </w:pPr>
            <w:r>
              <w:t xml:space="preserve">Licence on tenant record with expiry; provisioning gate demonstrable</w:t>
            </w:r>
          </w:p>
        </w:tc>
      </w:tr>
      <w:tr>
        <w:tc>
          <w:tcPr/>
          <w:p>
            <w:pPr>
              <w:pStyle w:val="Compact"/>
              <w:jc w:val="left"/>
            </w:pPr>
            <w:r>
              <w:rPr>
                <w:rStyle w:val="VerbatimChar"/>
              </w:rPr>
              <w:t xml:space="preserve">R-103</w:t>
            </w:r>
          </w:p>
        </w:tc>
        <w:tc>
          <w:tcPr/>
          <w:p>
            <w:pPr>
              <w:pStyle w:val="Compact"/>
              <w:jc w:val="left"/>
            </w:pPr>
            <w:r>
              <w:t xml:space="preserve">Tenant onboarding additionally captures municipal (Balady/MOMRAH) licence, Civil Defence approval and valid CR</w:t>
            </w:r>
          </w:p>
        </w:tc>
        <w:tc>
          <w:tcPr/>
          <w:p>
            <w:pPr>
              <w:pStyle w:val="Compact"/>
              <w:jc w:val="left"/>
            </w:pPr>
            <w:r>
              <w:t xml:space="preserve">MOMRAH</w:t>
            </w:r>
          </w:p>
        </w:tc>
        <w:tc>
          <w:tcPr/>
          <w:p>
            <w:pPr>
              <w:pStyle w:val="Compact"/>
              <w:jc w:val="left"/>
            </w:pPr>
            <w:r>
              <w:t xml:space="preserve">Three documents with expiry tracking</w:t>
            </w:r>
          </w:p>
        </w:tc>
      </w:tr>
      <w:tr>
        <w:tc>
          <w:tcPr/>
          <w:p>
            <w:pPr>
              <w:pStyle w:val="Compact"/>
              <w:jc w:val="left"/>
            </w:pPr>
            <w:r>
              <w:rPr>
                <w:rStyle w:val="VerbatimChar"/>
              </w:rPr>
              <w:t xml:space="preserve">R-104</w:t>
            </w:r>
          </w:p>
        </w:tc>
        <w:tc>
          <w:tcPr/>
          <w:p>
            <w:pPr>
              <w:pStyle w:val="Compact"/>
              <w:jc w:val="left"/>
            </w:pPr>
            <w:r>
              <w:t xml:space="preserve">No representation of telemedicine licensure or approval anywhere</w:t>
            </w:r>
          </w:p>
        </w:tc>
        <w:tc>
          <w:tcPr/>
          <w:p>
            <w:pPr>
              <w:pStyle w:val="Compact"/>
              <w:jc w:val="left"/>
            </w:pPr>
            <w:r>
              <w:t xml:space="preserve">Legal / marketing control</w:t>
            </w:r>
          </w:p>
        </w:tc>
        <w:tc>
          <w:tcPr/>
          <w:p>
            <w:pPr>
              <w:pStyle w:val="Compact"/>
              <w:jc w:val="left"/>
            </w:pPr>
            <w:r>
              <w:t xml:space="preserve">Copy review sign-off; no such claim in any string resource or asset</w:t>
            </w:r>
          </w:p>
        </w:tc>
      </w:tr>
    </w:tbl>
    <w:bookmarkEnd w:id="89"/>
    <w:bookmarkStart w:id="90" w:name="clinical-record"/>
    <w:p>
      <w:pPr>
        <w:pStyle w:val="Heading3"/>
      </w:pPr>
      <w:r>
        <w:t xml:space="preserve">Clinical record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Conformance evidence</w:t>
            </w:r>
          </w:p>
        </w:tc>
      </w:tr>
      <w:tr>
        <w:tc>
          <w:tcPr/>
          <w:p>
            <w:pPr>
              <w:pStyle w:val="Compact"/>
              <w:jc w:val="left"/>
            </w:pPr>
            <w:r>
              <w:rPr>
                <w:rStyle w:val="VerbatimChar"/>
              </w:rPr>
              <w:t xml:space="preserve">R-105</w:t>
            </w:r>
          </w:p>
        </w:tc>
        <w:tc>
          <w:tcPr/>
          <w:p>
            <w:pPr>
              <w:pStyle w:val="Compact"/>
              <w:jc w:val="left"/>
            </w:pPr>
            <w:r>
              <w:t xml:space="preserve">Per-case clinical record capturing at minimum owner name and contact, animal species and identification, presenting condition, diagnosis, treatment and outcome</w:t>
            </w:r>
          </w:p>
        </w:tc>
        <w:tc>
          <w:tcPr/>
          <w:p>
            <w:pPr>
              <w:pStyle w:val="Compact"/>
              <w:jc w:val="left"/>
            </w:pPr>
            <w:r>
              <w:t xml:space="preserve">MEWA</w:t>
            </w:r>
          </w:p>
        </w:tc>
        <w:tc>
          <w:tcPr/>
          <w:p>
            <w:pPr>
              <w:pStyle w:val="Compact"/>
              <w:jc w:val="left"/>
            </w:pPr>
            <w:r>
              <w:t xml:space="preserve">Field-mapping document showing each mandated element; export of a completed record</w:t>
            </w:r>
          </w:p>
        </w:tc>
      </w:tr>
      <w:tr>
        <w:tc>
          <w:tcPr/>
          <w:p>
            <w:pPr>
              <w:pStyle w:val="Compact"/>
              <w:jc w:val="left"/>
            </w:pPr>
            <w:r>
              <w:rPr>
                <w:rStyle w:val="VerbatimChar"/>
              </w:rPr>
              <w:t xml:space="preserve">R-106</w:t>
            </w:r>
          </w:p>
        </w:tc>
        <w:tc>
          <w:tcPr/>
          <w:p>
            <w:pPr>
              <w:pStyle w:val="Compact"/>
              <w:jc w:val="left"/>
            </w:pPr>
            <w:r>
              <w:t xml:space="preserve">Clinical records exportable in the MEWA-prescribed form, supporting periodic reporting to the MEWA regional branch</w:t>
            </w:r>
          </w:p>
        </w:tc>
        <w:tc>
          <w:tcPr/>
          <w:p>
            <w:pPr>
              <w:pStyle w:val="Compact"/>
              <w:jc w:val="left"/>
            </w:pPr>
            <w:r>
              <w:t xml:space="preserve">MEWA</w:t>
            </w:r>
          </w:p>
        </w:tc>
        <w:tc>
          <w:tcPr/>
          <w:p>
            <w:pPr>
              <w:pStyle w:val="Compact"/>
              <w:jc w:val="left"/>
            </w:pPr>
            <w:r>
              <w:t xml:space="preserve">Export function; scheduled report generation.</w:t>
            </w:r>
            <w:r>
              <w:t xml:space="preserve"> </w:t>
            </w:r>
            <w:r>
              <w:rPr>
                <w:rStyle w:val="VerbatimChar"/>
              </w:rPr>
              <w:t xml:space="preserve">[EVIDENCE REQUIRED]</w:t>
            </w:r>
            <w:r>
              <w:t xml:space="preserve"> </w:t>
            </w:r>
            <w:r>
              <w:t xml:space="preserve">— the current prescribed form</w:t>
            </w:r>
          </w:p>
        </w:tc>
      </w:tr>
      <w:tr>
        <w:tc>
          <w:tcPr/>
          <w:p>
            <w:pPr>
              <w:pStyle w:val="Compact"/>
              <w:jc w:val="left"/>
            </w:pPr>
            <w:r>
              <w:rPr>
                <w:rStyle w:val="VerbatimChar"/>
              </w:rPr>
              <w:t xml:space="preserve">R-107</w:t>
            </w:r>
          </w:p>
        </w:tc>
        <w:tc>
          <w:tcPr/>
          <w:p>
            <w:pPr>
              <w:pStyle w:val="Compact"/>
              <w:jc w:val="left"/>
            </w:pPr>
            <w:r>
              <w:rPr>
                <w:bCs/>
                <w:b/>
              </w:rPr>
              <w:t xml:space="preserve">Retention enforced by a configurable policy, defaulting to hold (no hard delete)</w:t>
            </w:r>
          </w:p>
        </w:tc>
        <w:tc>
          <w:tcPr/>
          <w:p>
            <w:pPr>
              <w:pStyle w:val="Compact"/>
              <w:jc w:val="left"/>
            </w:pPr>
            <w:r>
              <w:t xml:space="preserve">MEWA</w:t>
            </w:r>
          </w:p>
        </w:tc>
        <w:tc>
          <w:tcPr/>
          <w:p>
            <w:pPr>
              <w:pStyle w:val="Compact"/>
              <w:jc w:val="left"/>
            </w:pPr>
            <w:r>
              <w:t xml:space="preserve">Retention configuration exists and is auditable;</w:t>
            </w:r>
            <w:r>
              <w:t xml:space="preserve"> </w:t>
            </w:r>
            <w:r>
              <w:rPr>
                <w:bCs/>
                <w:b/>
              </w:rPr>
              <w:t xml:space="preserve">no code path performs unrecoverable deletion of a clinical record.</w:t>
            </w:r>
            <w:r>
              <w:t xml:space="preserve"> </w:t>
            </w:r>
            <w:r>
              <w:t xml:space="preserve">Period value pending</w:t>
            </w:r>
            <w:r>
              <w:t xml:space="preserve"> </w:t>
            </w:r>
            <w:r>
              <w:rPr>
                <w:rStyle w:val="VerbatimChar"/>
              </w:rPr>
              <w:t xml:space="preserve">[EVIDENCE REQUIRED]</w:t>
            </w:r>
          </w:p>
        </w:tc>
      </w:tr>
      <w:tr>
        <w:tc>
          <w:tcPr/>
          <w:p>
            <w:pPr>
              <w:pStyle w:val="Compact"/>
              <w:jc w:val="left"/>
            </w:pPr>
            <w:r>
              <w:rPr>
                <w:rStyle w:val="VerbatimChar"/>
              </w:rPr>
              <w:t xml:space="preserve">R-108</w:t>
            </w:r>
          </w:p>
        </w:tc>
        <w:tc>
          <w:tcPr/>
          <w:p>
            <w:pPr>
              <w:pStyle w:val="Compact"/>
              <w:jc w:val="left"/>
            </w:pPr>
            <w:r>
              <w:t xml:space="preserve">All clinical record mutations append-only and audit-logged with actor, timestamp and prior value</w:t>
            </w:r>
          </w:p>
        </w:tc>
        <w:tc>
          <w:tcPr/>
          <w:p>
            <w:pPr>
              <w:pStyle w:val="Compact"/>
              <w:jc w:val="left"/>
            </w:pPr>
            <w:r>
              <w:t xml:space="preserve">MEWA / PDPL accountability</w:t>
            </w:r>
          </w:p>
        </w:tc>
        <w:tc>
          <w:tcPr/>
          <w:p>
            <w:pPr>
              <w:pStyle w:val="Compact"/>
              <w:jc w:val="left"/>
            </w:pPr>
            <w:r>
              <w:t xml:space="preserve">Immutable audit log; tamper-evidence test</w:t>
            </w:r>
          </w:p>
        </w:tc>
      </w:tr>
    </w:tbl>
    <w:bookmarkEnd w:id="90"/>
    <w:bookmarkStart w:id="91" w:name="telemedicine-and-prescribing"/>
    <w:p>
      <w:pPr>
        <w:pStyle w:val="Heading3"/>
      </w:pPr>
      <w:r>
        <w:t xml:space="preserve">Telemedicine and prescribing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Basis</w:t>
            </w:r>
          </w:p>
        </w:tc>
        <w:tc>
          <w:tcPr/>
          <w:p>
            <w:pPr>
              <w:pStyle w:val="Compact"/>
              <w:jc w:val="left"/>
            </w:pPr>
            <w:r>
              <w:t xml:space="preserve">Conformance evidence</w:t>
            </w:r>
          </w:p>
        </w:tc>
      </w:tr>
      <w:tr>
        <w:tc>
          <w:tcPr/>
          <w:p>
            <w:pPr>
              <w:pStyle w:val="Compact"/>
              <w:jc w:val="left"/>
            </w:pPr>
            <w:r>
              <w:rPr>
                <w:rStyle w:val="VerbatimChar"/>
              </w:rPr>
              <w:t xml:space="preserve">R-109</w:t>
            </w:r>
          </w:p>
        </w:tc>
        <w:tc>
          <w:tcPr/>
          <w:p>
            <w:pPr>
              <w:pStyle w:val="Compact"/>
              <w:jc w:val="left"/>
            </w:pPr>
            <w:r>
              <w:t xml:space="preserve">Every consultation records an explicit modality flag on the record and on any resulting prescription</w:t>
            </w:r>
          </w:p>
        </w:tc>
        <w:tc>
          <w:tcPr/>
          <w:p>
            <w:pPr>
              <w:pStyle w:val="Compact"/>
              <w:jc w:val="left"/>
            </w:pPr>
            <w:r>
              <w:t xml:space="preserve">Risk control pending MEWA ruling</w:t>
            </w:r>
          </w:p>
        </w:tc>
        <w:tc>
          <w:tcPr/>
          <w:p>
            <w:pPr>
              <w:pStyle w:val="Compact"/>
              <w:jc w:val="left"/>
            </w:pPr>
            <w:r>
              <w:t xml:space="preserve">Modality populated on 100% of encounters</w:t>
            </w:r>
          </w:p>
        </w:tc>
      </w:tr>
      <w:tr>
        <w:tc>
          <w:tcPr/>
          <w:p>
            <w:pPr>
              <w:pStyle w:val="Compact"/>
              <w:jc w:val="left"/>
            </w:pPr>
            <w:r>
              <w:rPr>
                <w:rStyle w:val="VerbatimChar"/>
              </w:rPr>
              <w:t xml:space="preserve">R-110</w:t>
            </w:r>
          </w:p>
        </w:tc>
        <w:tc>
          <w:tcPr/>
          <w:p>
            <w:pPr>
              <w:pStyle w:val="Compact"/>
              <w:jc w:val="left"/>
            </w:pPr>
            <w:r>
              <w:rPr>
                <w:bCs/>
                <w:b/>
              </w:rPr>
              <w:t xml:space="preserve">Remote-only prescribing of antimicrobials, antifungals, antiparasitics, antivirals and controlled substances is blocked</w:t>
            </w:r>
            <w:r>
              <w:t xml:space="preserve"> </w:t>
            </w:r>
            <w:r>
              <w:t xml:space="preserve">unless a physical examination is recorded within a configurable prior window</w:t>
            </w:r>
          </w:p>
        </w:tc>
        <w:tc>
          <w:tcPr/>
          <w:p>
            <w:pPr>
              <w:pStyle w:val="Compact"/>
              <w:jc w:val="left"/>
            </w:pPr>
            <w:r>
              <w:t xml:space="preserve">RCVS-derived design floor</w:t>
            </w:r>
          </w:p>
        </w:tc>
        <w:tc>
          <w:tcPr/>
          <w:p>
            <w:pPr>
              <w:pStyle w:val="Compact"/>
              <w:jc w:val="left"/>
            </w:pPr>
            <w:r>
              <w:t xml:space="preserve">Rule-engine tests for block and override-with-justification; a product classification table mapping SFDA-registered products to restricted categories</w:t>
            </w:r>
          </w:p>
        </w:tc>
      </w:tr>
      <w:tr>
        <w:tc>
          <w:tcPr/>
          <w:p>
            <w:pPr>
              <w:pStyle w:val="Compact"/>
              <w:jc w:val="left"/>
            </w:pPr>
            <w:r>
              <w:rPr>
                <w:rStyle w:val="VerbatimChar"/>
              </w:rPr>
              <w:t xml:space="preserve">R-111</w:t>
            </w:r>
          </w:p>
        </w:tc>
        <w:tc>
          <w:tcPr/>
          <w:p>
            <w:pPr>
              <w:pStyle w:val="Compact"/>
              <w:jc w:val="left"/>
            </w:pPr>
            <w:r>
              <w:t xml:space="preserve">Every remote case has a named, contactable in-person escalation provider recorded</w:t>
            </w:r>
            <w:r>
              <w:t xml:space="preserve"> </w:t>
            </w:r>
            <w:r>
              <w:rPr>
                <w:bCs/>
                <w:b/>
              </w:rPr>
              <w:t xml:space="preserve">in advance</w:t>
            </w:r>
            <w:r>
              <w:t xml:space="preserve">, with 24/7 physical-examination capability</w:t>
            </w:r>
          </w:p>
        </w:tc>
        <w:tc>
          <w:tcPr/>
          <w:p>
            <w:pPr>
              <w:pStyle w:val="Compact"/>
              <w:jc w:val="left"/>
            </w:pPr>
            <w:r>
              <w:t xml:space="preserve">RCVS-derived design floor</w:t>
            </w:r>
          </w:p>
        </w:tc>
        <w:tc>
          <w:tcPr/>
          <w:p>
            <w:pPr>
              <w:pStyle w:val="Compact"/>
              <w:jc w:val="left"/>
            </w:pPr>
            <w:r>
              <w:t xml:space="preserve">Escalation provider mandatory before a remote encounter can close; the written arrangement stored</w:t>
            </w:r>
          </w:p>
        </w:tc>
      </w:tr>
      <w:tr>
        <w:tc>
          <w:tcPr/>
          <w:p>
            <w:pPr>
              <w:pStyle w:val="Compact"/>
              <w:jc w:val="left"/>
            </w:pPr>
            <w:r>
              <w:rPr>
                <w:rStyle w:val="VerbatimChar"/>
              </w:rPr>
              <w:t xml:space="preserve">R-112</w:t>
            </w:r>
          </w:p>
        </w:tc>
        <w:tc>
          <w:tcPr/>
          <w:p>
            <w:pPr>
              <w:pStyle w:val="Compact"/>
              <w:jc w:val="left"/>
            </w:pPr>
            <w:r>
              <w:t xml:space="preserve">Prescriptions issued only by a verified licensed practitioner;</w:t>
            </w:r>
            <w:r>
              <w:t xml:space="preserve"> </w:t>
            </w:r>
            <w:r>
              <w:rPr>
                <w:bCs/>
                <w:b/>
              </w:rPr>
              <w:t xml:space="preserve">prescribing rights are not delegable</w:t>
            </w:r>
          </w:p>
        </w:tc>
        <w:tc>
          <w:tcPr/>
          <w:p>
            <w:pPr>
              <w:pStyle w:val="Compact"/>
              <w:jc w:val="left"/>
            </w:pPr>
            <w:r>
              <w:t xml:space="preserve">MEWA</w:t>
            </w:r>
          </w:p>
        </w:tc>
        <w:tc>
          <w:tcPr/>
          <w:p>
            <w:pPr>
              <w:pStyle w:val="Compact"/>
              <w:jc w:val="left"/>
            </w:pPr>
            <w:r>
              <w:t xml:space="preserve">Role/permission matrix; negative test showing an assistant role cannot issue</w:t>
            </w:r>
          </w:p>
        </w:tc>
      </w:tr>
      <w:tr>
        <w:tc>
          <w:tcPr/>
          <w:p>
            <w:pPr>
              <w:pStyle w:val="Compact"/>
              <w:jc w:val="left"/>
            </w:pPr>
            <w:r>
              <w:rPr>
                <w:rStyle w:val="VerbatimChar"/>
              </w:rPr>
              <w:t xml:space="preserve">R-113</w:t>
            </w:r>
          </w:p>
        </w:tc>
        <w:tc>
          <w:tcPr/>
          <w:p>
            <w:pPr>
              <w:pStyle w:val="Compact"/>
              <w:jc w:val="left"/>
            </w:pPr>
            <w:r>
              <w:t xml:space="preserve">Prescription records capture generic name, strength, batch where dispensed, expiry, quantity, and SFDA registration status</w:t>
            </w:r>
          </w:p>
        </w:tc>
        <w:tc>
          <w:tcPr/>
          <w:p>
            <w:pPr>
              <w:pStyle w:val="Compact"/>
              <w:jc w:val="left"/>
            </w:pPr>
            <w:r>
              <w:t xml:space="preserve">SFDA</w:t>
            </w:r>
          </w:p>
        </w:tc>
        <w:tc>
          <w:tcPr/>
          <w:p>
            <w:pPr>
              <w:pStyle w:val="Compact"/>
              <w:jc w:val="left"/>
            </w:pPr>
            <w:r>
              <w:t xml:space="preserve">Prescription/dispense schema; validation against the SFDA register</w:t>
            </w:r>
          </w:p>
        </w:tc>
      </w:tr>
      <w:tr>
        <w:tc>
          <w:tcPr/>
          <w:p>
            <w:pPr>
              <w:pStyle w:val="Compact"/>
              <w:jc w:val="left"/>
            </w:pPr>
            <w:r>
              <w:rPr>
                <w:rStyle w:val="VerbatimChar"/>
              </w:rPr>
              <w:t xml:space="preserve">R-114</w:t>
            </w:r>
          </w:p>
        </w:tc>
        <w:tc>
          <w:tcPr/>
          <w:p>
            <w:pPr>
              <w:pStyle w:val="Compact"/>
              <w:jc w:val="left"/>
            </w:pPr>
            <w:r>
              <w:t xml:space="preserve">Narcotic/psychotropic products handled under a separate controlled workflow with restricted access,</w:t>
            </w:r>
            <w:r>
              <w:t xml:space="preserve"> </w:t>
            </w:r>
            <w:r>
              <w:rPr>
                <w:bCs/>
                <w:b/>
              </w:rPr>
              <w:t xml:space="preserve">not dispensable through the standard path</w:t>
            </w:r>
          </w:p>
        </w:tc>
        <w:tc>
          <w:tcPr/>
          <w:p>
            <w:pPr>
              <w:pStyle w:val="Compact"/>
              <w:jc w:val="left"/>
            </w:pPr>
            <w:r>
              <w:t xml:space="preserve">SFDA</w:t>
            </w:r>
          </w:p>
        </w:tc>
        <w:tc>
          <w:tcPr/>
          <w:p>
            <w:pPr>
              <w:pStyle w:val="Compact"/>
              <w:jc w:val="left"/>
            </w:pPr>
            <w:r>
              <w:t xml:space="preserve">Separate workflow, ACL, audit trail.</w:t>
            </w:r>
            <w:r>
              <w:t xml:space="preserve"> </w:t>
            </w:r>
            <w:r>
              <w:rPr>
                <w:bCs/>
                <w:b/>
              </w:rPr>
              <w:t xml:space="preserve">Veterinary prescriber status under the narcotics law is</w:t>
            </w:r>
            <w:r>
              <w:rPr>
                <w:bCs/>
                <w:b/>
              </w:rPr>
              <w:t xml:space="preserve"> </w:t>
            </w:r>
            <w:r>
              <w:rPr>
                <w:rStyle w:val="VerbatimChar"/>
                <w:bCs/>
                <w:b/>
              </w:rPr>
              <w:t xml:space="preserve">[EVIDENCE REQUIRED]</w:t>
            </w:r>
            <w:r>
              <w:rPr>
                <w:bCs/>
                <w:b/>
              </w:rPr>
              <w:t xml:space="preserve"> </w:t>
            </w:r>
            <w:r>
              <w:rPr>
                <w:bCs/>
                <w:b/>
              </w:rPr>
              <w:t xml:space="preserve">— until resolved, the safe default is that this workflow is disabled</w:t>
            </w:r>
          </w:p>
        </w:tc>
      </w:tr>
      <w:tr>
        <w:tc>
          <w:tcPr/>
          <w:p>
            <w:pPr>
              <w:pStyle w:val="Compact"/>
              <w:jc w:val="left"/>
            </w:pPr>
            <w:r>
              <w:rPr>
                <w:rStyle w:val="VerbatimChar"/>
              </w:rPr>
              <w:t xml:space="preserve">R-115</w:t>
            </w:r>
          </w:p>
        </w:tc>
        <w:tc>
          <w:tcPr/>
          <w:p>
            <w:pPr>
              <w:pStyle w:val="Compact"/>
              <w:jc w:val="left"/>
            </w:pPr>
            <w:r>
              <w:t xml:space="preserve">Antimicrobial prescribing individually recorded and aggregable into a clinic-level utilisation report</w:t>
            </w:r>
          </w:p>
        </w:tc>
        <w:tc>
          <w:tcPr/>
          <w:p>
            <w:pPr>
              <w:pStyle w:val="Compact"/>
              <w:jc w:val="left"/>
            </w:pPr>
            <w:r>
              <w:t xml:space="preserve">MEWA (National Action Plan on AMR)</w:t>
            </w:r>
          </w:p>
        </w:tc>
        <w:tc>
          <w:tcPr/>
          <w:p>
            <w:pPr>
              <w:pStyle w:val="Compact"/>
              <w:jc w:val="left"/>
            </w:pPr>
            <w:r>
              <w:t xml:space="preserve">Antimicrobial flag on the product master; utilisation report over an arbitrary date range</w:t>
            </w:r>
          </w:p>
        </w:tc>
      </w:tr>
    </w:tbl>
    <w:bookmarkEnd w:id="91"/>
    <w:bookmarkStart w:id="92" w:name="dispensing-and-traceability"/>
    <w:p>
      <w:pPr>
        <w:pStyle w:val="Heading3"/>
      </w:pPr>
      <w:r>
        <w:t xml:space="preserve">Dispensing and traceability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Conformance evidence</w:t>
            </w:r>
          </w:p>
        </w:tc>
      </w:tr>
      <w:tr>
        <w:tc>
          <w:tcPr/>
          <w:p>
            <w:pPr>
              <w:pStyle w:val="Compact"/>
              <w:jc w:val="left"/>
            </w:pPr>
            <w:r>
              <w:rPr>
                <w:rStyle w:val="VerbatimChar"/>
              </w:rPr>
              <w:t xml:space="preserve">R-116</w:t>
            </w:r>
          </w:p>
        </w:tc>
        <w:tc>
          <w:tcPr/>
          <w:p>
            <w:pPr>
              <w:pStyle w:val="Compact"/>
              <w:jc w:val="left"/>
            </w:pPr>
            <w:r>
              <w:t xml:space="preserve">In-clinic dispensing records batch/lot and expiry against the dispensing event, at unit level</w:t>
            </w:r>
          </w:p>
        </w:tc>
        <w:tc>
          <w:tcPr/>
          <w:p>
            <w:pPr>
              <w:pStyle w:val="Compact"/>
              <w:jc w:val="left"/>
            </w:pPr>
            <w:r>
              <w:t xml:space="preserve">SFDA</w:t>
            </w:r>
          </w:p>
        </w:tc>
        <w:tc>
          <w:tcPr/>
          <w:p>
            <w:pPr>
              <w:pStyle w:val="Compact"/>
              <w:jc w:val="left"/>
            </w:pPr>
            <w:r>
              <w:t xml:space="preserve">Dispense record includes batch and expiry; scan capture supported</w:t>
            </w:r>
          </w:p>
        </w:tc>
      </w:tr>
      <w:tr>
        <w:tc>
          <w:tcPr/>
          <w:p>
            <w:pPr>
              <w:pStyle w:val="Compact"/>
              <w:jc w:val="left"/>
            </w:pPr>
            <w:r>
              <w:rPr>
                <w:rStyle w:val="VerbatimChar"/>
              </w:rPr>
              <w:t xml:space="preserve">R-117</w:t>
            </w:r>
          </w:p>
        </w:tc>
        <w:tc>
          <w:tcPr/>
          <w:p>
            <w:pPr>
              <w:pStyle w:val="Compact"/>
              <w:jc w:val="left"/>
            </w:pPr>
            <w:r>
              <w:rPr>
                <w:bCs/>
                <w:b/>
              </w:rPr>
              <w:t xml:space="preserve">Recall action: given a product and batch range, identify every affected dispensing event and the owner contact for each</w:t>
            </w:r>
          </w:p>
        </w:tc>
        <w:tc>
          <w:tcPr/>
          <w:p>
            <w:pPr>
              <w:pStyle w:val="Compact"/>
              <w:jc w:val="left"/>
            </w:pPr>
            <w:r>
              <w:t xml:space="preserve">SFDA</w:t>
            </w:r>
          </w:p>
        </w:tc>
        <w:tc>
          <w:tcPr/>
          <w:p>
            <w:pPr>
              <w:pStyle w:val="Compact"/>
              <w:jc w:val="left"/>
            </w:pPr>
            <w:r>
              <w:t xml:space="preserve">Recall query against test data returning affected owners within a defined SLA</w:t>
            </w:r>
          </w:p>
        </w:tc>
      </w:tr>
      <w:tr>
        <w:tc>
          <w:tcPr/>
          <w:p>
            <w:pPr>
              <w:pStyle w:val="Compact"/>
              <w:jc w:val="left"/>
            </w:pPr>
            <w:r>
              <w:rPr>
                <w:rStyle w:val="VerbatimChar"/>
              </w:rPr>
              <w:t xml:space="preserve">R-118</w:t>
            </w:r>
          </w:p>
        </w:tc>
        <w:tc>
          <w:tcPr/>
          <w:p>
            <w:pPr>
              <w:pStyle w:val="Compact"/>
              <w:jc w:val="left"/>
            </w:pPr>
            <w:r>
              <w:t xml:space="preserve">GS1 DataMatrix scan capture (GTIN, batch, expiry, serial) and RSD event reporting where SFDA requires it at point of dispense</w:t>
            </w:r>
          </w:p>
        </w:tc>
        <w:tc>
          <w:tcPr/>
          <w:p>
            <w:pPr>
              <w:pStyle w:val="Compact"/>
              <w:jc w:val="left"/>
            </w:pPr>
            <w:r>
              <w:t xml:space="preserve">SFDA / RSD</w:t>
            </w:r>
          </w:p>
        </w:tc>
        <w:tc>
          <w:tcPr/>
          <w:p>
            <w:pPr>
              <w:pStyle w:val="Compact"/>
              <w:jc w:val="left"/>
            </w:pPr>
            <w:r>
              <w:t xml:space="preserve">Scan parsing verified against DataMatrix samples.</w:t>
            </w:r>
            <w:r>
              <w:t xml:space="preserve"> </w:t>
            </w:r>
            <w:r>
              <w:rPr>
                <w:bCs/>
                <w:b/>
              </w:rPr>
              <w:t xml:space="preserve">RSD point-of-dispense interface is</w:t>
            </w:r>
            <w:r>
              <w:rPr>
                <w:bCs/>
                <w:b/>
              </w:rPr>
              <w:t xml:space="preserve"> </w:t>
            </w:r>
            <w:r>
              <w:rPr>
                <w:rStyle w:val="VerbatimChar"/>
                <w:bCs/>
                <w:b/>
              </w:rPr>
              <w:t xml:space="preserve">[EVIDENCE REQUIRED]</w:t>
            </w:r>
          </w:p>
        </w:tc>
      </w:tr>
    </w:tbl>
    <w:p>
      <w:pPr>
        <w:pStyle w:val="BodyText"/>
      </w:pPr>
      <w:r>
        <w:t xml:space="preserve">SFDA's GS1 DataMatrix mandate — GTIN plus expiry plus batch as a minimum, with serialisation —</w:t>
      </w:r>
      <w:r>
        <w:t xml:space="preserve"> </w:t>
      </w:r>
      <w:r>
        <w:rPr>
          <w:bCs/>
          <w:b/>
        </w:rPr>
        <w:t xml:space="preserve">explicitly covers veterinary drugs</w:t>
      </w:r>
      <w:r>
        <w:t xml:space="preserve">. Enforcement reaches the dispensing end: SFDA has fined pharmacies over drug-tracking violations.</w:t>
      </w:r>
    </w:p>
    <w:bookmarkEnd w:id="92"/>
    <w:bookmarkStart w:id="93" w:name="X7bf1df79c372928535dbef7dc3bb38c7194b0e9"/>
    <w:p>
      <w:pPr>
        <w:pStyle w:val="Heading3"/>
      </w:pPr>
      <w:r>
        <w:t xml:space="preserve">Notifiable disease — the one unambiguous enforceable duty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Conformance evidence</w:t>
            </w:r>
          </w:p>
        </w:tc>
      </w:tr>
      <w:tr>
        <w:tc>
          <w:tcPr/>
          <w:p>
            <w:pPr>
              <w:pStyle w:val="Compact"/>
              <w:jc w:val="left"/>
            </w:pPr>
            <w:r>
              <w:rPr>
                <w:rStyle w:val="VerbatimChar"/>
              </w:rPr>
              <w:t xml:space="preserve">R-119</w:t>
            </w:r>
          </w:p>
        </w:tc>
        <w:tc>
          <w:tcPr/>
          <w:p>
            <w:pPr>
              <w:pStyle w:val="Compact"/>
              <w:jc w:val="left"/>
            </w:pPr>
            <w:r>
              <w:t xml:space="preserve">Where a diagnosis or differential matches the immediate-notification list, a</w:t>
            </w:r>
            <w:r>
              <w:t xml:space="preserve"> </w:t>
            </w:r>
            <w:r>
              <w:rPr>
                <w:bCs/>
                <w:b/>
              </w:rPr>
              <w:t xml:space="preserve">blocking prompt</w:t>
            </w:r>
            <w:r>
              <w:t xml:space="preserve"> </w:t>
            </w:r>
            <w:r>
              <w:t xml:space="preserve">states the 24-hour deadline and the Weqaa reporting channels</w:t>
            </w:r>
          </w:p>
        </w:tc>
        <w:tc>
          <w:tcPr/>
          <w:p>
            <w:pPr>
              <w:pStyle w:val="Compact"/>
              <w:jc w:val="left"/>
            </w:pPr>
            <w:r>
              <w:t xml:space="preserve">Weqaa / MEWA</w:t>
            </w:r>
          </w:p>
        </w:tc>
        <w:tc>
          <w:tcPr/>
          <w:p>
            <w:pPr>
              <w:pStyle w:val="Compact"/>
              <w:jc w:val="left"/>
            </w:pPr>
            <w:r>
              <w:t xml:space="preserve">Versioned notifiable-disease reference list; prompt fires in test for each listed condition</w:t>
            </w:r>
          </w:p>
        </w:tc>
      </w:tr>
      <w:tr>
        <w:tc>
          <w:tcPr/>
          <w:p>
            <w:pPr>
              <w:pStyle w:val="Compact"/>
              <w:jc w:val="left"/>
            </w:pPr>
            <w:r>
              <w:rPr>
                <w:rStyle w:val="VerbatimChar"/>
              </w:rPr>
              <w:t xml:space="preserve">R-120</w:t>
            </w:r>
          </w:p>
        </w:tc>
        <w:tc>
          <w:tcPr/>
          <w:p>
            <w:pPr>
              <w:pStyle w:val="Compact"/>
              <w:jc w:val="left"/>
            </w:pPr>
            <w:r>
              <w:t xml:space="preserve">The notification record captures</w:t>
            </w:r>
            <w:r>
              <w:t xml:space="preserve"> </w:t>
            </w:r>
            <w:r>
              <w:rPr>
                <w:bCs/>
                <w:b/>
              </w:rPr>
              <w:t xml:space="preserve">the owner's name and address</w:t>
            </w:r>
            <w:r>
              <w:t xml:space="preserve">, as the duty requires, and logs that a report was made, when, by whom, via which channel</w:t>
            </w:r>
          </w:p>
        </w:tc>
        <w:tc>
          <w:tcPr/>
          <w:p>
            <w:pPr>
              <w:pStyle w:val="Compact"/>
              <w:jc w:val="left"/>
            </w:pPr>
            <w:r>
              <w:t xml:space="preserve">Weqaa</w:t>
            </w:r>
          </w:p>
        </w:tc>
        <w:tc>
          <w:tcPr/>
          <w:p>
            <w:pPr>
              <w:pStyle w:val="Compact"/>
              <w:jc w:val="left"/>
            </w:pPr>
            <w:r>
              <w:t xml:space="preserve">Notification audit record with all required fields</w:t>
            </w:r>
          </w:p>
        </w:tc>
      </w:tr>
      <w:tr>
        <w:tc>
          <w:tcPr/>
          <w:p>
            <w:pPr>
              <w:pStyle w:val="Compact"/>
              <w:jc w:val="left"/>
            </w:pPr>
            <w:r>
              <w:rPr>
                <w:rStyle w:val="VerbatimChar"/>
              </w:rPr>
              <w:t xml:space="preserve">R-121</w:t>
            </w:r>
          </w:p>
        </w:tc>
        <w:tc>
          <w:tcPr/>
          <w:p>
            <w:pPr>
              <w:pStyle w:val="Compact"/>
              <w:jc w:val="left"/>
            </w:pPr>
            <w:r>
              <w:t xml:space="preserve">Where a notifiable disease is suspected in a remote consultation, the platform</w:t>
            </w:r>
            <w:r>
              <w:t xml:space="preserve"> </w:t>
            </w:r>
            <w:r>
              <w:rPr>
                <w:bCs/>
                <w:b/>
              </w:rPr>
              <w:t xml:space="preserve">forces conversion to in-person</w:t>
            </w:r>
            <w:r>
              <w:t xml:space="preserve"> </w:t>
            </w:r>
            <w:r>
              <w:t xml:space="preserve">and does not permit remote closure</w:t>
            </w:r>
          </w:p>
        </w:tc>
        <w:tc>
          <w:tcPr/>
          <w:p>
            <w:pPr>
              <w:pStyle w:val="Compact"/>
              <w:jc w:val="left"/>
            </w:pPr>
            <w:r>
              <w:t xml:space="preserve">RCVS-derived design floor</w:t>
            </w:r>
          </w:p>
        </w:tc>
        <w:tc>
          <w:tcPr/>
          <w:p>
            <w:pPr>
              <w:pStyle w:val="Compact"/>
              <w:jc w:val="left"/>
            </w:pPr>
            <w:r>
              <w:t xml:space="preserve">Workflow test: a remote encounter with a notifiable flag cannot reach closed state</w:t>
            </w:r>
          </w:p>
        </w:tc>
      </w:tr>
    </w:tbl>
    <w:p>
      <w:pPr>
        <w:pStyle w:val="BodyText"/>
      </w:pPr>
      <w:r>
        <w:t xml:space="preserve">The duty attaches to the veterinarian personally — notification immediately upon suspicion, including the owner's name and address — with a 24-hour timeframe, against a list of</w:t>
      </w:r>
      <w:r>
        <w:t xml:space="preserve"> </w:t>
      </w:r>
      <w:r>
        <w:rPr>
          <w:bCs/>
          <w:b/>
        </w:rPr>
        <w:t xml:space="preserve">32 diseases requiring immediate notification</w:t>
      </w:r>
      <w:r>
        <w:t xml:space="preserve"> </w:t>
      </w:r>
      <w:r>
        <w:t xml:space="preserve">and 45 on routine reporting.</w:t>
      </w:r>
      <w:r>
        <w:t xml:space="preserve"> </w:t>
      </w:r>
      <w:r>
        <w:rPr>
          <w:bCs/>
          <w:b/>
        </w:rPr>
        <w:t xml:space="preserve">Product consequence: the platform must actively surface this duty, not merely permit it.</w:t>
      </w:r>
      <w:r>
        <w:t xml:space="preserve"> </w:t>
      </w:r>
      <w:r>
        <w:t xml:space="preserve">Note the collision with the remote model: a remote-only workflow that reaches a notifiable suspicion has no lawful landing place without an in-person escalation path.</w:t>
      </w:r>
    </w:p>
    <w:bookmarkEnd w:id="93"/>
    <w:bookmarkStart w:id="94" w:name="pdpl"/>
    <w:p>
      <w:pPr>
        <w:pStyle w:val="Heading3"/>
      </w:pPr>
      <w:r>
        <w:t xml:space="preserve">PDPL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Conformance evidence</w:t>
            </w:r>
          </w:p>
        </w:tc>
      </w:tr>
      <w:tr>
        <w:tc>
          <w:tcPr/>
          <w:p>
            <w:pPr>
              <w:pStyle w:val="Compact"/>
              <w:jc w:val="left"/>
            </w:pPr>
            <w:r>
              <w:rPr>
                <w:rStyle w:val="VerbatimChar"/>
              </w:rPr>
              <w:t xml:space="preserve">R-122</w:t>
            </w:r>
          </w:p>
        </w:tc>
        <w:tc>
          <w:tcPr/>
          <w:p>
            <w:pPr>
              <w:pStyle w:val="Compact"/>
              <w:jc w:val="left"/>
            </w:pPr>
            <w:r>
              <w:rPr>
                <w:bCs/>
                <w:b/>
              </w:rPr>
              <w:t xml:space="preserve">Consent captured per purpose, independently</w:t>
            </w:r>
            <w:r>
              <w:t xml:space="preserve">, with the consent text version, timestamp, method and actor retained for later verification</w:t>
            </w:r>
          </w:p>
        </w:tc>
        <w:tc>
          <w:tcPr/>
          <w:p>
            <w:pPr>
              <w:pStyle w:val="Compact"/>
              <w:jc w:val="left"/>
            </w:pPr>
            <w:r>
              <w:t xml:space="preserve">Consent ledger with versioned text; per-purpose granularity demonstrable</w:t>
            </w:r>
          </w:p>
        </w:tc>
      </w:tr>
      <w:tr>
        <w:tc>
          <w:tcPr/>
          <w:p>
            <w:pPr>
              <w:pStyle w:val="Compact"/>
              <w:jc w:val="left"/>
            </w:pPr>
            <w:r>
              <w:rPr>
                <w:rStyle w:val="VerbatimChar"/>
              </w:rPr>
              <w:t xml:space="preserve">R-123</w:t>
            </w:r>
          </w:p>
        </w:tc>
        <w:tc>
          <w:tcPr/>
          <w:p>
            <w:pPr>
              <w:pStyle w:val="Compact"/>
              <w:jc w:val="left"/>
            </w:pPr>
            <w:r>
              <w:t xml:space="preserve">Where legitimate interest is relied on, a documented assessment exists per purpose;</w:t>
            </w:r>
            <w:r>
              <w:t xml:space="preserve"> </w:t>
            </w:r>
            <w:r>
              <w:rPr>
                <w:bCs/>
                <w:b/>
              </w:rPr>
              <w:t xml:space="preserve">legitimate interest is not used for sensitive personal data</w:t>
            </w:r>
          </w:p>
        </w:tc>
        <w:tc>
          <w:tcPr/>
          <w:p>
            <w:pPr>
              <w:pStyle w:val="Compact"/>
              <w:jc w:val="left"/>
            </w:pPr>
            <w:r>
              <w:t xml:space="preserve">Assessment documents; data classification showing no sensitive purpose maps to legitimate interest</w:t>
            </w:r>
          </w:p>
        </w:tc>
      </w:tr>
      <w:tr>
        <w:tc>
          <w:tcPr/>
          <w:p>
            <w:pPr>
              <w:pStyle w:val="Compact"/>
              <w:jc w:val="left"/>
            </w:pPr>
            <w:r>
              <w:rPr>
                <w:rStyle w:val="VerbatimChar"/>
              </w:rPr>
              <w:t xml:space="preserve">R-124</w:t>
            </w:r>
          </w:p>
        </w:tc>
        <w:tc>
          <w:tcPr/>
          <w:p>
            <w:pPr>
              <w:pStyle w:val="Compact"/>
              <w:jc w:val="left"/>
            </w:pPr>
            <w:r>
              <w:t xml:space="preserve">Data subject requests fulfilled within 30 days, with a single documented 30-day extension</w:t>
            </w:r>
          </w:p>
        </w:tc>
        <w:tc>
          <w:tcPr/>
          <w:p>
            <w:pPr>
              <w:pStyle w:val="Compact"/>
              <w:jc w:val="left"/>
            </w:pPr>
            <w:r>
              <w:t xml:space="preserve">DSR workflow with SLA clock, extension reason and completion evidence</w:t>
            </w:r>
          </w:p>
        </w:tc>
      </w:tr>
      <w:tr>
        <w:tc>
          <w:tcPr/>
          <w:p>
            <w:pPr>
              <w:pStyle w:val="Compact"/>
              <w:jc w:val="left"/>
            </w:pPr>
            <w:r>
              <w:rPr>
                <w:rStyle w:val="VerbatimChar"/>
              </w:rPr>
              <w:t xml:space="preserve">R-125</w:t>
            </w:r>
          </w:p>
        </w:tc>
        <w:tc>
          <w:tcPr/>
          <w:p>
            <w:pPr>
              <w:pStyle w:val="Compact"/>
              <w:jc w:val="left"/>
            </w:pPr>
            <w:r>
              <w:rPr>
                <w:bCs/>
                <w:b/>
              </w:rPr>
              <w:t xml:space="preserve">Erasure processed as retention-aware suppression</w:t>
            </w:r>
            <w:r>
              <w:t xml:space="preserve">: CRM/marketing data purged; clinical data suppressed under an auditable retention-hold flag</w:t>
            </w:r>
            <w:r>
              <w:t xml:space="preserve"> </w:t>
            </w:r>
            <w:r>
              <w:rPr>
                <w:bCs/>
                <w:b/>
              </w:rPr>
              <w:t xml:space="preserve">citing the specific legal ground</w:t>
            </w:r>
          </w:p>
        </w:tc>
        <w:tc>
          <w:tcPr/>
          <w:p>
            <w:pPr>
              <w:pStyle w:val="Compact"/>
              <w:jc w:val="left"/>
            </w:pPr>
            <w:r>
              <w:t xml:space="preserve">Erasure test showing differential treatment by data class; retention-hold records carrying a named ground</w:t>
            </w:r>
          </w:p>
        </w:tc>
      </w:tr>
      <w:tr>
        <w:tc>
          <w:tcPr/>
          <w:p>
            <w:pPr>
              <w:pStyle w:val="Compact"/>
              <w:jc w:val="left"/>
            </w:pPr>
            <w:r>
              <w:rPr>
                <w:rStyle w:val="VerbatimChar"/>
              </w:rPr>
              <w:t xml:space="preserve">R-126</w:t>
            </w:r>
          </w:p>
        </w:tc>
        <w:tc>
          <w:tcPr/>
          <w:p>
            <w:pPr>
              <w:pStyle w:val="Compact"/>
              <w:jc w:val="left"/>
            </w:pPr>
            <w:r>
              <w:t xml:space="preserve">Access requests return personal data in a readable, commonly-used electronic format</w:t>
            </w:r>
          </w:p>
        </w:tc>
        <w:tc>
          <w:tcPr/>
          <w:p>
            <w:pPr>
              <w:pStyle w:val="Compact"/>
              <w:jc w:val="left"/>
            </w:pPr>
            <w:r>
              <w:t xml:space="preserve">Machine-readable export end-to-end</w:t>
            </w:r>
          </w:p>
        </w:tc>
      </w:tr>
      <w:tr>
        <w:tc>
          <w:tcPr/>
          <w:p>
            <w:pPr>
              <w:pStyle w:val="Compact"/>
              <w:jc w:val="left"/>
            </w:pPr>
            <w:r>
              <w:rPr>
                <w:rStyle w:val="VerbatimChar"/>
              </w:rPr>
              <w:t xml:space="preserve">R-127</w:t>
            </w:r>
          </w:p>
        </w:tc>
        <w:tc>
          <w:tcPr/>
          <w:p>
            <w:pPr>
              <w:pStyle w:val="Compact"/>
              <w:jc w:val="left"/>
            </w:pPr>
            <w:r>
              <w:t xml:space="preserve">Breach notification to SDAIA within</w:t>
            </w:r>
            <w:r>
              <w:t xml:space="preserve"> </w:t>
            </w:r>
            <w:r>
              <w:rPr>
                <w:bCs/>
                <w:b/>
              </w:rPr>
              <w:t xml:space="preserve">72 hours</w:t>
            </w:r>
            <w:r>
              <w:t xml:space="preserve"> </w:t>
            </w:r>
            <w:r>
              <w:t xml:space="preserve">and to affected data subjects without undue delay</w:t>
            </w:r>
          </w:p>
        </w:tc>
        <w:tc>
          <w:tcPr/>
          <w:p>
            <w:pPr>
              <w:pStyle w:val="Compact"/>
              <w:jc w:val="left"/>
            </w:pPr>
            <w:r>
              <w:t xml:space="preserve">Documented procedure with a 72 h clock; breach register; templates; tabletop record</w:t>
            </w:r>
          </w:p>
        </w:tc>
      </w:tr>
      <w:tr>
        <w:tc>
          <w:tcPr/>
          <w:p>
            <w:pPr>
              <w:pStyle w:val="Compact"/>
              <w:jc w:val="left"/>
            </w:pPr>
            <w:r>
              <w:rPr>
                <w:rStyle w:val="VerbatimChar"/>
              </w:rPr>
              <w:t xml:space="preserve">R-128</w:t>
            </w:r>
          </w:p>
        </w:tc>
        <w:tc>
          <w:tcPr/>
          <w:p>
            <w:pPr>
              <w:pStyle w:val="Compact"/>
              <w:jc w:val="left"/>
            </w:pPr>
            <w:r>
              <w:t xml:space="preserve">Record of Processing Activities maintained throughout processing and for</w:t>
            </w:r>
            <w:r>
              <w:t xml:space="preserve"> </w:t>
            </w:r>
            <w:r>
              <w:rPr>
                <w:bCs/>
                <w:b/>
              </w:rPr>
              <w:t xml:space="preserve">five years after it ends</w:t>
            </w:r>
          </w:p>
        </w:tc>
        <w:tc>
          <w:tcPr/>
          <w:p>
            <w:pPr>
              <w:pStyle w:val="Compact"/>
              <w:jc w:val="left"/>
            </w:pPr>
            <w:r>
              <w:t xml:space="preserve">ROPA under version control with the retention rule applied</w:t>
            </w:r>
          </w:p>
        </w:tc>
      </w:tr>
      <w:tr>
        <w:tc>
          <w:tcPr/>
          <w:p>
            <w:pPr>
              <w:pStyle w:val="Compact"/>
              <w:jc w:val="left"/>
            </w:pPr>
            <w:r>
              <w:rPr>
                <w:rStyle w:val="VerbatimChar"/>
              </w:rPr>
              <w:t xml:space="preserve">R-129</w:t>
            </w:r>
          </w:p>
        </w:tc>
        <w:tc>
          <w:tcPr/>
          <w:p>
            <w:pPr>
              <w:pStyle w:val="Compact"/>
              <w:jc w:val="left"/>
            </w:pPr>
            <w:r>
              <w:t xml:space="preserve">The DPO trigger assessed explicitly and a DPO appointed if triggered</w:t>
            </w:r>
          </w:p>
        </w:tc>
        <w:tc>
          <w:tcPr/>
          <w:p>
            <w:pPr>
              <w:pStyle w:val="Compact"/>
              <w:jc w:val="left"/>
            </w:pPr>
            <w:r>
              <w:t xml:space="preserve">Written trigger assessment with conclusion; appointment record</w:t>
            </w:r>
          </w:p>
        </w:tc>
      </w:tr>
      <w:tr>
        <w:tc>
          <w:tcPr/>
          <w:p>
            <w:pPr>
              <w:pStyle w:val="Compact"/>
              <w:jc w:val="left"/>
            </w:pPr>
            <w:r>
              <w:rPr>
                <w:rStyle w:val="VerbatimChar"/>
              </w:rPr>
              <w:t xml:space="preserve">R-130</w:t>
            </w:r>
          </w:p>
        </w:tc>
        <w:tc>
          <w:tcPr/>
          <w:p>
            <w:pPr>
              <w:pStyle w:val="Compact"/>
              <w:jc w:val="left"/>
            </w:pPr>
            <w:r>
              <w:t xml:space="preserve">Any transfer outside KSA relies on</w:t>
            </w:r>
            <w:r>
              <w:t xml:space="preserve"> </w:t>
            </w:r>
            <w:r>
              <w:rPr>
                <w:bCs/>
                <w:b/>
              </w:rPr>
              <w:t xml:space="preserve">unmodified</w:t>
            </w:r>
            <w:r>
              <w:t xml:space="preserve"> </w:t>
            </w:r>
            <w:r>
              <w:t xml:space="preserve">SDAIA standard contractual clauses, with a transfer impact assessment</w:t>
            </w:r>
          </w:p>
        </w:tc>
        <w:tc>
          <w:tcPr/>
          <w:p>
            <w:pPr>
              <w:pStyle w:val="Compact"/>
              <w:jc w:val="left"/>
            </w:pPr>
            <w:r>
              <w:t xml:space="preserve">Executed unmodified clauses per sub-processor; assessment per route; sub-processor register with hosting locations</w:t>
            </w:r>
          </w:p>
        </w:tc>
      </w:tr>
      <w:tr>
        <w:tc>
          <w:tcPr/>
          <w:p>
            <w:pPr>
              <w:pStyle w:val="Compact"/>
              <w:jc w:val="left"/>
            </w:pPr>
            <w:r>
              <w:rPr>
                <w:rStyle w:val="VerbatimChar"/>
              </w:rPr>
              <w:t xml:space="preserve">R-131</w:t>
            </w:r>
          </w:p>
        </w:tc>
        <w:tc>
          <w:tcPr/>
          <w:p>
            <w:pPr>
              <w:pStyle w:val="Compact"/>
              <w:jc w:val="left"/>
            </w:pPr>
            <w:r>
              <w:rPr>
                <w:bCs/>
                <w:b/>
              </w:rPr>
              <w:t xml:space="preserve">The owner is the data subject; the animal is not.</w:t>
            </w:r>
            <w:r>
              <w:t xml:space="preserve"> </w:t>
            </w:r>
            <w:r>
              <w:t xml:space="preserve">Animal data is in scope insofar as it relates to an identifiable owner. Every persisted field is classified accordingly</w:t>
            </w:r>
          </w:p>
        </w:tc>
        <w:tc>
          <w:tcPr/>
          <w:p>
            <w:pPr>
              <w:pStyle w:val="Compact"/>
              <w:jc w:val="left"/>
            </w:pPr>
            <w:r>
              <w:t xml:space="preserve">Data classification matrix covering every field</w:t>
            </w:r>
          </w:p>
        </w:tc>
      </w:tr>
    </w:tbl>
    <w:bookmarkEnd w:id="94"/>
    <w:bookmarkStart w:id="95" w:name="cybersecurity"/>
    <w:p>
      <w:pPr>
        <w:pStyle w:val="Heading3"/>
      </w:pPr>
      <w:r>
        <w:t xml:space="preserve">Cybersecurity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Conformance evidence</w:t>
            </w:r>
          </w:p>
        </w:tc>
      </w:tr>
      <w:tr>
        <w:tc>
          <w:tcPr/>
          <w:p>
            <w:pPr>
              <w:pStyle w:val="Compact"/>
              <w:jc w:val="left"/>
            </w:pPr>
            <w:r>
              <w:rPr>
                <w:rStyle w:val="VerbatimChar"/>
              </w:rPr>
              <w:t xml:space="preserve">R-132</w:t>
            </w:r>
          </w:p>
        </w:tc>
        <w:tc>
          <w:tcPr/>
          <w:p>
            <w:pPr>
              <w:pStyle w:val="Compact"/>
              <w:jc w:val="left"/>
            </w:pPr>
            <w:r>
              <w:t xml:space="preserve">Documented self-assessment against NCA ECC-2:2024 using the NCA tool, with a remediation plan.</w:t>
            </w:r>
            <w:r>
              <w:t xml:space="preserve"> </w:t>
            </w:r>
            <w:r>
              <w:rPr>
                <w:bCs/>
                <w:b/>
              </w:rPr>
              <w:t xml:space="preserve">Do not claim certification</w:t>
            </w:r>
          </w:p>
        </w:tc>
        <w:tc>
          <w:tcPr/>
          <w:p>
            <w:pPr>
              <w:pStyle w:val="Compact"/>
              <w:jc w:val="left"/>
            </w:pPr>
            <w:r>
              <w:t xml:space="preserve">Completed self-assessment; gap register;</w:t>
            </w:r>
            <w:r>
              <w:t xml:space="preserve"> </w:t>
            </w:r>
            <w:r>
              <w:rPr>
                <w:bCs/>
                <w:b/>
              </w:rPr>
              <w:t xml:space="preserve">no "certified" claim in any artefact</w:t>
            </w:r>
          </w:p>
        </w:tc>
      </w:tr>
      <w:tr>
        <w:tc>
          <w:tcPr/>
          <w:p>
            <w:pPr>
              <w:pStyle w:val="Compact"/>
              <w:jc w:val="left"/>
            </w:pPr>
            <w:r>
              <w:rPr>
                <w:rStyle w:val="VerbatimChar"/>
              </w:rPr>
              <w:t xml:space="preserve">R-133</w:t>
            </w:r>
          </w:p>
        </w:tc>
        <w:tc>
          <w:tcPr/>
          <w:p>
            <w:pPr>
              <w:pStyle w:val="Compact"/>
              <w:jc w:val="left"/>
            </w:pPr>
            <w:r>
              <w:t xml:space="preserve">Re-run the ECC applicability test whenever a government-affiliated or CNI-linked tenant is onboarded</w:t>
            </w:r>
          </w:p>
        </w:tc>
        <w:tc>
          <w:tcPr/>
          <w:p>
            <w:pPr>
              <w:pStyle w:val="Compact"/>
              <w:jc w:val="left"/>
            </w:pPr>
            <w:r>
              <w:t xml:space="preserve">Documented applicability test in the tenant-onboarding checklist</w:t>
            </w:r>
          </w:p>
        </w:tc>
      </w:tr>
    </w:tbl>
    <w:p>
      <w:pPr>
        <w:pStyle w:val="BodyText"/>
      </w:pPr>
      <w:r>
        <w:rPr>
          <w:rStyle w:val="VerbatimChar"/>
          <w:bCs/>
          <w:b/>
        </w:rPr>
        <w:t xml:space="preserve">R-003</w:t>
      </w:r>
      <w:r>
        <w:rPr>
          <w:bCs/>
          <w:b/>
        </w:rPr>
        <w:t xml:space="preserve"> </w:t>
      </w:r>
      <w:r>
        <w:rPr>
          <w:bCs/>
          <w:b/>
        </w:rPr>
        <w:t xml:space="preserve">— "NCA ECC baseline certified" is not a deliverable and must not appear in this or any downstream document.</w:t>
      </w:r>
      <w:r>
        <w:t xml:space="preserve"> </w:t>
      </w:r>
      <w:r>
        <w:t xml:space="preserve">ECC-2:2024 describes no certification scheme; compliance is measured by self-assessment, periodic compliance-tool reports, and field audits. A private SaaS serving private clinics is not in mandatory scope unless it owns, operates or hosts critical national infrastructure. ECC alignment is a</w:t>
      </w:r>
      <w:r>
        <w:t xml:space="preserve"> </w:t>
      </w:r>
      <w:r>
        <w:rPr>
          <w:bCs/>
          <w:b/>
        </w:rPr>
        <w:t xml:space="preserve">commercial and procurement requirement, not a legal one</w:t>
      </w:r>
      <w:r>
        <w:t xml:space="preserve"> </w:t>
      </w:r>
      <w:r>
        <w:t xml:space="preserve">— and ISO/IEC 27001 is the certifiable proxy.</w:t>
      </w:r>
    </w:p>
    <w:bookmarkEnd w:id="95"/>
    <w:bookmarkEnd w:id="96"/>
    <w:bookmarkStart w:id="97" w:name="X1aa1cee1e78b8ec71a8a57ce0ab980b77c4712a"/>
    <w:p>
      <w:pPr>
        <w:pStyle w:val="Heading2"/>
      </w:pPr>
      <w:r>
        <w:t xml:space="preserve">S6.4 The erasure ↔ retention collision, answered honestly</w:t>
      </w:r>
    </w:p>
    <w:p>
      <w:pPr>
        <w:pStyle w:val="FirstParagraph"/>
      </w:pPr>
      <w:r>
        <w:rPr>
          <w:bCs/>
          <w:b/>
        </w:rPr>
        <w:t xml:space="preserve">No KSA instrument located states a retention period for veterinary clinical records or prescriptions</w:t>
      </w:r>
      <w:r>
        <w:t xml:space="preserve"> </w:t>
      </w:r>
      <w:r>
        <w:t xml:space="preserve">— not the GCC veterinary professions law, not the GCC veterinary products act, not the MEWA private-establishment rules.</w:t>
      </w:r>
    </w:p>
    <w:p>
      <w:pPr>
        <w:pStyle w:val="BodyText"/>
      </w:pPr>
      <w:r>
        <w:rPr>
          <w:rStyle w:val="VerbatimChar"/>
          <w:bCs/>
          <w:b/>
        </w:rPr>
        <w:t xml:space="preserve">R-004</w:t>
      </w:r>
      <w:r>
        <w:rPr>
          <w:bCs/>
          <w:b/>
        </w:rPr>
        <w:t xml:space="preserve"> </w:t>
      </w:r>
      <w:r>
        <w:rPr>
          <w:bCs/>
          <w:b/>
        </w:rPr>
        <w:t xml:space="preserve">— The document must not assert that a KSA veterinary retention duty overrides a PDPL erasure request, because that duty has not been established.</w:t>
      </w:r>
      <w:r>
        <w:t xml:space="preserve"> </w:t>
      </w:r>
      <w:r>
        <w:t xml:space="preserve">The engineering posture that follows:</w:t>
      </w:r>
    </w:p>
    <w:p>
      <w:pPr>
        <w:numPr>
          <w:ilvl w:val="0"/>
          <w:numId w:val="1006"/>
        </w:numPr>
        <w:pStyle w:val="Compact"/>
      </w:pPr>
      <w:r>
        <w:t xml:space="preserve">Erasure is a</w:t>
      </w:r>
      <w:r>
        <w:t xml:space="preserve"> </w:t>
      </w:r>
      <w:r>
        <w:rPr>
          <w:bCs/>
          <w:b/>
        </w:rPr>
        <w:t xml:space="preserve">soft-delete with a retention-hold flag</w:t>
      </w:r>
      <w:r>
        <w:t xml:space="preserve">, never a hard delete.</w:t>
      </w:r>
    </w:p>
    <w:p>
      <w:pPr>
        <w:numPr>
          <w:ilvl w:val="0"/>
          <w:numId w:val="1006"/>
        </w:numPr>
        <w:pStyle w:val="Compact"/>
      </w:pPr>
      <w:r>
        <w:rPr>
          <w:bCs/>
          <w:b/>
        </w:rPr>
        <w:t xml:space="preserve">The retention period is a configurable policy parameter, not a hardcoded constant</w:t>
      </w:r>
      <w:r>
        <w:t xml:space="preserve"> </w:t>
      </w:r>
      <w:r>
        <w:t xml:space="preserve">— precisely because the KSA value is unknown, and the default is hold.</w:t>
      </w:r>
    </w:p>
    <w:p>
      <w:pPr>
        <w:numPr>
          <w:ilvl w:val="0"/>
          <w:numId w:val="1006"/>
        </w:numPr>
        <w:pStyle w:val="Compact"/>
      </w:pPr>
      <w:r>
        <w:t xml:space="preserve">Every erasure refusal records</w:t>
      </w:r>
      <w:r>
        <w:t xml:space="preserve"> </w:t>
      </w:r>
      <w:r>
        <w:rPr>
          <w:bCs/>
          <w:b/>
        </w:rPr>
        <w:t xml:space="preserve">the specific legal ground relied on</w:t>
      </w:r>
      <w:r>
        <w:t xml:space="preserve">, so that when MEWA confirms a period, refusals become defensible retrospectively, and if MEWA confirms</w:t>
      </w:r>
      <w:r>
        <w:t xml:space="preserve"> </w:t>
      </w:r>
      <w:r>
        <w:rPr>
          <w:iCs/>
          <w:i/>
        </w:rPr>
        <w:t xml:space="preserve">no</w:t>
      </w:r>
      <w:r>
        <w:t xml:space="preserve"> </w:t>
      </w:r>
      <w:r>
        <w:t xml:space="preserve">period, held records can be purged.</w:t>
      </w:r>
    </w:p>
    <w:p>
      <w:pPr>
        <w:numPr>
          <w:ilvl w:val="0"/>
          <w:numId w:val="1006"/>
        </w:numPr>
        <w:pStyle w:val="Compact"/>
      </w:pPr>
      <w:r>
        <w:rPr>
          <w:bCs/>
          <w:b/>
        </w:rPr>
        <w:t xml:space="preserve">The clinical record and the CRM/marketing record are not conflated.</w:t>
      </w:r>
      <w:r>
        <w:t xml:space="preserve"> </w:t>
      </w:r>
      <w:r>
        <w:t xml:space="preserve">The latter has no retention argument at all and must be erasable on request.</w:t>
      </w:r>
    </w:p>
    <w:bookmarkEnd w:id="97"/>
    <w:bookmarkStart w:id="98" w:name="s65-trust-surface"/>
    <w:p>
      <w:pPr>
        <w:pStyle w:val="Heading2"/>
      </w:pPr>
      <w:r>
        <w:t xml:space="preserve">S6.5 Trust surface</w:t>
      </w:r>
    </w:p>
    <w:bookmarkEnd w:id="98"/>
    <w:bookmarkStart w:id="99" w:name="X186f9aec5d067affd6891bec05038e6f075658c"/>
    <w:p>
      <w:pPr>
        <w:pStyle w:val="Heading2"/>
      </w:pPr>
      <w:r>
        <w:rPr>
          <w:rStyle w:val="VerbatimChar"/>
          <w:bCs/>
          <w:b/>
        </w:rPr>
        <w:t xml:space="preserve">R-005</w:t>
      </w:r>
      <w:r>
        <w:rPr>
          <w:bCs/>
          <w:b/>
        </w:rPr>
        <w:t xml:space="preserve"> </w:t>
      </w:r>
      <w:r>
        <w:rPr>
          <w:bCs/>
          <w:b/>
        </w:rPr>
        <w:t xml:space="preserve">— The trust surface conforms to</w:t>
      </w:r>
      <w:r>
        <w:rPr>
          <w:bCs/>
          <w:b/>
        </w:rPr>
        <w:t xml:space="preserve"> </w:t>
      </w:r>
      <w:r>
        <w:rPr>
          <w:rStyle w:val="VerbatimChar"/>
          <w:bCs/>
          <w:b/>
        </w:rPr>
        <w:t xml:space="preserve">MVC-TRUST-001 V1.1</w:t>
      </w:r>
      <w:r>
        <w:rPr>
          <w:bCs/>
          <w:b/>
        </w:rPr>
        <w:t xml:space="preserve"> </w:t>
      </w:r>
      <w:r>
        <w:rPr>
          <w:bCs/>
          <w:b/>
        </w:rPr>
        <w:t xml:space="preserve">discipline</w:t>
      </w:r>
      <w:r>
        <w:t xml:space="preserve">: it displays</w:t>
      </w:r>
      <w:r>
        <w:t xml:space="preserve"> </w:t>
      </w:r>
      <w:r>
        <w:rPr>
          <w:iCs/>
          <w:i/>
        </w:rPr>
        <w:t xml:space="preserve">"residency pending, DPIA in progress"</w:t>
      </w:r>
      <w:r>
        <w:t xml:space="preserve"> </w:t>
      </w:r>
      <w:r>
        <w:t xml:space="preserve">where that is the state, and</w:t>
      </w:r>
      <w:r>
        <w:t xml:space="preserve"> </w:t>
      </w:r>
      <w:r>
        <w:rPr>
          <w:bCs/>
          <w:b/>
        </w:rPr>
        <w:t xml:space="preserve">makes no "certified" claims</w:t>
      </w:r>
      <w:r>
        <w:t xml:space="preserve">. The</w:t>
      </w:r>
      <w:r>
        <w:t xml:space="preserve"> </w:t>
      </w:r>
      <w:r>
        <w:rPr>
          <w:rStyle w:val="VerbatimChar"/>
        </w:rPr>
        <w:t xml:space="preserve">E5 Buyer One-Pager V1.1</w:t>
      </w:r>
      <w:r>
        <w:t xml:space="preserve"> </w:t>
      </w:r>
      <w:r>
        <w:t xml:space="preserve">—</w:t>
      </w:r>
      <w:r>
        <w:t xml:space="preserve"> </w:t>
      </w:r>
      <w:r>
        <w:rPr>
          <w:iCs/>
          <w:i/>
        </w:rPr>
        <w:t xml:space="preserve">"engineering-complete, entering pilot; not market-ready"</w:t>
      </w:r>
      <w:r>
        <w:t xml:space="preserve"> </w:t>
      </w:r>
      <w:r>
        <w:t xml:space="preserve">— is the</w:t>
      </w:r>
      <w:r>
        <w:t xml:space="preserve"> </w:t>
      </w:r>
      <w:r>
        <w:rPr>
          <w:bCs/>
          <w:b/>
        </w:rPr>
        <w:t xml:space="preserve">tone benchmark for every customer-facing artefact in this programme.</w:t>
      </w:r>
      <w:r>
        <w:t xml:space="preserve"> </w:t>
      </w:r>
      <w:r>
        <w:t xml:space="preserve">It is the only artefact in the legacy set whose readiness language matched the evidence, and it should be treated as the standard rather than the exception.</w:t>
      </w:r>
    </w:p>
    <w:bookmarkEnd w:id="99"/>
    <w:bookmarkEnd w:id="100"/>
    <w:bookmarkStart w:id="116" w:name="s7--data-and-records"/>
    <w:p>
      <w:pPr>
        <w:pStyle w:val="Heading1"/>
      </w:pPr>
      <w:r>
        <w:t xml:space="preserve">S7 · Data and Records</w:t>
      </w:r>
    </w:p>
    <w:bookmarkStart w:id="101" w:name="s71-binding-premises"/>
    <w:p>
      <w:pPr>
        <w:pStyle w:val="Heading2"/>
      </w:pPr>
      <w:r>
        <w:t xml:space="preserve">S7.1 Binding premises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Premise</w:t>
            </w:r>
          </w:p>
        </w:tc>
        <w:tc>
          <w:tcPr/>
          <w:p>
            <w:pPr>
              <w:pStyle w:val="Compact"/>
              <w:jc w:val="left"/>
            </w:pPr>
            <w:r>
              <w:t xml:space="preserve">Consequence</w:t>
            </w:r>
          </w:p>
        </w:tc>
      </w:tr>
      <w:tr>
        <w:tc>
          <w:tcPr/>
          <w:p>
            <w:pPr>
              <w:pStyle w:val="Compact"/>
              <w:jc w:val="left"/>
            </w:pPr>
            <w:r>
              <w:t xml:space="preserve">Cross-tenant leakage is the worst failure mode, with a live P0 precedent in the estate</w:t>
            </w:r>
          </w:p>
        </w:tc>
        <w:tc>
          <w:tcPr/>
          <w:p>
            <w:pPr>
              <w:pStyle w:val="Compact"/>
              <w:jc w:val="left"/>
            </w:pPr>
            <w:r>
              <w:rPr>
                <w:bCs/>
                <w:b/>
              </w:rPr>
              <w:t xml:space="preserve">Tenancy is enforced by the database and by referential integrity, never by application</w:t>
            </w:r>
            <w:r>
              <w:rPr>
                <w:bCs/>
                <w:b/>
              </w:rPr>
              <w:t xml:space="preserve"> </w:t>
            </w:r>
            <w:r>
              <w:rPr>
                <w:rStyle w:val="VerbatimChar"/>
                <w:bCs/>
                <w:b/>
              </w:rPr>
              <w:t xml:space="preserve">WHERE</w:t>
            </w:r>
            <w:r>
              <w:rPr>
                <w:bCs/>
                <w:b/>
              </w:rPr>
              <w:t xml:space="preserve"> </w:t>
            </w:r>
            <w:r>
              <w:rPr>
                <w:bCs/>
                <w:b/>
              </w:rPr>
              <w:t xml:space="preserve">clauses</w:t>
            </w:r>
          </w:p>
        </w:tc>
      </w:tr>
      <w:tr>
        <w:tc>
          <w:tcPr/>
          <w:p>
            <w:pPr>
              <w:pStyle w:val="Compact"/>
              <w:jc w:val="left"/>
            </w:pPr>
            <w:r>
              <w:t xml:space="preserve">The KSA veterinary retention period is not established</w:t>
            </w:r>
          </w:p>
        </w:tc>
        <w:tc>
          <w:tcPr/>
          <w:p>
            <w:pPr>
              <w:pStyle w:val="Compact"/>
              <w:jc w:val="left"/>
            </w:pPr>
            <w:r>
              <w:t xml:space="preserve">Retention is a tenant-configurable policy row with default-to-hold.</w:t>
            </w:r>
            <w:r>
              <w:t xml:space="preserve"> </w:t>
            </w:r>
            <w:r>
              <w:rPr>
                <w:bCs/>
                <w:b/>
              </w:rPr>
              <w:t xml:space="preserve">No retention constant exists anywhere in code</w:t>
            </w:r>
          </w:p>
        </w:tc>
      </w:tr>
      <w:tr>
        <w:tc>
          <w:tcPr/>
          <w:p>
            <w:pPr>
              <w:pStyle w:val="Compact"/>
              <w:jc w:val="left"/>
            </w:pPr>
            <w:r>
              <w:t xml:space="preserve">ZATCA Phase 2 is the commercial wedge</w:t>
            </w:r>
          </w:p>
        </w:tc>
        <w:tc>
          <w:tcPr/>
          <w:p>
            <w:pPr>
              <w:pStyle w:val="Compact"/>
              <w:jc w:val="left"/>
            </w:pPr>
            <w:r>
              <w:t xml:space="preserve">The invoice pipeline is a first-class, independently durable subsystem, not a billing side-effect</w:t>
            </w:r>
          </w:p>
        </w:tc>
      </w:tr>
      <w:tr>
        <w:tc>
          <w:tcPr/>
          <w:p>
            <w:pPr>
              <w:pStyle w:val="Compact"/>
              <w:jc w:val="left"/>
            </w:pPr>
            <w:r>
              <w:t xml:space="preserve">Small team, 200–450 target clinics</w:t>
            </w:r>
          </w:p>
        </w:tc>
        <w:tc>
          <w:tcPr/>
          <w:p>
            <w:pPr>
              <w:pStyle w:val="Compact"/>
              <w:jc w:val="left"/>
            </w:pPr>
            <w:r>
              <w:rPr>
                <w:bCs/>
                <w:b/>
              </w:rPr>
              <w:t xml:space="preserve">One PostgreSQL database.</w:t>
            </w:r>
            <w:r>
              <w:t xml:space="preserve"> </w:t>
            </w:r>
            <w:r>
              <w:t xml:space="preserve">The operational surface must stay within what 2–4 engineers can hold</w:t>
            </w:r>
          </w:p>
        </w:tc>
      </w:tr>
    </w:tbl>
    <w:bookmarkEnd w:id="101"/>
    <w:bookmarkStart w:id="102" w:name="Xa854c356a008e482ec38957d26b44d4efa8899d"/>
    <w:p>
      <w:pPr>
        <w:pStyle w:val="Heading2"/>
      </w:pPr>
      <w:r>
        <w:t xml:space="preserve">S7.2 Tenancy — three rules that make leakage structurally impossible</w:t>
      </w:r>
    </w:p>
    <w:p>
      <w:pPr>
        <w:pStyle w:val="FirstParagraph"/>
      </w:pPr>
      <w:r>
        <w:rPr>
          <w:rStyle w:val="VerbatimChar"/>
          <w:bCs/>
          <w:b/>
        </w:rPr>
        <w:t xml:space="preserve">M-001</w:t>
      </w:r>
      <w:r>
        <w:rPr>
          <w:bCs/>
          <w:b/>
        </w:rPr>
        <w:t xml:space="preserve"> </w:t>
      </w:r>
      <w:r>
        <w:rPr>
          <w:bCs/>
          <w:b/>
        </w:rPr>
        <w:t xml:space="preserve">(key propagation).</w:t>
      </w:r>
      <w:r>
        <w:t xml:space="preserve"> </w:t>
      </w:r>
      <w:r>
        <w:t xml:space="preserve">Every table holding tenant data declares</w:t>
      </w:r>
      <w:r>
        <w:t xml:space="preserve"> </w:t>
      </w:r>
      <w:r>
        <w:rPr>
          <w:rStyle w:val="VerbatimChar"/>
        </w:rPr>
        <w:t xml:space="preserve">tenant_id UUID NOT NULL</w:t>
      </w:r>
      <w:r>
        <w:t xml:space="preserve"> </w:t>
      </w:r>
      <w:r>
        <w:t xml:space="preserve">and its</w:t>
      </w:r>
      <w:r>
        <w:t xml:space="preserve"> </w:t>
      </w:r>
      <w:r>
        <w:rPr>
          <w:bCs/>
          <w:b/>
        </w:rPr>
        <w:t xml:space="preserve">primary key is composite</w:t>
      </w:r>
      <w:r>
        <w:rPr>
          <w:bCs/>
          <w:b/>
        </w:rPr>
        <w:t xml:space="preserve"> </w:t>
      </w:r>
      <w:r>
        <w:rPr>
          <w:rStyle w:val="VerbatimChar"/>
          <w:bCs/>
          <w:b/>
        </w:rPr>
        <w:t xml:space="preserve">(tenant_id, id)</w:t>
      </w:r>
      <w:r>
        <w:t xml:space="preserve">, where</w:t>
      </w:r>
      <w:r>
        <w:t xml:space="preserve"> </w:t>
      </w:r>
      <w:r>
        <w:rPr>
          <w:rStyle w:val="VerbatimChar"/>
        </w:rPr>
        <w:t xml:space="preserve">id</w:t>
      </w:r>
      <w:r>
        <w:t xml:space="preserve"> </w:t>
      </w:r>
      <w:r>
        <w:t xml:space="preserve">is a time-ordered, non-guessable UUIDv7 that leaks no clinic volume.</w:t>
      </w:r>
    </w:p>
    <w:p>
      <w:pPr>
        <w:pStyle w:val="BodyText"/>
      </w:pPr>
      <w:r>
        <w:rPr>
          <w:rStyle w:val="VerbatimChar"/>
          <w:bCs/>
          <w:b/>
        </w:rPr>
        <w:t xml:space="preserve">M-002</w:t>
      </w:r>
      <w:r>
        <w:rPr>
          <w:bCs/>
          <w:b/>
        </w:rPr>
        <w:t xml:space="preserve"> </w:t>
      </w:r>
      <w:r>
        <w:rPr>
          <w:bCs/>
          <w:b/>
        </w:rPr>
        <w:t xml:space="preserve">(tenancy-carrying foreign keys).</w:t>
      </w:r>
      <w:r>
        <w:t xml:space="preserve"> </w:t>
      </w:r>
      <w:r>
        <w:t xml:space="preserve">Every foreign key between tenant-scoped tables is composite and carries</w:t>
      </w:r>
      <w:r>
        <w:t xml:space="preserve"> </w:t>
      </w:r>
      <w:r>
        <w:rPr>
          <w:rStyle w:val="VerbatimChar"/>
        </w:rPr>
        <w:t xml:space="preserve">tenant_id</w:t>
      </w:r>
      <w:r>
        <w:t xml:space="preserve">:</w:t>
      </w:r>
    </w:p>
    <w:p>
      <w:pPr>
        <w:pStyle w:val="SourceCode"/>
      </w:pPr>
      <w:r>
        <w:rPr>
          <w:rStyle w:val="KeywordTok"/>
        </w:rPr>
        <w:t xml:space="preserve">FOREIGN</w:t>
      </w:r>
      <w:r>
        <w:rPr>
          <w:rStyle w:val="NormalTok"/>
        </w:rPr>
        <w:t xml:space="preserve"> </w:t>
      </w:r>
      <w:r>
        <w:rPr>
          <w:rStyle w:val="KeywordTok"/>
        </w:rPr>
        <w:t xml:space="preserve">KEY</w:t>
      </w:r>
      <w:r>
        <w:rPr>
          <w:rStyle w:val="NormalTok"/>
        </w:rPr>
        <w:t xml:space="preserve"> (tenant_id, encounter_id) </w:t>
      </w:r>
      <w:r>
        <w:rPr>
          <w:rStyle w:val="KeywordTok"/>
        </w:rPr>
        <w:t xml:space="preserve">REFERENCES</w:t>
      </w:r>
      <w:r>
        <w:rPr>
          <w:rStyle w:val="NormalTok"/>
        </w:rPr>
        <w:t xml:space="preserve"> encounter (tenant_id, </w:t>
      </w:r>
      <w:r>
        <w:rPr>
          <w:rStyle w:val="KeywordTok"/>
        </w:rPr>
        <w:t xml:space="preserve">id</w:t>
      </w:r>
      <w:r>
        <w:rPr>
          <w:rStyle w:val="NormalTok"/>
        </w:rPr>
        <w:t xml:space="preserve">)</w:t>
      </w:r>
    </w:p>
    <w:p>
      <w:pPr>
        <w:pStyle w:val="FirstParagraph"/>
      </w:pPr>
      <w:r>
        <w:rPr>
          <w:bCs/>
          <w:b/>
        </w:rPr>
        <w:t xml:space="preserve">This is the load-bearing decision.</w:t>
      </w:r>
      <w:r>
        <w:t xml:space="preserve"> </w:t>
      </w:r>
      <w:r>
        <w:t xml:space="preserve">A composite foreign key makes a cross-tenant reference a</w:t>
      </w:r>
      <w:r>
        <w:t xml:space="preserve"> </w:t>
      </w:r>
      <w:r>
        <w:rPr>
          <w:bCs/>
          <w:b/>
        </w:rPr>
        <w:t xml:space="preserve">referential-integrity violation, not a policy violation</w:t>
      </w:r>
      <w:r>
        <w:t xml:space="preserve">. An encounter in Tenant A physically cannot point at a patient in Tenant B — even if row-level security is disabled, even if the ORM is bypassed, even if a developer writes raw SQL. This is what turns</w:t>
      </w:r>
      <w:r>
        <w:t xml:space="preserve"> </w:t>
      </w:r>
      <w:r>
        <w:rPr>
          <w:iCs/>
          <w:i/>
        </w:rPr>
        <w:t xml:space="preserve">forbidden</w:t>
      </w:r>
      <w:r>
        <w:t xml:space="preserve"> </w:t>
      </w:r>
      <w:r>
        <w:t xml:space="preserve">into</w:t>
      </w:r>
      <w:r>
        <w:t xml:space="preserve"> </w:t>
      </w:r>
      <w:r>
        <w:rPr>
          <w:iCs/>
          <w:i/>
        </w:rPr>
        <w:t xml:space="preserve">structurally impossible</w:t>
      </w:r>
      <w:r>
        <w:t xml:space="preserve">, and it is the only layer that survives total application compromise.</w:t>
      </w:r>
    </w:p>
    <w:p>
      <w:pPr>
        <w:pStyle w:val="BodyText"/>
      </w:pPr>
      <w:r>
        <w:rPr>
          <w:rStyle w:val="VerbatimChar"/>
          <w:bCs/>
          <w:b/>
        </w:rPr>
        <w:t xml:space="preserve">M-003</w:t>
      </w:r>
      <w:r>
        <w:rPr>
          <w:bCs/>
          <w:b/>
        </w:rPr>
        <w:t xml:space="preserve"> </w:t>
      </w:r>
      <w:r>
        <w:rPr>
          <w:bCs/>
          <w:b/>
        </w:rPr>
        <w:t xml:space="preserve">(no tenant identifier from the client).</w:t>
      </w:r>
      <w:r>
        <w:t xml:space="preserve"> </w:t>
      </w:r>
      <w:r>
        <w:rPr>
          <w:rStyle w:val="VerbatimChar"/>
        </w:rPr>
        <w:t xml:space="preserve">tenant_id</w:t>
      </w:r>
      <w:r>
        <w:t xml:space="preserve"> </w:t>
      </w:r>
      <w:r>
        <w:t xml:space="preserve">is never accepted from a request payload. It is derived once per request from the authenticated principal's session claim and set as a transaction-scoped database setting. Any API model declaring a</w:t>
      </w:r>
      <w:r>
        <w:t xml:space="preserve"> </w:t>
      </w:r>
      <w:r>
        <w:rPr>
          <w:rStyle w:val="VerbatimChar"/>
        </w:rPr>
        <w:t xml:space="preserve">tenant_id</w:t>
      </w:r>
      <w:r>
        <w:t xml:space="preserve"> </w:t>
      </w:r>
      <w:r>
        <w:t xml:space="preserve">field</w:t>
      </w:r>
      <w:r>
        <w:t xml:space="preserve"> </w:t>
      </w:r>
      <w:r>
        <w:rPr>
          <w:bCs/>
          <w:b/>
        </w:rPr>
        <w:t xml:space="preserve">fails the build</w:t>
      </w:r>
      <w:r>
        <w:t xml:space="preserve">.</w:t>
      </w:r>
    </w:p>
    <w:bookmarkEnd w:id="102"/>
    <w:bookmarkStart w:id="111" w:name="s73-canonical-entities"/>
    <w:p>
      <w:pPr>
        <w:pStyle w:val="Heading2"/>
      </w:pPr>
      <w:r>
        <w:t xml:space="preserve">S7.3 Canonical entities</w:t>
      </w:r>
    </w:p>
    <w:p>
      <w:pPr>
        <w:pStyle w:val="FirstParagraph"/>
      </w:pPr>
      <w:r>
        <w:t xml:space="preserve">Notation:</w:t>
      </w:r>
      <w:r>
        <w:t xml:space="preserve"> </w:t>
      </w:r>
      <w:r>
        <w:rPr>
          <w:rStyle w:val="VerbatimChar"/>
        </w:rPr>
        <w:t xml:space="preserve">†</w:t>
      </w:r>
      <w:r>
        <w:t xml:space="preserve"> </w:t>
      </w:r>
      <w:r>
        <w:t xml:space="preserve">tenant-scoped ·</w:t>
      </w:r>
      <w:r>
        <w:t xml:space="preserve"> </w:t>
      </w:r>
      <w:r>
        <w:rPr>
          <w:rStyle w:val="VerbatimChar"/>
        </w:rPr>
        <w:t xml:space="preserve">⊕</w:t>
      </w:r>
      <w:r>
        <w:t xml:space="preserve"> </w:t>
      </w:r>
      <w:r>
        <w:t xml:space="preserve">append-only (no update, no delete grant).</w:t>
      </w:r>
    </w:p>
    <w:bookmarkStart w:id="103" w:name="tenancy-and-organisation"/>
    <w:p>
      <w:pPr>
        <w:pStyle w:val="Heading3"/>
      </w:pPr>
      <w:r>
        <w:t xml:space="preserve">Tenancy and organisation</w:t>
      </w:r>
    </w:p>
    <w:p>
      <w:pPr>
        <w:pStyle w:val="FirstParagraph"/>
      </w:pPr>
      <w:r>
        <w:rPr>
          <w:rStyle w:val="VerbatimChar"/>
          <w:bCs/>
          <w:b/>
        </w:rPr>
        <w:t xml:space="preserve">Tenant</w:t>
      </w:r>
      <w:r>
        <w:t xml:space="preserve"> </w:t>
      </w:r>
      <w:r>
        <w:t xml:space="preserve">— the contracting legal entity and the ZATCA taxpayer identity. Carries</w:t>
      </w:r>
      <w:r>
        <w:t xml:space="preserve"> </w:t>
      </w:r>
      <w:r>
        <w:rPr>
          <w:rStyle w:val="VerbatimChar"/>
        </w:rPr>
        <w:t xml:space="preserve">legal_name_ar/en</w:t>
      </w:r>
      <w:r>
        <w:t xml:space="preserve">,</w:t>
      </w:r>
      <w:r>
        <w:t xml:space="preserve"> </w:t>
      </w:r>
      <w:r>
        <w:rPr>
          <w:rStyle w:val="VerbatimChar"/>
        </w:rPr>
        <w:t xml:space="preserve">cr_number</w:t>
      </w:r>
      <w:r>
        <w:t xml:space="preserve">,</w:t>
      </w:r>
      <w:r>
        <w:t xml:space="preserve"> </w:t>
      </w:r>
      <w:r>
        <w:rPr>
          <w:rStyle w:val="VerbatimChar"/>
        </w:rPr>
        <w:t xml:space="preserve">vat_registration_number</w:t>
      </w:r>
      <w:r>
        <w:t xml:space="preserve">,</w:t>
      </w:r>
      <w:r>
        <w:t xml:space="preserve"> </w:t>
      </w:r>
      <w:r>
        <w:rPr>
          <w:rStyle w:val="VerbatimChar"/>
        </w:rPr>
        <w:t xml:space="preserve">status</w:t>
      </w:r>
      <w:r>
        <w:t xml:space="preserve">,</w:t>
      </w:r>
      <w:r>
        <w:t xml:space="preserve"> </w:t>
      </w:r>
      <w:r>
        <w:rPr>
          <w:rStyle w:val="VerbatimChar"/>
          <w:bCs/>
          <w:b/>
        </w:rPr>
        <w:t xml:space="preserve">data_region</w:t>
      </w:r>
      <w:r>
        <w:rPr>
          <w:bCs/>
          <w:b/>
        </w:rPr>
        <w:t xml:space="preserve"> </w:t>
      </w:r>
      <w:r>
        <w:rPr>
          <w:bCs/>
          <w:b/>
        </w:rPr>
        <w:t xml:space="preserve">asserted as a constant so residency is queryable evidence</w:t>
      </w:r>
      <w:r>
        <w:t xml:space="preserve">,</w:t>
      </w:r>
      <w:r>
        <w:t xml:space="preserve"> </w:t>
      </w:r>
      <w:r>
        <w:rPr>
          <w:rStyle w:val="VerbatimChar"/>
        </w:rPr>
        <w:t xml:space="preserve">default_locale</w:t>
      </w:r>
      <w:r>
        <w:t xml:space="preserve">,</w:t>
      </w:r>
      <w:r>
        <w:t xml:space="preserve"> </w:t>
      </w:r>
      <w:r>
        <w:rPr>
          <w:rStyle w:val="VerbatimChar"/>
        </w:rPr>
        <w:t xml:space="preserve">calendar_display_mode</w:t>
      </w:r>
      <w:r>
        <w:t xml:space="preserve">.</w:t>
      </w:r>
    </w:p>
    <w:p>
      <w:pPr>
        <w:pStyle w:val="BodyText"/>
      </w:pPr>
      <w:r>
        <w:rPr>
          <w:rStyle w:val="VerbatimChar"/>
          <w:bCs/>
          <w:b/>
        </w:rPr>
        <w:t xml:space="preserve">Site</w:t>
      </w:r>
      <w:r>
        <w:t xml:space="preserve"> </w:t>
      </w:r>
      <w:r>
        <w:t xml:space="preserve">† — a physical premises.</w:t>
      </w:r>
      <w:r>
        <w:t xml:space="preserve"> </w:t>
      </w:r>
      <w:r>
        <w:rPr>
          <w:bCs/>
          <w:b/>
        </w:rPr>
        <w:t xml:space="preserve">The establishment licence, the ZATCA device set and the controlled-drug register attach here, not to the Tenant.</w:t>
      </w:r>
      <w:r>
        <w:t xml:space="preserve"> </w:t>
      </w:r>
      <w:r>
        <w:t xml:space="preserve">Carries the Saudi National Address short code and structured Arabic/English address lines, because the notifiable-disease report needs a real address.</w:t>
      </w:r>
    </w:p>
    <w:p>
      <w:pPr>
        <w:pStyle w:val="BodyText"/>
      </w:pPr>
      <w:r>
        <w:rPr>
          <w:rStyle w:val="VerbatimChar"/>
          <w:bCs/>
          <w:b/>
        </w:rPr>
        <w:t xml:space="preserve">EGSUnit</w:t>
      </w:r>
      <w:r>
        <w:t xml:space="preserve"> </w:t>
      </w:r>
      <w:r>
        <w:t xml:space="preserve">† — one ZATCA-onboarded invoicing device.</w:t>
      </w:r>
      <w:r>
        <w:t xml:space="preserve"> </w:t>
      </w:r>
      <w:r>
        <w:rPr>
          <w:bCs/>
          <w:b/>
        </w:rPr>
        <w:t xml:space="preserve">This entity did not exist in the legacy BRD and its absence makes ZATCA Phase 2 unimplementable</w:t>
      </w:r>
      <w:r>
        <w:t xml:space="preserve">, because the invoice counter and hash chain are per-device, not per-tenant. Carries the device serial in ZATCA's mandated form, the invoice-type functionality map, CSID state,</w:t>
      </w:r>
      <w:r>
        <w:t xml:space="preserve"> </w:t>
      </w:r>
      <w:r>
        <w:rPr>
          <w:bCs/>
          <w:b/>
        </w:rPr>
        <w:t xml:space="preserve">a key reference into the key-management service (never the certificate body in the row)</w:t>
      </w:r>
      <w:r>
        <w:t xml:space="preserve">,</w:t>
      </w:r>
      <w:r>
        <w:t xml:space="preserve"> </w:t>
      </w:r>
      <w:r>
        <w:rPr>
          <w:rStyle w:val="VerbatimChar"/>
        </w:rPr>
        <w:t xml:space="preserve">last_icv</w:t>
      </w:r>
      <w:r>
        <w:t xml:space="preserve"> </w:t>
      </w:r>
      <w:r>
        <w:t xml:space="preserve">and</w:t>
      </w:r>
      <w:r>
        <w:t xml:space="preserve"> </w:t>
      </w:r>
      <w:r>
        <w:rPr>
          <w:rStyle w:val="VerbatimChar"/>
        </w:rPr>
        <w:t xml:space="preserve">last_invoice_hash</w:t>
      </w:r>
      <w:r>
        <w:t xml:space="preserve">.</w:t>
      </w:r>
    </w:p>
    <w:bookmarkEnd w:id="103"/>
    <w:bookmarkStart w:id="104" w:name="licensing--first-class-not-a-column"/>
    <w:p>
      <w:pPr>
        <w:pStyle w:val="Heading3"/>
      </w:pPr>
      <w:r>
        <w:t xml:space="preserve">Licensing — first-class, not a column</w:t>
      </w:r>
    </w:p>
    <w:p>
      <w:pPr>
        <w:pStyle w:val="FirstParagraph"/>
      </w:pPr>
      <w:r>
        <w:rPr>
          <w:rStyle w:val="VerbatimChar"/>
          <w:bCs/>
          <w:b/>
        </w:rPr>
        <w:t xml:space="preserve">Licence</w:t>
      </w:r>
      <w:r>
        <w:t xml:space="preserve"> </w:t>
      </w:r>
      <w:r>
        <w:t xml:space="preserve">† — polymorphic over practitioner and establishment.</w:t>
      </w:r>
      <w:r>
        <w:t xml:space="preserve"> </w:t>
      </w:r>
      <w:r>
        <w:rPr>
          <w:bCs/>
          <w:b/>
        </w:rPr>
        <w:t xml:space="preserve">A licence is an object with a lifecycle, not a</w:t>
      </w:r>
      <w:r>
        <w:rPr>
          <w:bCs/>
          <w:b/>
        </w:rPr>
        <w:t xml:space="preserve"> </w:t>
      </w:r>
      <w:r>
        <w:rPr>
          <w:rStyle w:val="VerbatimChar"/>
          <w:bCs/>
          <w:b/>
        </w:rPr>
        <w:t xml:space="preserve">licence_number</w:t>
      </w:r>
      <w:r>
        <w:rPr>
          <w:bCs/>
          <w:b/>
        </w:rPr>
        <w:t xml:space="preserve"> </w:t>
      </w:r>
      <w:r>
        <w:rPr>
          <w:bCs/>
          <w:b/>
        </w:rPr>
        <w:t xml:space="preserve">string on Practitioner</w:t>
      </w:r>
      <w:r>
        <w:t xml:space="preserve">, because clinical action must gate on lapse. Carries authority, number, scope codes, dual-calendar issue and expiry dates, a</w:t>
      </w:r>
      <w:r>
        <w:t xml:space="preserve"> </w:t>
      </w:r>
      <w:r>
        <w:rPr>
          <w:bCs/>
          <w:b/>
        </w:rPr>
        <w:t xml:space="preserve">verification state ladder</w:t>
      </w:r>
      <w:r>
        <w:t xml:space="preserve"> </w:t>
      </w:r>
      <w:r>
        <w:t xml:space="preserve">(</w:t>
      </w:r>
      <w:r>
        <w:rPr>
          <w:rStyle w:val="VerbatimChar"/>
        </w:rPr>
        <w:t xml:space="preserve">unverified → self_attested → document_verified → authority_verified</w:t>
      </w:r>
      <w:r>
        <w:t xml:space="preserve">), verification evidence, verifier identity, and a derived status.</w:t>
      </w:r>
      <w:r>
        <w:t xml:space="preserve"> </w:t>
      </w:r>
      <w:r>
        <w:rPr>
          <w:bCs/>
          <w:b/>
        </w:rPr>
        <w:t xml:space="preserve">Status is materialised by a scheduled evaluator, never computed ad hoc at the call site</w:t>
      </w:r>
      <w:r>
        <w:t xml:space="preserve"> </w:t>
      </w:r>
      <w:r>
        <w:t xml:space="preserve">— the gate must be deterministic and auditable. Every transition writes an audit event.</w:t>
      </w:r>
    </w:p>
    <w:p>
      <w:pPr>
        <w:pStyle w:val="BodyText"/>
      </w:pPr>
      <w:r>
        <w:rPr>
          <w:rStyle w:val="VerbatimChar"/>
          <w:bCs/>
          <w:b/>
        </w:rPr>
        <w:t xml:space="preserve">LicenceGate</w:t>
      </w:r>
      <w:r>
        <w:t xml:space="preserve"> </w:t>
      </w:r>
      <w:r>
        <w:t xml:space="preserve">⊕ † —</w:t>
      </w:r>
      <w:r>
        <w:t xml:space="preserve"> </w:t>
      </w:r>
      <w:r>
        <w:rPr>
          <w:bCs/>
          <w:b/>
        </w:rPr>
        <w:t xml:space="preserve">the record of a licence check performed at a decision point</w:t>
      </w:r>
      <w:r>
        <w:t xml:space="preserve">: licence, action code (</w:t>
      </w:r>
      <w:r>
        <w:rPr>
          <w:rStyle w:val="VerbatimChar"/>
        </w:rPr>
        <w:t xml:space="preserve">sign_clinical_note</w:t>
      </w:r>
      <w:r>
        <w:t xml:space="preserve">,</w:t>
      </w:r>
      <w:r>
        <w:t xml:space="preserve"> </w:t>
      </w:r>
      <w:r>
        <w:rPr>
          <w:rStyle w:val="VerbatimChar"/>
        </w:rPr>
        <w:t xml:space="preserve">issue_prescription</w:t>
      </w:r>
      <w:r>
        <w:t xml:space="preserve">,</w:t>
      </w:r>
      <w:r>
        <w:t xml:space="preserve"> </w:t>
      </w:r>
      <w:r>
        <w:rPr>
          <w:rStyle w:val="VerbatimChar"/>
        </w:rPr>
        <w:t xml:space="preserve">dispense_controlled</w:t>
      </w:r>
      <w:r>
        <w:t xml:space="preserve">,</w:t>
      </w:r>
      <w:r>
        <w:t xml:space="preserve"> </w:t>
      </w:r>
      <w:r>
        <w:rPr>
          <w:rStyle w:val="VerbatimChar"/>
        </w:rPr>
        <w:t xml:space="preserve">submit_notifiable_report</w:t>
      </w:r>
      <w:r>
        <w:t xml:space="preserve">), decision, override reason and overrider, evaluation timestamp, and</w:t>
      </w:r>
      <w:r>
        <w:t xml:space="preserve"> </w:t>
      </w:r>
      <w:r>
        <w:rPr>
          <w:bCs/>
          <w:b/>
        </w:rPr>
        <w:t xml:space="preserve">the licence status as it stood at evaluation</w:t>
      </w:r>
      <w:r>
        <w:t xml:space="preserve">.</w:t>
      </w:r>
    </w:p>
    <w:p>
      <w:pPr>
        <w:pStyle w:val="BlockText"/>
      </w:pPr>
      <w:r>
        <w:t xml:space="preserve">The inspector's question is not</w:t>
      </w:r>
      <w:r>
        <w:t xml:space="preserve"> </w:t>
      </w:r>
      <w:r>
        <w:rPr>
          <w:iCs/>
          <w:i/>
        </w:rPr>
        <w:t xml:space="preserve">"is this vet licensed today"</w:t>
      </w:r>
      <w:r>
        <w:t xml:space="preserve">. It is</w:t>
      </w:r>
      <w:r>
        <w:t xml:space="preserve"> </w:t>
      </w:r>
      <w:r>
        <w:rPr>
          <w:iCs/>
          <w:i/>
        </w:rPr>
        <w:t xml:space="preserve">"was this vet licensed when they signed that note"</w:t>
      </w:r>
      <w:r>
        <w:t xml:space="preserve">.</w:t>
      </w:r>
      <w:r>
        <w:t xml:space="preserve"> </w:t>
      </w:r>
      <w:r>
        <w:rPr>
          <w:bCs/>
          <w:b/>
        </w:rPr>
        <w:t xml:space="preserve">Only a recorded gate evaluation answers it.</w:t>
      </w:r>
    </w:p>
    <w:p>
      <w:pPr>
        <w:pStyle w:val="FirstParagraph"/>
      </w:pPr>
      <w:r>
        <w:rPr>
          <w:rStyle w:val="VerbatimChar"/>
          <w:bCs/>
          <w:b/>
        </w:rPr>
        <w:t xml:space="preserve">Practitioner</w:t>
      </w:r>
      <w:r>
        <w:t xml:space="preserve"> </w:t>
      </w:r>
      <w:r>
        <w:t xml:space="preserve">† and</w:t>
      </w:r>
      <w:r>
        <w:t xml:space="preserve"> </w:t>
      </w:r>
      <w:r>
        <w:rPr>
          <w:rStyle w:val="VerbatimChar"/>
          <w:bCs/>
          <w:b/>
        </w:rPr>
        <w:t xml:space="preserve">StaffMember</w:t>
      </w:r>
      <w:r>
        <w:t xml:space="preserve"> </w:t>
      </w:r>
      <w:r>
        <w:t xml:space="preserve">† are separate entities. Separating them is what allows a receptionist to book, invoice and take payment</w:t>
      </w:r>
      <w:r>
        <w:t xml:space="preserve"> </w:t>
      </w:r>
      <w:r>
        <w:rPr>
          <w:bCs/>
          <w:b/>
        </w:rPr>
        <w:t xml:space="preserve">without ever being able to sign a clinical note.</w:t>
      </w:r>
    </w:p>
    <w:bookmarkEnd w:id="104"/>
    <w:bookmarkStart w:id="105" w:name="people-and-animals--the-pdpl-distinction"/>
    <w:p>
      <w:pPr>
        <w:pStyle w:val="Heading3"/>
      </w:pPr>
      <w:r>
        <w:t xml:space="preserve">People and animals — the PDPL distinction</w:t>
      </w:r>
    </w:p>
    <w:p>
      <w:pPr>
        <w:pStyle w:val="FirstParagraph"/>
      </w:pPr>
      <w:r>
        <w:rPr>
          <w:rStyle w:val="VerbatimChar"/>
          <w:bCs/>
          <w:b/>
        </w:rPr>
        <w:t xml:space="preserve">Owner</w:t>
      </w:r>
      <w:r>
        <w:t xml:space="preserve"> </w:t>
      </w:r>
      <w:r>
        <w:t xml:space="preserve">† —</w:t>
      </w:r>
      <w:r>
        <w:t xml:space="preserve"> </w:t>
      </w:r>
      <w:r>
        <w:rPr>
          <w:bCs/>
          <w:b/>
        </w:rPr>
        <w:t xml:space="preserve">the data subject under PDPL. The animal is not.</w:t>
      </w:r>
      <w:r>
        <w:t xml:space="preserve"> </w:t>
      </w:r>
      <w:r>
        <w:t xml:space="preserve">All consent, all data-subject-request handling and all breach scoping attaches here.</w:t>
      </w:r>
      <w:r>
        <w:t xml:space="preserve"> </w:t>
      </w:r>
      <w:r>
        <w:rPr>
          <w:rStyle w:val="VerbatimChar"/>
          <w:bCs/>
          <w:b/>
        </w:rPr>
        <w:t xml:space="preserve">marketing_contactable</w:t>
      </w:r>
      <w:r>
        <w:rPr>
          <w:bCs/>
          <w:b/>
        </w:rPr>
        <w:t xml:space="preserve"> </w:t>
      </w:r>
      <w:r>
        <w:rPr>
          <w:bCs/>
          <w:b/>
        </w:rPr>
        <w:t xml:space="preserve">is derived from consent, never stored as a settable boolean.</w:t>
      </w:r>
      <w:r>
        <w:t xml:space="preserve"> </w:t>
      </w:r>
      <w:r>
        <w:t xml:space="preserve">Address is</w:t>
      </w:r>
      <w:r>
        <w:t xml:space="preserve"> </w:t>
      </w:r>
      <w:r>
        <w:rPr>
          <w:bCs/>
          <w:b/>
        </w:rPr>
        <w:t xml:space="preserve">required, not optional metadata</w:t>
      </w:r>
      <w:r>
        <w:t xml:space="preserve">, because the notifiable-disease report demands it.</w:t>
      </w:r>
    </w:p>
    <w:p>
      <w:pPr>
        <w:pStyle w:val="BodyText"/>
      </w:pPr>
      <w:r>
        <w:rPr>
          <w:rStyle w:val="VerbatimChar"/>
          <w:bCs/>
          <w:b/>
        </w:rPr>
        <w:t xml:space="preserve">OwnerLink</w:t>
      </w:r>
      <w:r>
        <w:t xml:space="preserve"> </w:t>
      </w:r>
      <w:r>
        <w:t xml:space="preserve">† — an explicit entity rather than a foreign key, because households have co-owners, animals change hands, and a rehoming must not silently transfer the previous owner's consent.</w:t>
      </w:r>
      <w:r>
        <w:t xml:space="preserve"> </w:t>
      </w:r>
      <w:r>
        <w:rPr>
          <w:rStyle w:val="VerbatimChar"/>
          <w:bCs/>
          <w:b/>
        </w:rPr>
        <w:t xml:space="preserve">M-004</w:t>
      </w:r>
      <w:r>
        <w:rPr>
          <w:bCs/>
          <w:b/>
        </w:rPr>
        <w:t xml:space="preserve"> </w:t>
      </w:r>
      <w:r>
        <w:rPr>
          <w:bCs/>
          <w:b/>
        </w:rPr>
        <w:t xml:space="preserve">— Consent never transfers across an ownership change. New owner, new consent capture.</w:t>
      </w:r>
    </w:p>
    <w:p>
      <w:pPr>
        <w:pStyle w:val="BodyText"/>
      </w:pPr>
      <w:r>
        <w:rPr>
          <w:rStyle w:val="VerbatimChar"/>
          <w:bCs/>
          <w:b/>
        </w:rPr>
        <w:t xml:space="preserve">Patient</w:t>
      </w:r>
      <w:r>
        <w:t xml:space="preserve"> </w:t>
      </w:r>
      <w:r>
        <w:t xml:space="preserve">† — species, breed, sex, neuter status, date of birth with an estimated flag, microchip number and scheme, markings, status.</w:t>
      </w:r>
      <w:r>
        <w:t xml:space="preserve"> </w:t>
      </w:r>
      <w:r>
        <w:rPr>
          <w:rStyle w:val="VerbatimChar"/>
          <w:bCs/>
          <w:b/>
        </w:rPr>
        <w:t xml:space="preserve">M-005</w:t>
      </w:r>
      <w:r>
        <w:rPr>
          <w:bCs/>
          <w:b/>
        </w:rPr>
        <w:t xml:space="preserve"> </w:t>
      </w:r>
      <w:r>
        <w:rPr>
          <w:bCs/>
          <w:b/>
        </w:rPr>
        <w:t xml:space="preserve">— There is no</w:t>
      </w:r>
      <w:r>
        <w:rPr>
          <w:bCs/>
          <w:b/>
        </w:rPr>
        <w:t xml:space="preserve"> </w:t>
      </w:r>
      <w:r>
        <w:rPr>
          <w:rStyle w:val="VerbatimChar"/>
          <w:bCs/>
          <w:b/>
        </w:rPr>
        <w:t xml:space="preserve">health_score</w:t>
      </w:r>
      <w:r>
        <w:rPr>
          <w:bCs/>
          <w:b/>
        </w:rPr>
        <w:t xml:space="preserve">.</w:t>
      </w:r>
      <w:r>
        <w:t xml:space="preserve"> </w:t>
      </w:r>
      <w:r>
        <w:t xml:space="preserve">Any derived clinical indicator, if ever built, is a</w:t>
      </w:r>
      <w:r>
        <w:t xml:space="preserve"> </w:t>
      </w:r>
      <w:r>
        <w:rPr>
          <w:rStyle w:val="VerbatimChar"/>
        </w:rPr>
        <w:t xml:space="preserve">DerivedIndicator</w:t>
      </w:r>
      <w:r>
        <w:t xml:space="preserve"> </w:t>
      </w:r>
      <w:r>
        <w:t xml:space="preserve">row with a named versioned algorithm ID, an input snapshot reference and a computed-at timestamp —</w:t>
      </w:r>
      <w:r>
        <w:t xml:space="preserve"> </w:t>
      </w:r>
      <w:r>
        <w:rPr>
          <w:bCs/>
          <w:b/>
        </w:rPr>
        <w:t xml:space="preserve">because a number displayed to a vet that nobody can reconstruct is a clinical-safety and evidentiary liability.</w:t>
      </w:r>
    </w:p>
    <w:bookmarkEnd w:id="105"/>
    <w:bookmarkStart w:id="106" w:name="clinical"/>
    <w:p>
      <w:pPr>
        <w:pStyle w:val="Heading3"/>
      </w:pPr>
      <w:r>
        <w:t xml:space="preserve">Clinical</w:t>
      </w:r>
    </w:p>
    <w:p>
      <w:pPr>
        <w:pStyle w:val="FirstParagraph"/>
      </w:pPr>
      <w:r>
        <w:rPr>
          <w:rStyle w:val="VerbatimChar"/>
          <w:bCs/>
          <w:b/>
        </w:rPr>
        <w:t xml:space="preserve">Encounter</w:t>
      </w:r>
      <w:r>
        <w:t xml:space="preserve"> </w:t>
      </w:r>
      <w:r>
        <w:t xml:space="preserve">† — patient, site,</w:t>
      </w:r>
      <w:r>
        <w:t xml:space="preserve"> </w:t>
      </w:r>
      <w:r>
        <w:rPr>
          <w:bCs/>
          <w:b/>
        </w:rPr>
        <w:t xml:space="preserve">modality</w:t>
      </w:r>
      <w:r>
        <w:t xml:space="preserve">, attending practitioner, timestamps, presenting complaint codes, status,</w:t>
      </w:r>
      <w:r>
        <w:t xml:space="preserve"> </w:t>
      </w:r>
      <w:r>
        <w:rPr>
          <w:rStyle w:val="VerbatimChar"/>
          <w:bCs/>
          <w:b/>
        </w:rPr>
        <w:t xml:space="preserve">physical_examination_performed</w:t>
      </w:r>
      <w:r>
        <w:rPr>
          <w:bCs/>
          <w:b/>
        </w:rPr>
        <w:t xml:space="preserve"> </w:t>
      </w:r>
      <w:r>
        <w:rPr>
          <w:bCs/>
          <w:b/>
        </w:rPr>
        <w:t xml:space="preserve">set only by an in-person or home-visit encounter</w:t>
      </w:r>
      <w:r>
        <w:t xml:space="preserve"> </w:t>
      </w:r>
      <w:r>
        <w:t xml:space="preserve">with its timestamp. This last field is what makes</w:t>
      </w:r>
      <w:r>
        <w:t xml:space="preserve"> </w:t>
      </w:r>
      <w:r>
        <w:rPr>
          <w:rStyle w:val="VerbatimChar"/>
        </w:rPr>
        <w:t xml:space="preserve">R-110</w:t>
      </w:r>
      <w:r>
        <w:t xml:space="preserve"> </w:t>
      </w:r>
      <w:r>
        <w:t xml:space="preserve">enforceable.</w:t>
      </w:r>
    </w:p>
    <w:p>
      <w:pPr>
        <w:pStyle w:val="BodyText"/>
      </w:pPr>
      <w:r>
        <w:rPr>
          <w:rStyle w:val="VerbatimChar"/>
          <w:bCs/>
          <w:b/>
        </w:rPr>
        <w:t xml:space="preserve">ClinicalNote</w:t>
      </w:r>
      <w:r>
        <w:t xml:space="preserve"> </w:t>
      </w:r>
      <w:r>
        <w:t xml:space="preserve">⊕ † — append-only.</w:t>
      </w:r>
      <w:r>
        <w:t xml:space="preserve"> </w:t>
      </w:r>
      <w:r>
        <w:rPr>
          <w:bCs/>
          <w:b/>
        </w:rPr>
        <w:t xml:space="preserve">There is no</w:t>
      </w:r>
      <w:r>
        <w:rPr>
          <w:bCs/>
          <w:b/>
        </w:rPr>
        <w:t xml:space="preserve"> </w:t>
      </w:r>
      <w:r>
        <w:rPr>
          <w:rStyle w:val="VerbatimChar"/>
          <w:bCs/>
          <w:b/>
        </w:rPr>
        <w:t xml:space="preserve">sfd_compliant</w:t>
      </w:r>
      <w:r>
        <w:rPr>
          <w:bCs/>
          <w:b/>
        </w:rPr>
        <w:t xml:space="preserve"> </w:t>
      </w:r>
      <w:r>
        <w:rPr>
          <w:bCs/>
          <w:b/>
        </w:rPr>
        <w:t xml:space="preserve">boolean.</w:t>
      </w:r>
      <w:r>
        <w:t xml:space="preserve"> </w:t>
      </w:r>
      <w:r>
        <w:t xml:space="preserve">A note is never updated in place; a correction is a new version with</w:t>
      </w:r>
      <w:r>
        <w:t xml:space="preserve"> </w:t>
      </w:r>
      <w:r>
        <w:rPr>
          <w:rStyle w:val="VerbatimChar"/>
        </w:rPr>
        <w:t xml:space="preserve">supersedes_version_id</w:t>
      </w:r>
      <w:r>
        <w:t xml:space="preserve">, a</w:t>
      </w:r>
      <w:r>
        <w:t xml:space="preserve"> </w:t>
      </w:r>
      <w:r>
        <w:rPr>
          <w:bCs/>
          <w:b/>
        </w:rPr>
        <w:t xml:space="preserve">mandatory amendment reason</w:t>
      </w:r>
      <w:r>
        <w:t xml:space="preserve">, and a detached signature over the canonical serialisation with the signing key version recorded. Body blocks are structured with explicit</w:t>
      </w:r>
      <w:r>
        <w:t xml:space="preserve"> </w:t>
      </w:r>
      <w:r>
        <w:rPr>
          <w:rStyle w:val="VerbatimChar"/>
        </w:rPr>
        <w:t xml:space="preserve">lang</w:t>
      </w:r>
      <w:r>
        <w:t xml:space="preserve"> </w:t>
      </w:r>
      <w:r>
        <w:t xml:space="preserve">and</w:t>
      </w:r>
      <w:r>
        <w:t xml:space="preserve"> </w:t>
      </w:r>
      <w:r>
        <w:rPr>
          <w:rStyle w:val="VerbatimChar"/>
        </w:rPr>
        <w:t xml:space="preserve">dir</w:t>
      </w:r>
      <w:r>
        <w:t xml:space="preserve"> </w:t>
      </w:r>
      <w:r>
        <w:t xml:space="preserve">per block to carry mixed-script Arabic/English within a single note; the store does not attempt to normalise, and search indexes are built per language.</w:t>
      </w:r>
    </w:p>
    <w:p>
      <w:pPr>
        <w:pStyle w:val="BodyText"/>
      </w:pPr>
      <w:r>
        <w:rPr>
          <w:rStyle w:val="VerbatimChar"/>
          <w:bCs/>
          <w:b/>
        </w:rPr>
        <w:t xml:space="preserve">ProblemListEntry</w:t>
      </w:r>
      <w:r>
        <w:t xml:space="preserve"> </w:t>
      </w:r>
      <w:r>
        <w:t xml:space="preserve">† —</w:t>
      </w:r>
      <w:r>
        <w:t xml:space="preserve"> </w:t>
      </w:r>
      <w:r>
        <w:rPr>
          <w:bCs/>
          <w:b/>
        </w:rPr>
        <w:t xml:space="preserve">coded, not free text</w:t>
      </w:r>
      <w:r>
        <w:t xml:space="preserve">, with</w:t>
      </w:r>
      <w:r>
        <w:t xml:space="preserve"> </w:t>
      </w:r>
      <w:r>
        <w:rPr>
          <w:rStyle w:val="VerbatimChar"/>
        </w:rPr>
        <w:t xml:space="preserve">certainty</w:t>
      </w:r>
      <w:r>
        <w:t xml:space="preserve"> </w:t>
      </w:r>
      <w:r>
        <w:t xml:space="preserve">(</w:t>
      </w:r>
      <w:r>
        <w:rPr>
          <w:rStyle w:val="VerbatimChar"/>
        </w:rPr>
        <w:t xml:space="preserve">suspected | probable | confirmed</w:t>
      </w:r>
      <w:r>
        <w:t xml:space="preserve">), status, onset, recorder, and a free-text qualifier permitted</w:t>
      </w:r>
      <w:r>
        <w:t xml:space="preserve"> </w:t>
      </w:r>
      <w:r>
        <w:rPr>
          <w:iCs/>
          <w:i/>
        </w:rPr>
        <w:t xml:space="preserve">alongside</w:t>
      </w:r>
      <w:r>
        <w:t xml:space="preserve"> </w:t>
      </w:r>
      <w:r>
        <w:t xml:space="preserve">the code, never instead of it.</w:t>
      </w:r>
    </w:p>
    <w:p>
      <w:pPr>
        <w:pStyle w:val="BodyText"/>
      </w:pPr>
      <w:r>
        <w:rPr>
          <w:rStyle w:val="VerbatimChar"/>
          <w:bCs/>
          <w:b/>
        </w:rPr>
        <w:t xml:space="preserve">M-006</w:t>
      </w:r>
      <w:r>
        <w:rPr>
          <w:bCs/>
          <w:b/>
        </w:rPr>
        <w:t xml:space="preserve"> </w:t>
      </w:r>
      <w:r>
        <w:rPr>
          <w:bCs/>
          <w:b/>
        </w:rPr>
        <w:t xml:space="preserve">— Why the problem list must be coded — four operational reasons, not tidiness:</w:t>
      </w:r>
    </w:p>
    <w:p>
      <w:pPr>
        <w:numPr>
          <w:ilvl w:val="0"/>
          <w:numId w:val="1007"/>
        </w:numPr>
        <w:pStyle w:val="Compact"/>
      </w:pPr>
      <w:r>
        <w:rPr>
          <w:bCs/>
          <w:b/>
        </w:rPr>
        <w:t xml:space="preserve">Notifiable-disease triggering is otherwise impossible.</w:t>
      </w:r>
      <w:r>
        <w:t xml:space="preserve"> </w:t>
      </w:r>
      <w:r>
        <w:t xml:space="preserve">A 24-hour duty across 32 diseases cannot be triggered by string matching over free text in two languages and two scripts. A code fires a rule;</w:t>
      </w:r>
      <w:r>
        <w:t xml:space="preserve"> </w:t>
      </w:r>
      <w:r>
        <w:rPr>
          <w:rStyle w:val="VerbatimChar"/>
        </w:rPr>
        <w:t xml:space="preserve">"susp. rabies?"</w:t>
      </w:r>
      <w:r>
        <w:t xml:space="preserve"> </w:t>
      </w:r>
      <w:r>
        <w:t xml:space="preserve">typed at 23:40 does not.</w:t>
      </w:r>
    </w:p>
    <w:p>
      <w:pPr>
        <w:numPr>
          <w:ilvl w:val="0"/>
          <w:numId w:val="1007"/>
        </w:numPr>
        <w:pStyle w:val="Compact"/>
      </w:pPr>
      <w:r>
        <w:rPr>
          <w:bCs/>
          <w:b/>
        </w:rPr>
        <w:t xml:space="preserve">Bilingual display is solved once.</w:t>
      </w:r>
      <w:r>
        <w:t xml:space="preserve"> </w:t>
      </w:r>
      <w:r>
        <w:t xml:space="preserve">One code carries an Arabic label and an English label. Free text forces a translation pipeline or a permanently monolingual record.</w:t>
      </w:r>
    </w:p>
    <w:p>
      <w:pPr>
        <w:numPr>
          <w:ilvl w:val="0"/>
          <w:numId w:val="1007"/>
        </w:numPr>
        <w:pStyle w:val="Compact"/>
      </w:pPr>
      <w:r>
        <w:rPr>
          <w:bCs/>
          <w:b/>
        </w:rPr>
        <w:t xml:space="preserve">Recall and pharmacovigilance need denominators.</w:t>
      </w:r>
      <w:r>
        <w:t xml:space="preserve"> </w:t>
      </w:r>
      <w:r>
        <w:rPr>
          <w:iCs/>
          <w:i/>
        </w:rPr>
        <w:t xml:space="preserve">"Which patients on this batch had a reaction"</w:t>
      </w:r>
      <w:r>
        <w:t xml:space="preserve"> </w:t>
      </w:r>
      <w:r>
        <w:t xml:space="preserve">requires the reaction to be a code.</w:t>
      </w:r>
    </w:p>
    <w:p>
      <w:pPr>
        <w:numPr>
          <w:ilvl w:val="0"/>
          <w:numId w:val="1007"/>
        </w:numPr>
        <w:pStyle w:val="Compact"/>
      </w:pPr>
      <w:r>
        <w:rPr>
          <w:bCs/>
          <w:b/>
        </w:rPr>
        <w:t xml:space="preserve">AMR stewardship and the remote-prescribing rule need a machine-readable indication.</w:t>
      </w:r>
      <w:r>
        <w:t xml:space="preserve"> </w:t>
      </w:r>
      <w:r>
        <w:t xml:space="preserve">The prescribing gate has to know what is being treated.</w:t>
      </w:r>
    </w:p>
    <w:p>
      <w:pPr>
        <w:pStyle w:val="FirstParagraph"/>
      </w:pPr>
      <w:r>
        <w:t xml:space="preserve">Recommended system:</w:t>
      </w:r>
      <w:r>
        <w:t xml:space="preserve"> </w:t>
      </w:r>
      <w:r>
        <w:rPr>
          <w:bCs/>
          <w:b/>
        </w:rPr>
        <w:t xml:space="preserve">VeNom Coding Group codes</w:t>
      </w:r>
      <w:r>
        <w:t xml:space="preserve"> </w:t>
      </w:r>
      <w:r>
        <w:t xml:space="preserve">as the Phase 1 primary — the de facto companion-animal EHR standard, open, already carrying species, breed, diagnosis and procedure axes — with a</w:t>
      </w:r>
      <w:r>
        <w:t xml:space="preserve"> </w:t>
      </w:r>
      <w:r>
        <w:rPr>
          <w:rStyle w:val="VerbatimChar"/>
        </w:rPr>
        <w:t xml:space="preserve">system</w:t>
      </w:r>
      <w:r>
        <w:t xml:space="preserve"> </w:t>
      </w:r>
      <w:r>
        <w:t xml:space="preserve">discriminator so a SNOMED CT Veterinary Extension can be added without migration.</w:t>
      </w:r>
      <w:r>
        <w:t xml:space="preserve"> </w:t>
      </w:r>
      <w:r>
        <w:rPr>
          <w:rStyle w:val="VerbatimChar"/>
        </w:rPr>
        <w:t xml:space="preserve">[EVIDENCE REQUIRED]</w:t>
      </w:r>
      <w:r>
        <w:t xml:space="preserve"> </w:t>
      </w:r>
      <w:r>
        <w:t xml:space="preserve">— whether MEWA or Weqaa mandate or prefer a specific terminology; the discriminator is the hedge.</w:t>
      </w:r>
    </w:p>
    <w:bookmarkEnd w:id="106"/>
    <w:bookmarkStart w:id="107" w:name="medicines-traceability-recall"/>
    <w:p>
      <w:pPr>
        <w:pStyle w:val="Heading3"/>
      </w:pPr>
      <w:r>
        <w:t xml:space="preserve">Medicines, traceability, recall</w:t>
      </w:r>
    </w:p>
    <w:p>
      <w:pPr>
        <w:pStyle w:val="FirstParagraph"/>
      </w:pPr>
      <w:r>
        <w:rPr>
          <w:rStyle w:val="VerbatimChar"/>
          <w:bCs/>
          <w:b/>
        </w:rPr>
        <w:t xml:space="preserve">Product</w:t>
      </w:r>
      <w:r>
        <w:t xml:space="preserve"> </w:t>
      </w:r>
      <w:r>
        <w:t xml:space="preserve">† — joined to a global catalogue entry; carries GTIN, SFDA registration number,</w:t>
      </w:r>
      <w:r>
        <w:t xml:space="preserve"> </w:t>
      </w:r>
      <w:r>
        <w:rPr>
          <w:rStyle w:val="VerbatimChar"/>
          <w:bCs/>
          <w:b/>
        </w:rPr>
        <w:t xml:space="preserve">sfda_registration_state</w:t>
      </w:r>
      <w:r>
        <w:rPr>
          <w:bCs/>
          <w:b/>
        </w:rPr>
        <w:t xml:space="preserve"> </w:t>
      </w:r>
      <w:r>
        <w:rPr>
          <w:bCs/>
          <w:b/>
        </w:rPr>
        <w:t xml:space="preserve">as a mirrored timestamped fact with a staleness clock, not an assumption</w:t>
      </w:r>
      <w:r>
        <w:t xml:space="preserve">, plus classification flags for antimicrobial, antifungal, antiparasitic, antiviral and controlled. A product whose registration state has not been refreshed within the configured window</w:t>
      </w:r>
      <w:r>
        <w:t xml:space="preserve"> </w:t>
      </w:r>
      <w:r>
        <w:rPr>
          <w:bCs/>
          <w:b/>
        </w:rPr>
        <w:t xml:space="preserve">renders a warning at dispense rather than silently passing.</w:t>
      </w:r>
    </w:p>
    <w:p>
      <w:pPr>
        <w:pStyle w:val="BodyText"/>
      </w:pPr>
      <w:r>
        <w:rPr>
          <w:rStyle w:val="VerbatimChar"/>
          <w:bCs/>
          <w:b/>
        </w:rPr>
        <w:t xml:space="preserve">Batch</w:t>
      </w:r>
      <w:r>
        <w:t xml:space="preserve"> </w:t>
      </w:r>
      <w:r>
        <w:t xml:space="preserve">† — lot number, expiry, GTIN, received date, quantities, supplier, recall state.</w:t>
      </w:r>
    </w:p>
    <w:p>
      <w:pPr>
        <w:pStyle w:val="BodyText"/>
      </w:pPr>
      <w:r>
        <w:rPr>
          <w:rStyle w:val="VerbatimChar"/>
          <w:bCs/>
          <w:b/>
        </w:rPr>
        <w:t xml:space="preserve">DispenseEvent</w:t>
      </w:r>
      <w:r>
        <w:t xml:space="preserve"> </w:t>
      </w:r>
      <w:r>
        <w:t xml:space="preserve">⊕ † —</w:t>
      </w:r>
      <w:r>
        <w:t xml:space="preserve"> </w:t>
      </w:r>
      <w:r>
        <w:rPr>
          <w:bCs/>
          <w:b/>
        </w:rPr>
        <w:t xml:space="preserve">the traceability spine. Recall resolution is a query over this table and nothing else.</w:t>
      </w:r>
      <w:r>
        <w:t xml:space="preserve"> </w:t>
      </w:r>
      <w:r>
        <w:t xml:space="preserve">Carries encounter, prescription (nullable — OTC dispensing exists), patient,</w:t>
      </w:r>
      <w:r>
        <w:t xml:space="preserve"> </w:t>
      </w:r>
      <w:r>
        <w:rPr>
          <w:rStyle w:val="VerbatimChar"/>
          <w:bCs/>
          <w:b/>
        </w:rPr>
        <w:t xml:space="preserve">owner_id_at_dispense</w:t>
      </w:r>
      <w:r>
        <w:rPr>
          <w:bCs/>
          <w:b/>
        </w:rPr>
        <w:t xml:space="preserve"> </w:t>
      </w:r>
      <w:r>
        <w:rPr>
          <w:bCs/>
          <w:b/>
        </w:rPr>
        <w:t xml:space="preserve">denormalised deliberately, because a recall contact must reach whoever held the animal</w:t>
      </w:r>
      <w:r>
        <w:rPr>
          <w:bCs/>
          <w:b/>
        </w:rPr>
        <w:t xml:space="preserve"> </w:t>
      </w:r>
      <w:r>
        <w:rPr>
          <w:iCs/>
          <w:i/>
          <w:bCs/>
          <w:b/>
        </w:rPr>
        <w:t xml:space="preserve">then</w:t>
      </w:r>
      <w:r>
        <w:t xml:space="preserve">, product, batch, serial,</w:t>
      </w:r>
      <w:r>
        <w:t xml:space="preserve"> </w:t>
      </w:r>
      <w:r>
        <w:rPr>
          <w:bCs/>
          <w:b/>
        </w:rPr>
        <w:t xml:space="preserve">the exact scanned DataMatrix string retained verbatim as the evidence</w:t>
      </w:r>
      <w:r>
        <w:t xml:space="preserve">, quantity, dispenser and the licence-gate reference.</w:t>
      </w:r>
    </w:p>
    <w:p>
      <w:pPr>
        <w:pStyle w:val="BodyText"/>
      </w:pPr>
      <w:r>
        <w:rPr>
          <w:rStyle w:val="VerbatimChar"/>
          <w:bCs/>
          <w:b/>
        </w:rPr>
        <w:t xml:space="preserve">RecallNotice</w:t>
      </w:r>
      <w:r>
        <w:t xml:space="preserve"> </w:t>
      </w:r>
      <w:r>
        <w:t xml:space="preserve">(global) with tenant-scoped</w:t>
      </w:r>
      <w:r>
        <w:t xml:space="preserve"> </w:t>
      </w:r>
      <w:r>
        <w:rPr>
          <w:rStyle w:val="VerbatimChar"/>
          <w:bCs/>
          <w:b/>
        </w:rPr>
        <w:t xml:space="preserve">RecallImpact</w:t>
      </w:r>
      <w:r>
        <w:t xml:space="preserve"> </w:t>
      </w:r>
      <w:r>
        <w:t xml:space="preserve">children carrying notification state, channel, timestamps and acknowledgement.</w:t>
      </w:r>
      <w:r>
        <w:t xml:space="preserve"> </w:t>
      </w:r>
      <w:r>
        <w:rPr>
          <w:rStyle w:val="VerbatimChar"/>
        </w:rPr>
        <w:t xml:space="preserve">R-117</w:t>
      </w:r>
      <w:r>
        <w:t xml:space="preserve"> </w:t>
      </w:r>
      <w:r>
        <w:t xml:space="preserve">is satisfiable in one join</w:t>
      </w:r>
      <w:r>
        <w:t xml:space="preserve"> </w:t>
      </w:r>
      <w:r>
        <w:rPr>
          <w:bCs/>
          <w:b/>
        </w:rPr>
        <w:t xml:space="preserve">precisely because</w:t>
      </w:r>
      <w:r>
        <w:rPr>
          <w:bCs/>
          <w:b/>
        </w:rPr>
        <w:t xml:space="preserve"> </w:t>
      </w:r>
      <w:r>
        <w:rPr>
          <w:rStyle w:val="VerbatimChar"/>
          <w:bCs/>
          <w:b/>
        </w:rPr>
        <w:t xml:space="preserve">DispenseEvent</w:t>
      </w:r>
      <w:r>
        <w:rPr>
          <w:bCs/>
          <w:b/>
        </w:rPr>
        <w:t xml:space="preserve"> </w:t>
      </w:r>
      <w:r>
        <w:rPr>
          <w:bCs/>
          <w:b/>
        </w:rPr>
        <w:t xml:space="preserve">denormalises the owner.</w:t>
      </w:r>
    </w:p>
    <w:p>
      <w:pPr>
        <w:pStyle w:val="BodyText"/>
      </w:pPr>
      <w:r>
        <w:rPr>
          <w:rStyle w:val="VerbatimChar"/>
          <w:bCs/>
          <w:b/>
        </w:rPr>
        <w:t xml:space="preserve">Prescription</w:t>
      </w:r>
      <w:r>
        <w:t xml:space="preserve"> </w:t>
      </w:r>
      <w:r>
        <w:t xml:space="preserve">† — with</w:t>
      </w:r>
      <w:r>
        <w:t xml:space="preserve"> </w:t>
      </w:r>
      <w:r>
        <w:rPr>
          <w:rStyle w:val="VerbatimChar"/>
        </w:rPr>
        <w:t xml:space="preserve">indication_problem_code_id</w:t>
      </w:r>
      <w:r>
        <w:t xml:space="preserve"> </w:t>
      </w:r>
      <w:r>
        <w:rPr>
          <w:bCs/>
          <w:b/>
        </w:rPr>
        <w:t xml:space="preserve">mandatory for antimicrobial classes</w:t>
      </w:r>
      <w:r>
        <w:t xml:space="preserve">, and a reference to:</w:t>
      </w:r>
    </w:p>
    <w:p>
      <w:pPr>
        <w:pStyle w:val="BodyText"/>
      </w:pPr>
      <w:r>
        <w:rPr>
          <w:rStyle w:val="VerbatimChar"/>
          <w:bCs/>
          <w:b/>
        </w:rPr>
        <w:t xml:space="preserve">PrescribingGate</w:t>
      </w:r>
      <w:r>
        <w:t xml:space="preserve"> </w:t>
      </w:r>
      <w:r>
        <w:t xml:space="preserve">⊕ † — the recorded evaluation of the remote-prescribing constraint: product class flags, whether physical examination is required,</w:t>
      </w:r>
      <w:r>
        <w:t xml:space="preserve"> </w:t>
      </w:r>
      <w:r>
        <w:rPr>
          <w:bCs/>
          <w:b/>
        </w:rPr>
        <w:t xml:space="preserve">the window value read from</w:t>
      </w:r>
      <w:r>
        <w:rPr>
          <w:bCs/>
          <w:b/>
        </w:rPr>
        <w:t xml:space="preserve"> </w:t>
      </w:r>
      <w:r>
        <w:rPr>
          <w:rStyle w:val="VerbatimChar"/>
          <w:bCs/>
          <w:b/>
        </w:rPr>
        <w:t xml:space="preserve">ClinicalPolicy</w:t>
      </w:r>
      <w:r>
        <w:rPr>
          <w:bCs/>
          <w:b/>
        </w:rPr>
        <w:t xml:space="preserve"> </w:t>
      </w:r>
      <w:r>
        <w:rPr>
          <w:bCs/>
          <w:b/>
        </w:rPr>
        <w:t xml:space="preserve">and never a literal</w:t>
      </w:r>
      <w:r>
        <w:t xml:space="preserve">, the qualifying in-person encounter relied upon and its examination timestamp, the decision, and any override with its reason and author.</w:t>
      </w:r>
    </w:p>
    <w:p>
      <w:pPr>
        <w:pStyle w:val="BodyText"/>
      </w:pPr>
      <w:r>
        <w:rPr>
          <w:rStyle w:val="VerbatimChar"/>
          <w:bCs/>
          <w:b/>
        </w:rPr>
        <w:t xml:space="preserve">ClinicalPolicy</w:t>
      </w:r>
      <w:r>
        <w:t xml:space="preserve"> </w:t>
      </w:r>
      <w:r>
        <w:t xml:space="preserve">† —</w:t>
      </w:r>
      <w:r>
        <w:t xml:space="preserve"> </w:t>
      </w:r>
      <w:r>
        <w:rPr>
          <w:bCs/>
          <w:b/>
        </w:rPr>
        <w:t xml:space="preserve">the single home for every configurable clinical constant</w:t>
      </w:r>
      <w:r>
        <w:t xml:space="preserve">: physical-examination window, whether prescribing override is permitted, controlled-substance dual sign-off, registration staleness window, notifiable report SLA hours.</w:t>
      </w:r>
      <w:r>
        <w:t xml:space="preserve"> </w:t>
      </w:r>
      <w:r>
        <w:rPr>
          <w:bCs/>
          <w:b/>
        </w:rPr>
        <w:t xml:space="preserve">Versioned, with each version's effective period recorded, so a past decision can be re-evaluated against the policy that was live at the time.</w:t>
      </w:r>
    </w:p>
    <w:bookmarkEnd w:id="107"/>
    <w:bookmarkStart w:id="108" w:name="notifiable-disease"/>
    <w:p>
      <w:pPr>
        <w:pStyle w:val="Heading3"/>
      </w:pPr>
      <w:r>
        <w:t xml:space="preserve">Notifiable disease</w:t>
      </w:r>
    </w:p>
    <w:p>
      <w:pPr>
        <w:pStyle w:val="FirstParagraph"/>
      </w:pPr>
      <w:r>
        <w:rPr>
          <w:rStyle w:val="VerbatimChar"/>
          <w:bCs/>
          <w:b/>
        </w:rPr>
        <w:t xml:space="preserve">NotifiableDiseaseReport</w:t>
      </w:r>
      <w:r>
        <w:t xml:space="preserve"> </w:t>
      </w:r>
      <w:r>
        <w:t xml:space="preserve">⊕ † — trigger source, disease code, patient, encounter,</w:t>
      </w:r>
      <w:r>
        <w:t xml:space="preserve"> </w:t>
      </w:r>
      <w:r>
        <w:rPr>
          <w:bCs/>
          <w:b/>
        </w:rPr>
        <w:t xml:space="preserve">owner name, address and phone captured as immutable snapshots rather than foreign keys</w:t>
      </w:r>
      <w:r>
        <w:t xml:space="preserve"> </w:t>
      </w:r>
      <w:r>
        <w:t xml:space="preserve">— because the report as submitted is the evidence, must not drift when the owner record changes, and must survive an owner-erasure suppression. Plus site, detection timestamp,</w:t>
      </w:r>
      <w:r>
        <w:t xml:space="preserve"> </w:t>
      </w:r>
      <w:r>
        <w:rPr>
          <w:rStyle w:val="VerbatimChar"/>
          <w:bCs/>
          <w:b/>
        </w:rPr>
        <w:t xml:space="preserve">duty_deadline_at</w:t>
      </w:r>
      <w:r>
        <w:rPr>
          <w:bCs/>
          <w:b/>
        </w:rPr>
        <w:t xml:space="preserve"> </w:t>
      </w:r>
      <w:r>
        <w:rPr>
          <w:bCs/>
          <w:b/>
        </w:rPr>
        <w:t xml:space="preserve">= detection + SLA hours</w:t>
      </w:r>
      <w:r>
        <w:t xml:space="preserve">, submission timestamp, channel, reference, state, and the evidence document.</w:t>
      </w:r>
    </w:p>
    <w:p>
      <w:pPr>
        <w:pStyle w:val="BodyText"/>
      </w:pPr>
      <w:r>
        <w:rPr>
          <w:rStyle w:val="VerbatimChar"/>
          <w:bCs/>
          <w:b/>
        </w:rPr>
        <w:t xml:space="preserve">M-007</w:t>
      </w:r>
      <w:r>
        <w:rPr>
          <w:bCs/>
          <w:b/>
        </w:rPr>
        <w:t xml:space="preserve"> </w:t>
      </w:r>
      <w:r>
        <w:rPr>
          <w:bCs/>
          <w:b/>
        </w:rPr>
        <w:t xml:space="preserve">— The 24-hour duty is modelled as a deadline column with an escalating alarm, not as a notification preference.</w:t>
      </w:r>
      <w:r>
        <w:t xml:space="preserve"> </w:t>
      </w:r>
      <w:r>
        <w:t xml:space="preserve">A report still pending at deadline minus four hours pages the practice manager; at deadline it becomes a tenant-visible compliance-breach record.</w:t>
      </w:r>
    </w:p>
    <w:bookmarkEnd w:id="108"/>
    <w:bookmarkStart w:id="109" w:name="commercial"/>
    <w:p>
      <w:pPr>
        <w:pStyle w:val="Heading3"/>
      </w:pPr>
      <w:r>
        <w:t xml:space="preserve">Commercial</w:t>
      </w:r>
    </w:p>
    <w:p>
      <w:pPr>
        <w:pStyle w:val="FirstParagraph"/>
      </w:pPr>
      <w:r>
        <w:rPr>
          <w:rStyle w:val="VerbatimChar"/>
          <w:bCs/>
          <w:b/>
        </w:rPr>
        <w:t xml:space="preserve">Invoice</w:t>
      </w:r>
      <w:r>
        <w:t xml:space="preserve"> </w:t>
      </w:r>
      <w:r>
        <w:t xml:space="preserve">† (append-only after issue) — device, site, encounter, owner, invoice type, document type,</w:t>
      </w:r>
      <w:r>
        <w:t xml:space="preserve"> </w:t>
      </w:r>
      <w:r>
        <w:rPr>
          <w:bCs/>
          <w:b/>
        </w:rPr>
        <w:t xml:space="preserve">UUID, invoice counter value (monotonic per device, never reset), previous-invoice hash, invoice hash</w:t>
      </w:r>
      <w:r>
        <w:t xml:space="preserve">, issue datetime, Hijri display date, currency, line items, totals, the XML object reference in retention-locked storage, the QR payload, ZATCA state, cleared XML reference, warnings and last error.</w:t>
      </w:r>
      <w:r>
        <w:t xml:space="preserve"> </w:t>
      </w:r>
      <w:r>
        <w:rPr>
          <w:rStyle w:val="VerbatimChar"/>
          <w:bCs/>
          <w:b/>
        </w:rPr>
        <w:t xml:space="preserve">M-008</w:t>
      </w:r>
      <w:r>
        <w:rPr>
          <w:bCs/>
          <w:b/>
        </w:rPr>
        <w:t xml:space="preserve"> </w:t>
      </w:r>
      <w:r>
        <w:rPr>
          <w:bCs/>
          <w:b/>
        </w:rPr>
        <w:t xml:space="preserve">— Invoices are immutable after issue. A correction is a credit note with its own UUID and its own counter value</w:t>
      </w:r>
      <w:r>
        <w:t xml:space="preserve"> </w:t>
      </w:r>
      <w:r>
        <w:t xml:space="preserve">— which is also what ZATCA requires, since altering or deleting an issued invoice is a prohibited solution function.</w:t>
      </w:r>
    </w:p>
    <w:p>
      <w:pPr>
        <w:pStyle w:val="BodyText"/>
      </w:pPr>
      <w:r>
        <w:rPr>
          <w:rStyle w:val="VerbatimChar"/>
          <w:bCs/>
          <w:b/>
        </w:rPr>
        <w:t xml:space="preserve">InvoiceSubmission</w:t>
      </w:r>
      <w:r>
        <w:t xml:space="preserve"> </w:t>
      </w:r>
      <w:r>
        <w:t xml:space="preserve">⊕ † — one row per ZATCA API attempt with endpoint, attempt number, request hash, status, response reference, warnings, timing and next retry.</w:t>
      </w:r>
      <w:r>
        <w:t xml:space="preserve"> </w:t>
      </w:r>
      <w:r>
        <w:rPr>
          <w:bCs/>
          <w:b/>
        </w:rPr>
        <w:t xml:space="preserve">This table</w:t>
      </w:r>
      <w:r>
        <w:rPr>
          <w:bCs/>
          <w:b/>
        </w:rPr>
        <w:t xml:space="preserve"> </w:t>
      </w:r>
      <w:r>
        <w:rPr>
          <w:iCs/>
          <w:i/>
          <w:bCs/>
          <w:b/>
        </w:rPr>
        <w:t xml:space="preserve">is</w:t>
      </w:r>
      <w:r>
        <w:rPr>
          <w:bCs/>
          <w:b/>
        </w:rPr>
        <w:t xml:space="preserve"> </w:t>
      </w:r>
      <w:r>
        <w:rPr>
          <w:bCs/>
          <w:b/>
        </w:rPr>
        <w:t xml:space="preserve">the compliance evidence for "we tried". Without it, an outage is indistinguishable from negligence.</w:t>
      </w:r>
    </w:p>
    <w:p>
      <w:pPr>
        <w:pStyle w:val="BodyText"/>
      </w:pPr>
      <w:r>
        <w:rPr>
          <w:rStyle w:val="VerbatimChar"/>
          <w:bCs/>
          <w:b/>
        </w:rPr>
        <w:t xml:space="preserve">Payment</w:t>
      </w:r>
      <w:r>
        <w:t xml:space="preserve"> </w:t>
      </w:r>
      <w:r>
        <w:t xml:space="preserve">† —</w:t>
      </w:r>
      <w:r>
        <w:t xml:space="preserve"> </w:t>
      </w:r>
      <w:r>
        <w:rPr>
          <w:bCs/>
          <w:b/>
        </w:rPr>
        <w:t xml:space="preserve">no PAN, no CVV, no expiry, no cardholder name. Only the payment-service token and reference.</w:t>
      </w:r>
    </w:p>
    <w:p>
      <w:pPr>
        <w:pStyle w:val="BodyText"/>
      </w:pPr>
      <w:r>
        <w:rPr>
          <w:rStyle w:val="VerbatimChar"/>
          <w:bCs/>
          <w:b/>
        </w:rPr>
        <w:t xml:space="preserve">Settlement</w:t>
      </w:r>
      <w:r>
        <w:t xml:space="preserve"> </w:t>
      </w:r>
      <w:r>
        <w:t xml:space="preserve">† — present because the legacy model's absence of it meant no clinic could ever reconcile a bank deposit against invoices, which is a business-fatal gap.</w:t>
      </w:r>
    </w:p>
    <w:bookmarkEnd w:id="109"/>
    <w:bookmarkStart w:id="110" w:name="pdpl-infrastructure"/>
    <w:p>
      <w:pPr>
        <w:pStyle w:val="Heading3"/>
      </w:pPr>
      <w:r>
        <w:t xml:space="preserve">PDPL infrastructure</w:t>
      </w:r>
    </w:p>
    <w:p>
      <w:pPr>
        <w:pStyle w:val="FirstParagraph"/>
      </w:pPr>
      <w:r>
        <w:rPr>
          <w:rStyle w:val="VerbatimChar"/>
          <w:bCs/>
          <w:b/>
        </w:rPr>
        <w:t xml:space="preserve">ConsentPurpose</w:t>
      </w:r>
      <w:r>
        <w:t xml:space="preserve"> </w:t>
      </w:r>
      <w:r>
        <w:t xml:space="preserve">(global) — the registry: clinical care, teleconsultation recording, SMS reminders, marketing, secondary research use, photo use — each with its lawful basis, withdrawability, and</w:t>
      </w:r>
      <w:r>
        <w:t xml:space="preserve"> </w:t>
      </w:r>
      <w:r>
        <w:rPr>
          <w:bCs/>
          <w:b/>
        </w:rPr>
        <w:t xml:space="preserve">which features stop on withdrawal</w:t>
      </w:r>
      <w:r>
        <w:t xml:space="preserve">.</w:t>
      </w:r>
    </w:p>
    <w:p>
      <w:pPr>
        <w:pStyle w:val="BodyText"/>
      </w:pPr>
      <w:r>
        <w:rPr>
          <w:rStyle w:val="VerbatimChar"/>
          <w:bCs/>
          <w:b/>
        </w:rPr>
        <w:t xml:space="preserve">ConsentNoticeVersion</w:t>
      </w:r>
      <w:r>
        <w:t xml:space="preserve"> </w:t>
      </w:r>
      <w:r>
        <w:t xml:space="preserve">(global) — the exact wording shown, retained with its hash,</w:t>
      </w:r>
      <w:r>
        <w:t xml:space="preserve"> </w:t>
      </w:r>
      <w:r>
        <w:rPr>
          <w:bCs/>
          <w:b/>
        </w:rPr>
        <w:t xml:space="preserve">so a 2029 challenge can be answered with the 2026 text.</w:t>
      </w:r>
    </w:p>
    <w:p>
      <w:pPr>
        <w:pStyle w:val="BodyText"/>
      </w:pPr>
      <w:r>
        <w:rPr>
          <w:rStyle w:val="VerbatimChar"/>
          <w:bCs/>
          <w:b/>
        </w:rPr>
        <w:t xml:space="preserve">ConsentGrant</w:t>
      </w:r>
      <w:r>
        <w:t xml:space="preserve"> </w:t>
      </w:r>
      <w:r>
        <w:t xml:space="preserve">⊕ † and</w:t>
      </w:r>
      <w:r>
        <w:t xml:space="preserve"> </w:t>
      </w:r>
      <w:r>
        <w:rPr>
          <w:rStyle w:val="VerbatimChar"/>
          <w:bCs/>
          <w:b/>
        </w:rPr>
        <w:t xml:space="preserve">ConsentWithdrawal</w:t>
      </w:r>
      <w:r>
        <w:t xml:space="preserve"> </w:t>
      </w:r>
      <w:r>
        <w:t xml:space="preserve">⊕ † — with capture channel, capturing staff member, and evidence reference.</w:t>
      </w:r>
    </w:p>
    <w:p>
      <w:pPr>
        <w:pStyle w:val="BodyText"/>
      </w:pPr>
      <w:r>
        <w:rPr>
          <w:rStyle w:val="VerbatimChar"/>
          <w:bCs/>
          <w:b/>
        </w:rPr>
        <w:t xml:space="preserve">M-009</w:t>
      </w:r>
      <w:r>
        <w:rPr>
          <w:bCs/>
          <w:b/>
        </w:rPr>
        <w:t xml:space="preserve"> </w:t>
      </w:r>
      <w:r>
        <w:rPr>
          <w:bCs/>
          <w:b/>
        </w:rPr>
        <w:t xml:space="preserve">— Effective consent is a view, never a column.</w:t>
      </w:r>
      <w:r>
        <w:t xml:space="preserve"> </w:t>
      </w:r>
      <w:r>
        <w:t xml:space="preserve">There is no</w:t>
      </w:r>
      <w:r>
        <w:t xml:space="preserve"> </w:t>
      </w:r>
      <w:r>
        <w:rPr>
          <w:rStyle w:val="VerbatimChar"/>
        </w:rPr>
        <w:t xml:space="preserve">owner.marketing_ok</w:t>
      </w:r>
      <w:r>
        <w:t xml:space="preserve"> </w:t>
      </w:r>
      <w:r>
        <w:t xml:space="preserve">boolean anywhere.</w:t>
      </w:r>
      <w:r>
        <w:t xml:space="preserve"> </w:t>
      </w:r>
      <w:r>
        <w:rPr>
          <w:bCs/>
          <w:b/>
        </w:rPr>
        <w:t xml:space="preserve">Each purpose is captured independently — a single "I agree" checkbox covering care, recording and marketing is not valid per-purpose consent.</w:t>
      </w:r>
    </w:p>
    <w:p>
      <w:pPr>
        <w:pStyle w:val="BodyText"/>
      </w:pPr>
      <w:r>
        <w:rPr>
          <w:rStyle w:val="VerbatimChar"/>
          <w:bCs/>
          <w:b/>
        </w:rPr>
        <w:t xml:space="preserve">M-010</w:t>
      </w:r>
      <w:r>
        <w:rPr>
          <w:bCs/>
          <w:b/>
        </w:rPr>
        <w:t xml:space="preserve"> </w:t>
      </w:r>
      <w:r>
        <w:rPr>
          <w:bCs/>
          <w:b/>
        </w:rPr>
        <w:t xml:space="preserve">— Consent-gated fields do not exist unconditionally.</w:t>
      </w:r>
      <w:r>
        <w:t xml:space="preserve"> </w:t>
      </w:r>
      <w:r>
        <w:t xml:space="preserve">The legacy model put a video-recording URL on the consultation row, which meant</w:t>
      </w:r>
      <w:r>
        <w:t xml:space="preserve"> </w:t>
      </w:r>
      <w:r>
        <w:rPr>
          <w:bCs/>
          <w:b/>
        </w:rPr>
        <w:t xml:space="preserve">the schema itself asserted a recording</w:t>
      </w:r>
      <w:r>
        <w:t xml:space="preserve">. Instead,</w:t>
      </w:r>
      <w:r>
        <w:t xml:space="preserve"> </w:t>
      </w:r>
      <w:r>
        <w:rPr>
          <w:rStyle w:val="VerbatimChar"/>
        </w:rPr>
        <w:t xml:space="preserve">EncounterRecording</w:t>
      </w:r>
      <w:r>
        <w:t xml:space="preserve"> </w:t>
      </w:r>
      <w:r>
        <w:t xml:space="preserve">† is a</w:t>
      </w:r>
      <w:r>
        <w:t xml:space="preserve"> </w:t>
      </w:r>
      <w:r>
        <w:rPr>
          <w:bCs/>
          <w:b/>
        </w:rPr>
        <w:t xml:space="preserve">separate table that only receives a row when effective consent exists at recording start</w:t>
      </w:r>
      <w:r>
        <w:t xml:space="preserve">, and it carries the consent grant as a non-nullable composite foreign key. No consent, no row, no storage object. Withdrawal sets a deletion-due timestamp and the object is purged by the retention worker.</w:t>
      </w:r>
    </w:p>
    <w:p>
      <w:pPr>
        <w:pStyle w:val="BodyText"/>
      </w:pPr>
      <w:r>
        <w:rPr>
          <w:rStyle w:val="VerbatimChar"/>
          <w:bCs/>
          <w:b/>
        </w:rPr>
        <w:t xml:space="preserve">RetentionPolicy</w:t>
      </w:r>
      <w:r>
        <w:t xml:space="preserve"> </w:t>
      </w:r>
      <w:r>
        <w:t xml:space="preserve">† — per record class, with</w:t>
      </w:r>
      <w:r>
        <w:t xml:space="preserve"> </w:t>
      </w:r>
      <w:r>
        <w:rPr>
          <w:rStyle w:val="VerbatimChar"/>
          <w:bCs/>
          <w:b/>
        </w:rPr>
        <w:t xml:space="preserve">retention_period_months</w:t>
      </w:r>
      <w:r>
        <w:rPr>
          <w:bCs/>
          <w:b/>
        </w:rPr>
        <w:t xml:space="preserve"> </w:t>
      </w:r>
      <w:r>
        <w:rPr>
          <w:bCs/>
          <w:b/>
        </w:rPr>
        <w:t xml:space="preserve">nullable, where NULL means indefinite hold, and NULL is the default for every clinical class</w:t>
      </w:r>
      <w:r>
        <w:t xml:space="preserve"> </w:t>
      </w:r>
      <w:r>
        <w:t xml:space="preserve">— because no located KSA instrument states a period. Invoices default to the VAT and e-invoicing archival obligation.</w:t>
      </w:r>
      <w:r>
        <w:t xml:space="preserve"> </w:t>
      </w:r>
      <w:r>
        <w:rPr>
          <w:bCs/>
          <w:b/>
        </w:rPr>
        <w:t xml:space="preserve">The clinic's DPO sets a value and records their basis; the platform never guesses.</w:t>
      </w:r>
    </w:p>
    <w:p>
      <w:pPr>
        <w:pStyle w:val="BodyText"/>
      </w:pPr>
      <w:r>
        <w:rPr>
          <w:rStyle w:val="VerbatimChar"/>
          <w:bCs/>
          <w:b/>
        </w:rPr>
        <w:t xml:space="preserve">RetentionHold</w:t>
      </w:r>
      <w:r>
        <w:t xml:space="preserve"> </w:t>
      </w:r>
      <w:r>
        <w:t xml:space="preserve">† — reason (legal claim, regulatory investigation, insurance dispute, MEWA inspection, recall), who placed it, when, expected release.</w:t>
      </w:r>
      <w:r>
        <w:t xml:space="preserve"> </w:t>
      </w:r>
      <w:r>
        <w:rPr>
          <w:bCs/>
          <w:b/>
        </w:rPr>
        <w:t xml:space="preserve">A hold beats every erasure path.</w:t>
      </w:r>
    </w:p>
    <w:p>
      <w:pPr>
        <w:pStyle w:val="BodyText"/>
      </w:pPr>
      <w:r>
        <w:rPr>
          <w:rStyle w:val="VerbatimChar"/>
          <w:bCs/>
          <w:b/>
        </w:rPr>
        <w:t xml:space="preserve">DataSubjectRequest</w:t>
      </w:r>
      <w:r>
        <w:t xml:space="preserve"> </w:t>
      </w:r>
      <w:r>
        <w:t xml:space="preserve">† — with</w:t>
      </w:r>
      <w:r>
        <w:t xml:space="preserve"> </w:t>
      </w:r>
      <w:r>
        <w:rPr>
          <w:rStyle w:val="VerbatimChar"/>
        </w:rPr>
        <w:t xml:space="preserve">due_at</w:t>
      </w:r>
      <w:r>
        <w:t xml:space="preserve"> </w:t>
      </w:r>
      <w:r>
        <w:t xml:space="preserve">= received + 30 days and an extension with a recorded reason.</w:t>
      </w:r>
    </w:p>
    <w:p>
      <w:pPr>
        <w:pStyle w:val="BodyText"/>
      </w:pPr>
      <w:r>
        <w:rPr>
          <w:rStyle w:val="VerbatimChar"/>
          <w:bCs/>
          <w:b/>
        </w:rPr>
        <w:t xml:space="preserve">ErasureDecision</w:t>
      </w:r>
      <w:r>
        <w:t xml:space="preserve"> </w:t>
      </w:r>
      <w:r>
        <w:t xml:space="preserve">⊕ † — one row per record class per request: outcome (</w:t>
      </w:r>
      <w:r>
        <w:rPr>
          <w:rStyle w:val="VerbatimChar"/>
        </w:rPr>
        <w:t xml:space="preserve">erased | suppressed | refused</w:t>
      </w:r>
      <w:r>
        <w:t xml:space="preserve">),</w:t>
      </w:r>
      <w:r>
        <w:t xml:space="preserve"> </w:t>
      </w:r>
      <w:r>
        <w:rPr>
          <w:rStyle w:val="VerbatimChar"/>
          <w:bCs/>
          <w:b/>
        </w:rPr>
        <w:t xml:space="preserve">legal_ground</w:t>
      </w:r>
      <w:r>
        <w:rPr>
          <w:bCs/>
          <w:b/>
        </w:rPr>
        <w:t xml:space="preserve"> </w:t>
      </w:r>
      <w:r>
        <w:rPr>
          <w:bCs/>
          <w:b/>
        </w:rPr>
        <w:t xml:space="preserve">required whenever the outcome is not erasure</w:t>
      </w:r>
      <w:r>
        <w:t xml:space="preserve">, ground citation, decider and timestamp.</w:t>
      </w:r>
      <w:r>
        <w:t xml:space="preserve"> </w:t>
      </w:r>
      <w:r>
        <w:rPr>
          <w:bCs/>
          <w:b/>
        </w:rPr>
        <w:t xml:space="preserve">This is the entity that makes</w:t>
      </w:r>
      <w:r>
        <w:rPr>
          <w:bCs/>
          <w:b/>
        </w:rPr>
        <w:t xml:space="preserve"> </w:t>
      </w:r>
      <w:r>
        <w:rPr>
          <w:rStyle w:val="VerbatimChar"/>
          <w:bCs/>
          <w:b/>
        </w:rPr>
        <w:t xml:space="preserve">R-125</w:t>
      </w:r>
      <w:r>
        <w:rPr>
          <w:bCs/>
          <w:b/>
        </w:rPr>
        <w:t xml:space="preserve"> </w:t>
      </w:r>
      <w:r>
        <w:rPr>
          <w:bCs/>
          <w:b/>
        </w:rPr>
        <w:t xml:space="preserve">real rather than aspirational.</w:t>
      </w:r>
      <w:r>
        <w:t xml:space="preserve"> </w:t>
      </w:r>
      <w:r>
        <w:t xml:space="preserve">Erasure of an owner sets status to suppressed: personal data is redacted from operational surfaces;</w:t>
      </w:r>
      <w:r>
        <w:t xml:space="preserve"> </w:t>
      </w:r>
      <w:r>
        <w:rPr>
          <w:bCs/>
          <w:b/>
        </w:rPr>
        <w:t xml:space="preserve">notifiable-disease report snapshots and invoice XML are untouched because they are statutory</w:t>
      </w:r>
      <w:r>
        <w:t xml:space="preserve">; and every refusal is a row an auditor can read.</w:t>
      </w:r>
    </w:p>
    <w:bookmarkEnd w:id="110"/>
    <w:bookmarkEnd w:id="111"/>
    <w:bookmarkStart w:id="112" w:name="s74-derived-views-not-columns"/>
    <w:p>
      <w:pPr>
        <w:pStyle w:val="Heading2"/>
      </w:pPr>
      <w:r>
        <w:t xml:space="preserve">S7.4 Derived views, not columns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View</w:t>
            </w:r>
          </w:p>
        </w:tc>
        <w:tc>
          <w:tcPr/>
          <w:p>
            <w:pPr>
              <w:pStyle w:val="Compact"/>
              <w:jc w:val="left"/>
            </w:pPr>
            <w:r>
              <w:t xml:space="preserve">Replaces the anti-pattern</w:t>
            </w:r>
          </w:p>
        </w:tc>
      </w:tr>
      <w:tr>
        <w:tc>
          <w:tcPr/>
          <w:p>
            <w:pPr>
              <w:pStyle w:val="Compact"/>
              <w:jc w:val="left"/>
            </w:pPr>
            <w:r>
              <w:rPr>
                <w:rStyle w:val="VerbatimChar"/>
              </w:rPr>
              <w:t xml:space="preserve">v_consent_effective</w:t>
            </w:r>
          </w:p>
        </w:tc>
        <w:tc>
          <w:tcPr/>
          <w:p>
            <w:pPr>
              <w:pStyle w:val="Compact"/>
              <w:jc w:val="left"/>
            </w:pPr>
            <w:r>
              <w:rPr>
                <w:rStyle w:val="VerbatimChar"/>
              </w:rPr>
              <w:t xml:space="preserve">owner.marketing_ok</w:t>
            </w:r>
            <w:r>
              <w:t xml:space="preserve"> </w:t>
            </w:r>
            <w:r>
              <w:t xml:space="preserve">boolean</w:t>
            </w:r>
          </w:p>
        </w:tc>
      </w:tr>
      <w:tr>
        <w:tc>
          <w:tcPr/>
          <w:p>
            <w:pPr>
              <w:pStyle w:val="Compact"/>
              <w:jc w:val="left"/>
            </w:pPr>
            <w:r>
              <w:rPr>
                <w:rStyle w:val="VerbatimChar"/>
              </w:rPr>
              <w:t xml:space="preserve">v_licence_effective</w:t>
            </w:r>
          </w:p>
        </w:tc>
        <w:tc>
          <w:tcPr/>
          <w:p>
            <w:pPr>
              <w:pStyle w:val="Compact"/>
              <w:jc w:val="left"/>
            </w:pPr>
            <w:r>
              <w:rPr>
                <w:rStyle w:val="VerbatimChar"/>
              </w:rPr>
              <w:t xml:space="preserve">practitioner.licence_valid</w:t>
            </w:r>
            <w:r>
              <w:t xml:space="preserve"> </w:t>
            </w:r>
            <w:r>
              <w:t xml:space="preserve">boolean</w:t>
            </w:r>
          </w:p>
        </w:tc>
      </w:tr>
      <w:tr>
        <w:tc>
          <w:tcPr/>
          <w:p>
            <w:pPr>
              <w:pStyle w:val="Compact"/>
              <w:jc w:val="left"/>
            </w:pPr>
            <w:r>
              <w:rPr>
                <w:rStyle w:val="VerbatimChar"/>
              </w:rPr>
              <w:t xml:space="preserve">v_record_retention_state</w:t>
            </w:r>
          </w:p>
        </w:tc>
        <w:tc>
          <w:tcPr/>
          <w:p>
            <w:pPr>
              <w:pStyle w:val="Compact"/>
              <w:jc w:val="left"/>
            </w:pPr>
            <w:r>
              <w:t xml:space="preserve">an ad-hoc deletion cron</w:t>
            </w:r>
          </w:p>
        </w:tc>
      </w:tr>
      <w:tr>
        <w:tc>
          <w:tcPr/>
          <w:p>
            <w:pPr>
              <w:pStyle w:val="Compact"/>
              <w:jc w:val="left"/>
            </w:pPr>
            <w:r>
              <w:rPr>
                <w:rStyle w:val="VerbatimChar"/>
              </w:rPr>
              <w:t xml:space="preserve">v_recall_exposure</w:t>
            </w:r>
          </w:p>
        </w:tc>
        <w:tc>
          <w:tcPr/>
          <w:p>
            <w:pPr>
              <w:pStyle w:val="Compact"/>
              <w:jc w:val="left"/>
            </w:pPr>
            <w:r>
              <w:t xml:space="preserve">a manual spreadsheet chase</w:t>
            </w:r>
          </w:p>
        </w:tc>
      </w:tr>
      <w:tr>
        <w:tc>
          <w:tcPr/>
          <w:p>
            <w:pPr>
              <w:pStyle w:val="Compact"/>
              <w:jc w:val="left"/>
            </w:pPr>
            <w:r>
              <w:rPr>
                <w:rStyle w:val="VerbatimChar"/>
              </w:rPr>
              <w:t xml:space="preserve">v_zatca_compliance_posture</w:t>
            </w:r>
          </w:p>
        </w:tc>
        <w:tc>
          <w:tcPr/>
          <w:p>
            <w:pPr>
              <w:pStyle w:val="Compact"/>
              <w:jc w:val="left"/>
            </w:pPr>
            <w:r>
              <w:rPr>
                <w:iCs/>
                <w:i/>
              </w:rPr>
              <w:t xml:space="preserve">"we think we're compliant"</w:t>
            </w:r>
          </w:p>
        </w:tc>
      </w:tr>
    </w:tbl>
    <w:bookmarkEnd w:id="112"/>
    <w:bookmarkStart w:id="113" w:name="s75-the-snapshot-versus-reference-rule"/>
    <w:p>
      <w:pPr>
        <w:pStyle w:val="Heading2"/>
      </w:pPr>
      <w:r>
        <w:t xml:space="preserve">S7.5 The snapshot-versus-reference rule</w:t>
      </w:r>
    </w:p>
    <w:p>
      <w:pPr>
        <w:pStyle w:val="FirstParagraph"/>
      </w:pPr>
      <w:r>
        <w:rPr>
          <w:rStyle w:val="VerbatimChar"/>
          <w:bCs/>
          <w:b/>
        </w:rPr>
        <w:t xml:space="preserve">M-011</w:t>
      </w:r>
      <w:r>
        <w:rPr>
          <w:bCs/>
          <w:b/>
        </w:rPr>
        <w:t xml:space="preserve"> </w:t>
      </w:r>
      <w:r>
        <w:rPr>
          <w:bCs/>
          <w:b/>
        </w:rPr>
        <w:t xml:space="preserve">— Data constituting submitted evidence to a third party — Weqaa report contents, ZATCA invoice XML, consent notice text, licence status at gate time — is snapshotted immutably at the moment of submission. Data supporting current operations references live rows. Mixing these is how audit trails rot.</w:t>
      </w:r>
    </w:p>
    <w:bookmarkEnd w:id="113"/>
    <w:bookmarkStart w:id="114" w:name="s76-audit-and-evidence-architecture"/>
    <w:p>
      <w:pPr>
        <w:pStyle w:val="Heading2"/>
      </w:pPr>
      <w:r>
        <w:t xml:space="preserve">S7.6 Audit and evidence architecture</w:t>
      </w:r>
    </w:p>
    <w:p>
      <w:pPr>
        <w:pStyle w:val="FirstParagraph"/>
      </w:pPr>
      <w:r>
        <w:rPr>
          <w:rStyle w:val="VerbatimChar"/>
          <w:bCs/>
          <w:b/>
        </w:rPr>
        <w:t xml:space="preserve">M-012</w:t>
      </w:r>
      <w:r>
        <w:rPr>
          <w:bCs/>
          <w:b/>
        </w:rPr>
        <w:t xml:space="preserve"> </w:t>
      </w:r>
      <w:r>
        <w:rPr>
          <w:bCs/>
          <w:b/>
        </w:rPr>
        <w:t xml:space="preserve">— Append-only enforced three ways</w:t>
      </w:r>
      <w:r>
        <w:t xml:space="preserve">, on clinical notes, audit events, dispense events, consent grants and withdrawals, licence and prescribing gates, notifiable reports, invoice submissions and issued invoices: revoked update and delete grants · a</w:t>
      </w:r>
      <w:r>
        <w:t xml:space="preserve"> </w:t>
      </w:r>
      <w:r>
        <w:rPr>
          <w:rStyle w:val="VerbatimChar"/>
        </w:rPr>
        <w:t xml:space="preserve">BEFORE UPDATE OR DELETE</w:t>
      </w:r>
      <w:r>
        <w:t xml:space="preserve"> </w:t>
      </w:r>
      <w:r>
        <w:t xml:space="preserve">trigger that raises · and a build-breaking lint.</w:t>
      </w:r>
      <w:r>
        <w:t xml:space="preserve"> </w:t>
      </w:r>
      <w:r>
        <w:rPr>
          <w:bCs/>
          <w:b/>
        </w:rPr>
        <w:t xml:space="preserve">A vet's ability to "fix a typo" without leaving a trace is precisely what an inspector distrusts.</w:t>
      </w:r>
    </w:p>
    <w:p>
      <w:pPr>
        <w:pStyle w:val="BodyText"/>
      </w:pPr>
      <w:r>
        <w:rPr>
          <w:rStyle w:val="VerbatimChar"/>
          <w:bCs/>
          <w:b/>
        </w:rPr>
        <w:t xml:space="preserve">M-013</w:t>
      </w:r>
      <w:r>
        <w:rPr>
          <w:bCs/>
          <w:b/>
        </w:rPr>
        <w:t xml:space="preserve"> </w:t>
      </w:r>
      <w:r>
        <w:rPr>
          <w:bCs/>
          <w:b/>
        </w:rPr>
        <w:t xml:space="preserve">— Read events are audited.</w:t>
      </w:r>
      <w:r>
        <w:t xml:space="preserve"> </w:t>
      </w:r>
      <w:r>
        <w:t xml:space="preserve">Under PDPL,</w:t>
      </w:r>
      <w:r>
        <w:t xml:space="preserve"> </w:t>
      </w:r>
      <w:r>
        <w:rPr>
          <w:iCs/>
          <w:i/>
        </w:rPr>
        <w:t xml:space="preserve">"who looked at this owner's record"</w:t>
      </w:r>
      <w:r>
        <w:t xml:space="preserve"> </w:t>
      </w:r>
      <w:r>
        <w:t xml:space="preserve">is the question a data subject is most likely to ask, and it is the question the legacy model could not answer at all. Patient and owner record views are logged</w:t>
      </w:r>
      <w:r>
        <w:t xml:space="preserve"> </w:t>
      </w:r>
      <w:r>
        <w:rPr>
          <w:bCs/>
          <w:b/>
        </w:rPr>
        <w:t xml:space="preserve">with sampling disabled</w:t>
      </w:r>
      <w:r>
        <w:t xml:space="preserve">.</w:t>
      </w:r>
    </w:p>
    <w:p>
      <w:pPr>
        <w:pStyle w:val="BodyText"/>
      </w:pPr>
      <w:r>
        <w:rPr>
          <w:rStyle w:val="VerbatimChar"/>
          <w:bCs/>
          <w:b/>
        </w:rPr>
        <w:t xml:space="preserve">M-014</w:t>
      </w:r>
      <w:r>
        <w:rPr>
          <w:bCs/>
          <w:b/>
        </w:rPr>
        <w:t xml:space="preserve"> </w:t>
      </w:r>
      <w:r>
        <w:rPr>
          <w:bCs/>
          <w:b/>
        </w:rPr>
        <w:t xml:space="preserve">— The audit log stores a payload digest, not payload contents</w:t>
      </w:r>
      <w:r>
        <w:t xml:space="preserve"> </w:t>
      </w:r>
      <w:r>
        <w:t xml:space="preserve">— the audit log must not become a second unencrypted copy of the record. Verification of</w:t>
      </w:r>
      <w:r>
        <w:t xml:space="preserve"> </w:t>
      </w:r>
      <w:r>
        <w:rPr>
          <w:iCs/>
          <w:i/>
        </w:rPr>
        <w:t xml:space="preserve">"this note was not altered"</w:t>
      </w:r>
      <w:r>
        <w:t xml:space="preserve"> </w:t>
      </w:r>
      <w:r>
        <w:t xml:space="preserve">is: recompute the note's canonical hash, compare to the digest in the signing event, then walk the chain.</w:t>
      </w:r>
    </w:p>
    <w:p>
      <w:pPr>
        <w:pStyle w:val="BodyText"/>
      </w:pPr>
      <w:r>
        <w:rPr>
          <w:rStyle w:val="VerbatimChar"/>
          <w:bCs/>
          <w:b/>
        </w:rPr>
        <w:t xml:space="preserve">M-015</w:t>
      </w:r>
      <w:r>
        <w:rPr>
          <w:bCs/>
          <w:b/>
        </w:rPr>
        <w:t xml:space="preserve"> </w:t>
      </w:r>
      <w:r>
        <w:rPr>
          <w:bCs/>
          <w:b/>
        </w:rPr>
        <w:t xml:space="preserve">— Per-tenant hash chain, so one tenant's export is self-contained and verifiable without disclosing another tenant's existence.</w:t>
      </w:r>
      <w:r>
        <w:t xml:space="preserve"> </w:t>
      </w:r>
      <w:r>
        <w:t xml:space="preserve">The chain proves ordering and non-removal.</w:t>
      </w:r>
      <w:r>
        <w:t xml:space="preserve"> </w:t>
      </w:r>
      <w:r>
        <w:rPr>
          <w:bCs/>
          <w:b/>
        </w:rPr>
        <w:t xml:space="preserve">It does not prove time</w:t>
      </w:r>
      <w:r>
        <w:t xml:space="preserve"> </w:t>
      </w:r>
      <w:r>
        <w:t xml:space="preserve">— a party with database write access could rebuild a chain. Therefore:</w:t>
      </w:r>
    </w:p>
    <w:p>
      <w:pPr>
        <w:pStyle w:val="BodyText"/>
      </w:pPr>
      <w:r>
        <w:rPr>
          <w:rStyle w:val="VerbatimChar"/>
          <w:bCs/>
          <w:b/>
        </w:rPr>
        <w:t xml:space="preserve">M-016</w:t>
      </w:r>
      <w:r>
        <w:rPr>
          <w:bCs/>
          <w:b/>
        </w:rPr>
        <w:t xml:space="preserve"> </w:t>
      </w:r>
      <w:r>
        <w:rPr>
          <w:bCs/>
          <w:b/>
        </w:rPr>
        <w:t xml:space="preserve">— Daily anchoring is what makes it tamper-</w:t>
      </w:r>
      <w:r>
        <w:rPr>
          <w:iCs/>
          <w:i/>
          <w:bCs/>
          <w:b/>
        </w:rPr>
        <w:t xml:space="preserve">evident</w:t>
      </w:r>
      <w:r>
        <w:rPr>
          <w:bCs/>
          <w:b/>
        </w:rPr>
        <w:t xml:space="preserve"> </w:t>
      </w:r>
      <w:r>
        <w:rPr>
          <w:bCs/>
          <w:b/>
        </w:rPr>
        <w:t xml:space="preserve">rather than tamper-</w:t>
      </w:r>
      <w:r>
        <w:rPr>
          <w:iCs/>
          <w:i/>
          <w:bCs/>
          <w:b/>
        </w:rPr>
        <w:t xml:space="preserve">claimed</w:t>
      </w:r>
      <w:r>
        <w:rPr>
          <w:bCs/>
          <w:b/>
        </w:rPr>
        <w:t xml:space="preserve">.</w:t>
      </w:r>
      <w:r>
        <w:t xml:space="preserve"> </w:t>
      </w:r>
      <w:r>
        <w:t xml:space="preserve">Each night a job takes every tenant's chain head, builds a Merkle root, signs it with an asymmetric key whose private material the application role cannot use for anything else and cannot export, and writes the signed anchor to</w:t>
      </w:r>
      <w:r>
        <w:t xml:space="preserve"> </w:t>
      </w:r>
      <w:r>
        <w:rPr>
          <w:bCs/>
          <w:b/>
        </w:rPr>
        <w:t xml:space="preserve">(a)</w:t>
      </w:r>
      <w:r>
        <w:t xml:space="preserve"> </w:t>
      </w:r>
      <w:r>
        <w:t xml:space="preserve">a write-once bucket with a locked retention policy in</w:t>
      </w:r>
      <w:r>
        <w:t xml:space="preserve"> </w:t>
      </w:r>
      <w:r>
        <w:rPr>
          <w:rStyle w:val="VerbatimChar"/>
        </w:rPr>
        <w:t xml:space="preserve">me-central2</w:t>
      </w:r>
      <w:r>
        <w:t xml:space="preserve"> </w:t>
      </w:r>
      <w:r>
        <w:t xml:space="preserve">and</w:t>
      </w:r>
      <w:r>
        <w:t xml:space="preserve"> </w:t>
      </w:r>
      <w:r>
        <w:rPr>
          <w:bCs/>
          <w:b/>
        </w:rPr>
        <w:t xml:space="preserve">(b)</w:t>
      </w:r>
      <w:r>
        <w:t xml:space="preserve"> </w:t>
      </w:r>
      <w:r>
        <w:t xml:space="preserve">a separate cloud project with a distinct access boundary. To forge history an attacker must compromise the database</w:t>
      </w:r>
      <w:r>
        <w:t xml:space="preserve"> </w:t>
      </w:r>
      <w:r>
        <w:rPr>
          <w:bCs/>
          <w:b/>
        </w:rPr>
        <w:t xml:space="preserve">and</w:t>
      </w:r>
      <w:r>
        <w:t xml:space="preserve"> </w:t>
      </w:r>
      <w:r>
        <w:t xml:space="preserve">the signing key</w:t>
      </w:r>
      <w:r>
        <w:t xml:space="preserve"> </w:t>
      </w:r>
      <w:r>
        <w:rPr>
          <w:bCs/>
          <w:b/>
        </w:rPr>
        <w:t xml:space="preserve">and</w:t>
      </w:r>
      <w:r>
        <w:t xml:space="preserve"> </w:t>
      </w:r>
      <w:r>
        <w:t xml:space="preserve">the retention-locked bucket in a second project.</w:t>
      </w:r>
      <w:r>
        <w:t xml:space="preserve"> </w:t>
      </w:r>
      <w:r>
        <w:rPr>
          <w:rStyle w:val="VerbatimChar"/>
        </w:rPr>
        <w:t xml:space="preserve">[EVIDENCE REQUIRED]</w:t>
      </w:r>
      <w:r>
        <w:t xml:space="preserve"> </w:t>
      </w:r>
      <w:r>
        <w:t xml:space="preserve">— no KSA instrument was located mandating a specific tamper-evidence mechanism for veterinary records;</w:t>
      </w:r>
      <w:r>
        <w:t xml:space="preserve"> </w:t>
      </w:r>
      <w:r>
        <w:rPr>
          <w:bCs/>
          <w:b/>
        </w:rPr>
        <w:t xml:space="preserve">this is a defensible design choice, not a cited compliance requirement</w:t>
      </w:r>
      <w:r>
        <w:t xml:space="preserve">, and must not be represented as one.</w:t>
      </w:r>
    </w:p>
    <w:bookmarkEnd w:id="114"/>
    <w:bookmarkStart w:id="115" w:name="s77-the-inspection-pack"/>
    <w:p>
      <w:pPr>
        <w:pStyle w:val="Heading2"/>
      </w:pPr>
      <w:r>
        <w:t xml:space="preserve">S7.7 The inspection pack</w:t>
      </w:r>
    </w:p>
    <w:p>
      <w:pPr>
        <w:pStyle w:val="FirstParagraph"/>
      </w:pPr>
      <w:r>
        <w:rPr>
          <w:rStyle w:val="VerbatimChar"/>
          <w:bCs/>
          <w:b/>
        </w:rPr>
        <w:t xml:space="preserve">M-017</w:t>
      </w:r>
      <w:r>
        <w:t xml:space="preserve"> </w:t>
      </w:r>
      <w:r>
        <w:t xml:space="preserve">— A single privileged action, scoped to a site and a date range, produces a signed archive containing:</w:t>
      </w:r>
    </w:p>
    <w:p>
      <w:pPr>
        <w:numPr>
          <w:ilvl w:val="0"/>
          <w:numId w:val="1008"/>
        </w:numPr>
        <w:pStyle w:val="Compact"/>
      </w:pPr>
      <w:r>
        <w:rPr>
          <w:bCs/>
          <w:b/>
        </w:rPr>
        <w:t xml:space="preserve">Manifest</w:t>
      </w:r>
      <w:r>
        <w:t xml:space="preserve"> </w:t>
      </w:r>
      <w:r>
        <w:t xml:space="preserve">— tenant, site, range, generation time in both calendars, generating staff member, pack hash, and a signature over the manifest.</w:t>
      </w:r>
    </w:p>
    <w:p>
      <w:pPr>
        <w:numPr>
          <w:ilvl w:val="0"/>
          <w:numId w:val="1008"/>
        </w:numPr>
        <w:pStyle w:val="Compact"/>
      </w:pPr>
      <w:r>
        <w:rPr>
          <w:bCs/>
          <w:b/>
        </w:rPr>
        <w:t xml:space="preserve">Licence register</w:t>
      </w:r>
      <w:r>
        <w:t xml:space="preserve"> </w:t>
      </w:r>
      <w:r>
        <w:t xml:space="preserve">— every licence for the site and its practitioners with full status history, expiries, verification evidence and certificate scans.</w:t>
      </w:r>
    </w:p>
    <w:p>
      <w:pPr>
        <w:numPr>
          <w:ilvl w:val="0"/>
          <w:numId w:val="1008"/>
        </w:numPr>
        <w:pStyle w:val="Compact"/>
      </w:pPr>
      <w:r>
        <w:rPr>
          <w:bCs/>
          <w:b/>
        </w:rPr>
        <w:t xml:space="preserve">Gate log</w:t>
      </w:r>
      <w:r>
        <w:t xml:space="preserve"> </w:t>
      </w:r>
      <w:r>
        <w:t xml:space="preserve">— every licence-gate and prescribing-gate decision in range,</w:t>
      </w:r>
      <w:r>
        <w:t xml:space="preserve"> </w:t>
      </w:r>
      <w:r>
        <w:rPr>
          <w:bCs/>
          <w:b/>
        </w:rPr>
        <w:t xml:space="preserve">including every block and every override with its stated reason and the overriding practitioner.</w:t>
      </w:r>
      <w:r>
        <w:t xml:space="preserve"> </w:t>
      </w:r>
      <w:r>
        <w:rPr>
          <w:iCs/>
          <w:i/>
        </w:rPr>
        <w:t xml:space="preserve">An empty override list is a strong finding in the clinic's favour; a long one is a conversation the clinic needs to have anyway.</w:t>
      </w:r>
    </w:p>
    <w:p>
      <w:pPr>
        <w:numPr>
          <w:ilvl w:val="0"/>
          <w:numId w:val="1008"/>
        </w:numPr>
        <w:pStyle w:val="Compact"/>
      </w:pPr>
      <w:r>
        <w:rPr>
          <w:bCs/>
          <w:b/>
        </w:rPr>
        <w:t xml:space="preserve">Clinical record index</w:t>
      </w:r>
      <w:r>
        <w:t xml:space="preserve"> </w:t>
      </w:r>
      <w:r>
        <w:t xml:space="preserve">— encounters, coded problems, and note version lineage (hashes only unless the inspector's scope includes record contents, which is a separate authorisation).</w:t>
      </w:r>
    </w:p>
    <w:p>
      <w:pPr>
        <w:numPr>
          <w:ilvl w:val="0"/>
          <w:numId w:val="1008"/>
        </w:numPr>
        <w:pStyle w:val="Compact"/>
      </w:pPr>
      <w:r>
        <w:rPr>
          <w:bCs/>
          <w:b/>
        </w:rPr>
        <w:t xml:space="preserve">Controlled-substance and dispense register</w:t>
      </w:r>
      <w:r>
        <w:t xml:space="preserve"> </w:t>
      </w:r>
      <w:r>
        <w:t xml:space="preserve">— with batch, serial and prescriber.</w:t>
      </w:r>
    </w:p>
    <w:p>
      <w:pPr>
        <w:numPr>
          <w:ilvl w:val="0"/>
          <w:numId w:val="1008"/>
        </w:numPr>
        <w:pStyle w:val="Compact"/>
      </w:pPr>
      <w:r>
        <w:rPr>
          <w:bCs/>
          <w:b/>
        </w:rPr>
        <w:t xml:space="preserve">Notifiable-disease register</w:t>
      </w:r>
      <w:r>
        <w:t xml:space="preserve"> </w:t>
      </w:r>
      <w:r>
        <w:t xml:space="preserve">— every report with detection, deadline, submission and acknowledgement reference.</w:t>
      </w:r>
      <w:r>
        <w:t xml:space="preserve"> </w:t>
      </w:r>
      <w:r>
        <w:rPr>
          <w:bCs/>
          <w:b/>
        </w:rPr>
        <w:t xml:space="preserve">Late or missing reports are shown, not hidden.</w:t>
      </w:r>
      <w:r>
        <w:t xml:space="preserve"> </w:t>
      </w:r>
      <w:r>
        <w:t xml:space="preserve">A pack that hides them is worthless as evidence and fatal if discovered.</w:t>
      </w:r>
    </w:p>
    <w:p>
      <w:pPr>
        <w:numPr>
          <w:ilvl w:val="0"/>
          <w:numId w:val="1008"/>
        </w:numPr>
        <w:pStyle w:val="Compact"/>
      </w:pPr>
      <w:r>
        <w:rPr>
          <w:bCs/>
          <w:b/>
        </w:rPr>
        <w:t xml:space="preserve">Audit chain segment</w:t>
      </w:r>
      <w:r>
        <w:t xml:space="preserve"> </w:t>
      </w:r>
      <w:r>
        <w:t xml:space="preserve">— the event slice plus enclosing daily anchors and</w:t>
      </w:r>
      <w:r>
        <w:t xml:space="preserve"> </w:t>
      </w:r>
      <w:r>
        <w:rPr>
          <w:bCs/>
          <w:b/>
        </w:rPr>
        <w:t xml:space="preserve">a standalone verifier script, so the inspector can validate the chain without trusting our interface.</w:t>
      </w:r>
    </w:p>
    <w:p>
      <w:pPr>
        <w:numPr>
          <w:ilvl w:val="0"/>
          <w:numId w:val="1008"/>
        </w:numPr>
        <w:pStyle w:val="Compact"/>
      </w:pPr>
      <w:r>
        <w:rPr>
          <w:bCs/>
          <w:b/>
        </w:rPr>
        <w:t xml:space="preserve">Consent register</w:t>
      </w:r>
      <w:r>
        <w:t xml:space="preserve"> </w:t>
      </w:r>
      <w:r>
        <w:t xml:space="preserve">— per-purpose grants and withdrawals with the exact notice text version shown at capture.</w:t>
      </w:r>
    </w:p>
    <w:p>
      <w:pPr>
        <w:pStyle w:val="FirstParagraph"/>
      </w:pPr>
      <w:r>
        <w:t xml:space="preserve">Pack generation is itself an audit event, and the pack reference is stored,</w:t>
      </w:r>
      <w:r>
        <w:t xml:space="preserve"> </w:t>
      </w:r>
      <w:r>
        <w:rPr>
          <w:bCs/>
          <w:b/>
        </w:rPr>
        <w:t xml:space="preserve">so we can prove which pack was handed over.</w:t>
      </w:r>
    </w:p>
    <w:p>
      <w:pPr>
        <w:pStyle w:val="BodyText"/>
      </w:pPr>
      <w:r>
        <w:rPr>
          <w:rStyle w:val="VerbatimChar"/>
          <w:bCs/>
          <w:b/>
        </w:rPr>
        <w:t xml:space="preserve">M-018</w:t>
      </w:r>
      <w:r>
        <w:rPr>
          <w:bCs/>
          <w:b/>
        </w:rPr>
        <w:t xml:space="preserve"> </w:t>
      </w:r>
      <w:r>
        <w:rPr>
          <w:bCs/>
          <w:b/>
        </w:rPr>
        <w:t xml:space="preserve">— The licence-renewal pack</w:t>
      </w:r>
      <w:r>
        <w:t xml:space="preserve"> </w:t>
      </w:r>
      <w:r>
        <w:t xml:space="preserve">is a narrower variant scoped to one licence subject: the practitioner's own gate history, encounter and procedure counts by coded category, CPD attachments, prescribing profile (antimicrobial share, override count) and the notifiable reports they filed. Generated on demand</w:t>
      </w:r>
      <w:r>
        <w:t xml:space="preserve"> </w:t>
      </w:r>
      <w:r>
        <w:rPr>
          <w:bCs/>
          <w:b/>
        </w:rPr>
        <w:t xml:space="preserve">and automatically at expiry minus 90 days</w:t>
      </w:r>
      <w:r>
        <w:t xml:space="preserve">, delivered with the renewal reminder. This is a genuine product feature, not compliance overhead:</w:t>
      </w:r>
      <w:r>
        <w:t xml:space="preserve"> </w:t>
      </w:r>
      <w:r>
        <w:rPr>
          <w:bCs/>
          <w:b/>
        </w:rPr>
        <w:t xml:space="preserve">it converts a dreaded annual paperwork exercise into a button.</w:t>
      </w:r>
    </w:p>
    <w:p>
      <w:r>
        <w:pict>
          <v:rect style="width:0;height:1.5pt" o:hralign="center" o:hrstd="t" o:hr="t"/>
        </w:pict>
      </w:r>
    </w:p>
    <w:bookmarkEnd w:id="115"/>
    <w:bookmarkEnd w:id="116"/>
    <w:bookmarkStart w:id="125" w:name="s8--engineering-and-integration"/>
    <w:p>
      <w:pPr>
        <w:pStyle w:val="Heading1"/>
      </w:pPr>
      <w:r>
        <w:t xml:space="preserve">S8 · Engineering and Integration</w:t>
      </w:r>
    </w:p>
    <w:bookmarkStart w:id="117" w:name="s81-deployment-shape"/>
    <w:p>
      <w:pPr>
        <w:pStyle w:val="Heading2"/>
      </w:pPr>
      <w:r>
        <w:t xml:space="preserve">S8.1 Deployment shape</w:t>
      </w:r>
    </w:p>
    <w:p>
      <w:pPr>
        <w:pStyle w:val="FirstParagraph"/>
      </w:pPr>
      <w:r>
        <w:t xml:space="preserve">Keep what exists; add the persistence layer that was always the missing dependency.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Choice</w:t>
            </w:r>
          </w:p>
        </w:tc>
        <w:tc>
          <w:tcPr/>
          <w:p>
            <w:pPr>
              <w:pStyle w:val="Compact"/>
              <w:jc w:val="left"/>
            </w:pPr>
            <w:r>
              <w:t xml:space="preserve">Why</w:t>
            </w:r>
          </w:p>
        </w:tc>
      </w:tr>
      <w:tr>
        <w:tc>
          <w:tcPr/>
          <w:p>
            <w:pPr>
              <w:pStyle w:val="Compact"/>
              <w:jc w:val="left"/>
            </w:pPr>
            <w:r>
              <w:t xml:space="preserve">Compute</w:t>
            </w:r>
          </w:p>
        </w:tc>
        <w:tc>
          <w:tcPr/>
          <w:p>
            <w:pPr>
              <w:pStyle w:val="Compact"/>
              <w:jc w:val="left"/>
            </w:pPr>
            <w:r>
              <w:rPr>
                <w:bCs/>
                <w:b/>
              </w:rPr>
              <w:t xml:space="preserve">Cloud Run</w:t>
            </w:r>
            <w:r>
              <w:t xml:space="preserve">,</w:t>
            </w:r>
            <w:r>
              <w:t xml:space="preserve"> </w:t>
            </w:r>
            <w:r>
              <w:rPr>
                <w:rStyle w:val="VerbatimChar"/>
              </w:rPr>
              <w:t xml:space="preserve">me-central2</w:t>
            </w:r>
            <w:r>
              <w:t xml:space="preserve">, min-instances 1</w:t>
            </w:r>
          </w:p>
        </w:tc>
        <w:tc>
          <w:tcPr/>
          <w:p>
            <w:pPr>
              <w:pStyle w:val="Compact"/>
              <w:jc w:val="left"/>
            </w:pPr>
            <w:r>
              <w:t xml:space="preserve">Already built. Min-instances avoids a cold start on the first morning consultation; scales to zero cost overnight when clinics are closed</w:t>
            </w:r>
          </w:p>
        </w:tc>
      </w:tr>
      <w:tr>
        <w:tc>
          <w:tcPr/>
          <w:p>
            <w:pPr>
              <w:pStyle w:val="Compact"/>
              <w:jc w:val="left"/>
            </w:pPr>
            <w:r>
              <w:t xml:space="preserve">Persistence</w:t>
            </w:r>
          </w:p>
        </w:tc>
        <w:tc>
          <w:tcPr/>
          <w:p>
            <w:pPr>
              <w:pStyle w:val="Compact"/>
              <w:jc w:val="left"/>
            </w:pPr>
            <w:r>
              <w:rPr>
                <w:bCs/>
                <w:b/>
              </w:rPr>
              <w:t xml:space="preserve">Cloud SQL for PostgreSQL, regional HA, private IP only, customer-managed keys</w:t>
            </w:r>
          </w:p>
        </w:tc>
        <w:tc>
          <w:tcPr/>
          <w:p>
            <w:pPr>
              <w:pStyle w:val="Compact"/>
              <w:jc w:val="left"/>
            </w:pPr>
            <w:r>
              <w:rPr>
                <w:bCs/>
                <w:b/>
              </w:rPr>
              <w:t xml:space="preserve">The in-memory user dictionary is replaced.</w:t>
            </w:r>
            <w:r>
              <w:t xml:space="preserve"> </w:t>
            </w:r>
            <w:r>
              <w:t xml:space="preserve">Postgres specifically, because row-level security is the tenancy control and the composite-key topology is the isolation guarantee</w:t>
            </w:r>
          </w:p>
        </w:tc>
      </w:tr>
      <w:tr>
        <w:tc>
          <w:tcPr/>
          <w:p>
            <w:pPr>
              <w:pStyle w:val="Compact"/>
              <w:jc w:val="left"/>
            </w:pPr>
            <w:r>
              <w:t xml:space="preserve">Read scaling</w:t>
            </w:r>
          </w:p>
        </w:tc>
        <w:tc>
          <w:tcPr/>
          <w:p>
            <w:pPr>
              <w:pStyle w:val="Compact"/>
              <w:jc w:val="left"/>
            </w:pPr>
            <w:r>
              <w:rPr>
                <w:bCs/>
                <w:b/>
              </w:rPr>
              <w:t xml:space="preserve">None in Phase 1</w:t>
            </w:r>
          </w:p>
        </w:tc>
        <w:tc>
          <w:tcPr/>
          <w:p>
            <w:pPr>
              <w:pStyle w:val="Compact"/>
              <w:jc w:val="left"/>
            </w:pPr>
            <w:r>
              <w:t xml:space="preserve">450 clinics of 5 vets will not saturate one instance. A read replica adds replica-lag bugs to the isolation model for no measured benefit</w:t>
            </w:r>
          </w:p>
        </w:tc>
      </w:tr>
      <w:tr>
        <w:tc>
          <w:tcPr/>
          <w:p>
            <w:pPr>
              <w:pStyle w:val="Compact"/>
              <w:jc w:val="left"/>
            </w:pPr>
            <w:r>
              <w:t xml:space="preserve">Async work</w:t>
            </w:r>
          </w:p>
        </w:tc>
        <w:tc>
          <w:tcPr/>
          <w:p>
            <w:pPr>
              <w:pStyle w:val="Compact"/>
              <w:jc w:val="left"/>
            </w:pPr>
            <w:r>
              <w:rPr>
                <w:bCs/>
                <w:b/>
              </w:rPr>
              <w:t xml:space="preserve">Managed task queues + scheduler</w:t>
            </w:r>
          </w:p>
        </w:tc>
        <w:tc>
          <w:tcPr/>
          <w:p>
            <w:pPr>
              <w:pStyle w:val="Compact"/>
              <w:jc w:val="left"/>
            </w:pPr>
            <w:r>
              <w:t xml:space="preserve">No Kafka, no Redis, no self-managed broker</w:t>
            </w:r>
          </w:p>
        </w:tc>
      </w:tr>
      <w:tr>
        <w:tc>
          <w:tcPr/>
          <w:p>
            <w:pPr>
              <w:pStyle w:val="Compact"/>
              <w:jc w:val="left"/>
            </w:pPr>
            <w:r>
              <w:t xml:space="preserve">Search</w:t>
            </w:r>
          </w:p>
        </w:tc>
        <w:tc>
          <w:tcPr/>
          <w:p>
            <w:pPr>
              <w:pStyle w:val="Compact"/>
              <w:jc w:val="left"/>
            </w:pPr>
            <w:r>
              <w:rPr>
                <w:bCs/>
                <w:b/>
              </w:rPr>
              <w:t xml:space="preserve">PostgreSQL full-text with per-language configurations plus trigram matching</w:t>
            </w:r>
          </w:p>
        </w:tc>
        <w:tc>
          <w:tcPr/>
          <w:p>
            <w:pPr>
              <w:pStyle w:val="Compact"/>
              <w:jc w:val="left"/>
            </w:pPr>
            <w:r>
              <w:t xml:space="preserve">No Elasticsearch. Arabic search quality needs normalisation work either way (§S4.5); do it in one place</w:t>
            </w:r>
          </w:p>
        </w:tc>
      </w:tr>
      <w:tr>
        <w:tc>
          <w:tcPr/>
          <w:p>
            <w:pPr>
              <w:pStyle w:val="Compact"/>
              <w:jc w:val="left"/>
            </w:pPr>
            <w:r>
              <w:t xml:space="preserve">Documents</w:t>
            </w:r>
          </w:p>
        </w:tc>
        <w:tc>
          <w:tcPr/>
          <w:p>
            <w:pPr>
              <w:pStyle w:val="Compact"/>
              <w:jc w:val="left"/>
            </w:pPr>
            <w:r>
              <w:rPr>
                <w:bCs/>
                <w:b/>
              </w:rPr>
              <w:t xml:space="preserve">Object storage in</w:t>
            </w:r>
            <w:r>
              <w:rPr>
                <w:bCs/>
                <w:b/>
              </w:rPr>
              <w:t xml:space="preserve"> </w:t>
            </w:r>
            <w:r>
              <w:rPr>
                <w:rStyle w:val="VerbatimChar"/>
                <w:bCs/>
                <w:b/>
              </w:rPr>
              <w:t xml:space="preserve">me-central2</w:t>
            </w:r>
            <w:r>
              <w:t xml:space="preserve">, customer-managed keys, uniform access, versioning,</w:t>
            </w:r>
            <w:r>
              <w:t xml:space="preserve"> </w:t>
            </w:r>
            <w:r>
              <w:rPr>
                <w:bCs/>
                <w:b/>
              </w:rPr>
              <w:t xml:space="preserve">retention-locked for invoice XML and audit anchors</w:t>
            </w:r>
          </w:p>
        </w:tc>
        <w:tc>
          <w:tcPr/>
          <w:p>
            <w:pPr>
              <w:pStyle w:val="Compact"/>
            </w:pPr>
          </w:p>
        </w:tc>
      </w:tr>
      <w:tr>
        <w:tc>
          <w:tcPr/>
          <w:p>
            <w:pPr>
              <w:pStyle w:val="Compact"/>
              <w:jc w:val="left"/>
            </w:pPr>
            <w:r>
              <w:t xml:space="preserve">Secrets / keys</w:t>
            </w:r>
          </w:p>
        </w:tc>
        <w:tc>
          <w:tcPr/>
          <w:p>
            <w:pPr>
              <w:pStyle w:val="Compact"/>
              <w:jc w:val="left"/>
            </w:pPr>
            <w:r>
              <w:rPr>
                <w:bCs/>
                <w:b/>
              </w:rPr>
              <w:t xml:space="preserve">Managed secret store and key-management service in</w:t>
            </w:r>
            <w:r>
              <w:rPr>
                <w:bCs/>
                <w:b/>
              </w:rPr>
              <w:t xml:space="preserve"> </w:t>
            </w:r>
            <w:r>
              <w:rPr>
                <w:rStyle w:val="VerbatimChar"/>
                <w:bCs/>
                <w:b/>
              </w:rPr>
              <w:t xml:space="preserve">me-central2</w:t>
            </w:r>
            <w:r>
              <w:t xml:space="preserve">, separate keys for note signing, audit anchoring, invoice signing and data encryption, each with its own access binding</w:t>
            </w:r>
          </w:p>
        </w:tc>
        <w:tc>
          <w:tcPr/>
          <w:p>
            <w:pPr>
              <w:pStyle w:val="Compact"/>
            </w:pPr>
          </w:p>
        </w:tc>
      </w:tr>
      <w:tr>
        <w:tc>
          <w:tcPr/>
          <w:p>
            <w:pPr>
              <w:pStyle w:val="Compact"/>
              <w:jc w:val="left"/>
            </w:pPr>
            <w:r>
              <w:t xml:space="preserve">IaC</w:t>
            </w:r>
          </w:p>
        </w:tc>
        <w:tc>
          <w:tcPr/>
          <w:p>
            <w:pPr>
              <w:pStyle w:val="Compact"/>
              <w:jc w:val="left"/>
            </w:pPr>
            <w:r>
              <w:rPr>
                <w:bCs/>
                <w:b/>
              </w:rPr>
              <w:t xml:space="preserve">Terraform, single state, no console changes</w:t>
            </w:r>
          </w:p>
        </w:tc>
        <w:tc>
          <w:tcPr/>
          <w:p>
            <w:pPr>
              <w:pStyle w:val="Compact"/>
              <w:jc w:val="left"/>
            </w:pPr>
            <w:r>
              <w:t xml:space="preserve">Residency evidence (§S8.6) depends on configuration being declarative and diffable</w:t>
            </w:r>
          </w:p>
        </w:tc>
      </w:tr>
    </w:tbl>
    <w:p>
      <w:pPr>
        <w:pStyle w:val="BodyText"/>
      </w:pPr>
      <w:r>
        <w:rPr>
          <w:rStyle w:val="VerbatimChar"/>
          <w:bCs/>
          <w:b/>
        </w:rPr>
        <w:t xml:space="preserve">E-001</w:t>
      </w:r>
      <w:r>
        <w:rPr>
          <w:bCs/>
          <w:b/>
        </w:rPr>
        <w:t xml:space="preserve"> </w:t>
      </w:r>
      <w:r>
        <w:rPr>
          <w:bCs/>
          <w:b/>
        </w:rPr>
        <w:t xml:space="preserve">— Explicitly not built</w:t>
      </w:r>
      <w:r>
        <w:t xml:space="preserve">: Kubernetes, service mesh, an API gateway product, MongoDB, Elasticsearch, a self-hosted media server, twelve microservices. The modular monolith stays a monolith with</w:t>
      </w:r>
      <w:r>
        <w:t xml:space="preserve"> </w:t>
      </w:r>
      <w:r>
        <w:rPr>
          <w:bCs/>
          <w:b/>
        </w:rPr>
        <w:t xml:space="preserve">module boundaries enforced by an import-linter rule</w:t>
      </w:r>
      <w:r>
        <w:t xml:space="preserve"> </w:t>
      </w:r>
      <w:r>
        <w:t xml:space="preserve">— billing may not import clinical internals; both go through defined interfaces — which preserves the extraction seam without paying the distributed-systems cost now.</w:t>
      </w:r>
    </w:p>
    <w:bookmarkEnd w:id="117"/>
    <w:bookmarkStart w:id="118" w:name="s82-tenancy-isolation"/>
    <w:p>
      <w:pPr>
        <w:pStyle w:val="Heading2"/>
      </w:pPr>
      <w:r>
        <w:t xml:space="preserve">S8.2 Tenancy isolation</w:t>
      </w:r>
    </w:p>
    <w:p>
      <w:pPr>
        <w:pStyle w:val="FirstParagraph"/>
      </w:pPr>
      <w:r>
        <w:rPr>
          <w:rStyle w:val="VerbatimChar"/>
          <w:bCs/>
          <w:b/>
        </w:rPr>
        <w:t xml:space="preserve">E-002</w:t>
      </w:r>
      <w:r>
        <w:rPr>
          <w:bCs/>
          <w:b/>
        </w:rPr>
        <w:t xml:space="preserve"> </w:t>
      </w:r>
      <w:r>
        <w:rPr>
          <w:bCs/>
          <w:b/>
        </w:rPr>
        <w:t xml:space="preserve">— Recommendation: row-level security on a single database, with composite tenancy-carrying keys, and a defined escalation path to database-per-tenant for named enterprise accounts.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Row-level security</w:t>
            </w:r>
          </w:p>
        </w:tc>
        <w:tc>
          <w:tcPr/>
          <w:p>
            <w:pPr>
              <w:pStyle w:val="Compact"/>
              <w:jc w:val="left"/>
            </w:pPr>
            <w:r>
              <w:t xml:space="preserve">Schema-per-tenant</w:t>
            </w:r>
          </w:p>
        </w:tc>
        <w:tc>
          <w:tcPr/>
          <w:p>
            <w:pPr>
              <w:pStyle w:val="Compact"/>
              <w:jc w:val="left"/>
            </w:pPr>
            <w:r>
              <w:t xml:space="preserve">Database-per-tenant</w:t>
            </w:r>
          </w:p>
        </w:tc>
      </w:tr>
      <w:tr>
        <w:tc>
          <w:tcPr/>
          <w:p>
            <w:pPr>
              <w:pStyle w:val="Compact"/>
              <w:jc w:val="left"/>
            </w:pPr>
            <w:r>
              <w:t xml:space="preserve">Migrations at 450 tenants</w:t>
            </w:r>
          </w:p>
        </w:tc>
        <w:tc>
          <w:tcPr/>
          <w:p>
            <w:pPr>
              <w:pStyle w:val="Compact"/>
              <w:jc w:val="left"/>
            </w:pPr>
            <w:r>
              <w:t xml:space="preserve">One migration, seconds</w:t>
            </w:r>
          </w:p>
        </w:tc>
        <w:tc>
          <w:tcPr/>
          <w:p>
            <w:pPr>
              <w:pStyle w:val="Compact"/>
              <w:jc w:val="left"/>
            </w:pPr>
            <w:r>
              <w:t xml:space="preserve">450 DDL executions, partial-failure states, drift</w:t>
            </w:r>
          </w:p>
        </w:tc>
        <w:tc>
          <w:tcPr/>
          <w:p>
            <w:pPr>
              <w:pStyle w:val="Compact"/>
              <w:jc w:val="left"/>
            </w:pPr>
            <w:r>
              <w:t xml:space="preserve">450 databases needing an orchestrator that does not exist</w:t>
            </w:r>
          </w:p>
        </w:tc>
      </w:tr>
      <w:tr>
        <w:tc>
          <w:tcPr/>
          <w:p>
            <w:pPr>
              <w:pStyle w:val="Compact"/>
              <w:jc w:val="left"/>
            </w:pPr>
            <w:r>
              <w:t xml:space="preserve">Connection budget</w:t>
            </w:r>
          </w:p>
        </w:tc>
        <w:tc>
          <w:tcPr/>
          <w:p>
            <w:pPr>
              <w:pStyle w:val="Compact"/>
              <w:jc w:val="left"/>
            </w:pPr>
            <w:r>
              <w:t xml:space="preserve">One pool</w:t>
            </w:r>
          </w:p>
        </w:tc>
        <w:tc>
          <w:tcPr/>
          <w:p>
            <w:pPr>
              <w:pStyle w:val="Compact"/>
              <w:jc w:val="left"/>
            </w:pPr>
            <w:r>
              <w:t xml:space="preserve">One pool plus a per-checkout path switch</w:t>
            </w:r>
          </w:p>
        </w:tc>
        <w:tc>
          <w:tcPr/>
          <w:p>
            <w:pPr>
              <w:pStyle w:val="Compact"/>
              <w:jc w:val="left"/>
            </w:pPr>
            <w:r>
              <w:rPr>
                <w:bCs/>
                <w:b/>
              </w:rPr>
              <w:t xml:space="preserve">450 pools — infeasible on the serverless connection model</w:t>
            </w:r>
          </w:p>
        </w:tc>
      </w:tr>
      <w:tr>
        <w:tc>
          <w:tcPr/>
          <w:p>
            <w:pPr>
              <w:pStyle w:val="Compact"/>
              <w:jc w:val="left"/>
            </w:pPr>
            <w:r>
              <w:t xml:space="preserve">Failure mode</w:t>
            </w:r>
          </w:p>
        </w:tc>
        <w:tc>
          <w:tcPr/>
          <w:p>
            <w:pPr>
              <w:pStyle w:val="Compact"/>
              <w:jc w:val="left"/>
            </w:pPr>
            <w:r>
              <w:t xml:space="preserve">Contained by RLS; further contained by key topology</w:t>
            </w:r>
          </w:p>
        </w:tc>
        <w:tc>
          <w:tcPr/>
          <w:p>
            <w:pPr>
              <w:pStyle w:val="Compact"/>
              <w:jc w:val="left"/>
            </w:pPr>
            <w:r>
              <w:rPr>
                <w:rStyle w:val="VerbatimChar"/>
                <w:bCs/>
                <w:b/>
              </w:rPr>
              <w:t xml:space="preserve">search_path</w:t>
            </w:r>
            <w:r>
              <w:rPr>
                <w:bCs/>
                <w:b/>
              </w:rPr>
              <w:t xml:space="preserve"> </w:t>
            </w:r>
            <w:r>
              <w:rPr>
                <w:bCs/>
                <w:b/>
              </w:rPr>
              <w:t xml:space="preserve">bugs fail silently into a valid-looking wrong dataset</w:t>
            </w:r>
          </w:p>
        </w:tc>
        <w:tc>
          <w:tcPr/>
          <w:p>
            <w:pPr>
              <w:pStyle w:val="Compact"/>
              <w:jc w:val="left"/>
            </w:pPr>
            <w:r>
              <w:t xml:space="preserve">Connection-string error</w:t>
            </w:r>
          </w:p>
        </w:tc>
      </w:tr>
      <w:tr>
        <w:tc>
          <w:tcPr/>
          <w:p>
            <w:pPr>
              <w:pStyle w:val="Compact"/>
              <w:jc w:val="left"/>
            </w:pPr>
            <w:r>
              <w:t xml:space="preserve">Ops burden for 2–4 engineers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High</w:t>
            </w:r>
          </w:p>
        </w:tc>
      </w:tr>
    </w:tbl>
    <w:p>
      <w:pPr>
        <w:pStyle w:val="BodyText"/>
      </w:pPr>
      <w:r>
        <w:rPr>
          <w:bCs/>
          <w:b/>
        </w:rPr>
        <w:t xml:space="preserve">Reasoning specific to this product.</w:t>
      </w:r>
      <w:r>
        <w:t xml:space="preserve"> </w:t>
      </w:r>
      <w:r>
        <w:t xml:space="preserve">200–450 clinics of 2–5 vets is a small-data, many-tenant shape; the largest tenant will not exceed a few million rows, so there is no scale argument for physical separation.</w:t>
      </w:r>
      <w:r>
        <w:t xml:space="preserve"> </w:t>
      </w:r>
      <w:r>
        <w:rPr>
          <w:bCs/>
          <w:b/>
        </w:rPr>
        <w:t xml:space="preserve">The team cannot operate 450 databases, and an isolation model that is not operated correctly is weaker than a simpler one that is.</w:t>
      </w:r>
      <w:r>
        <w:t xml:space="preserve"> </w:t>
      </w:r>
      <w:r>
        <w:t xml:space="preserve">PDPL does not require physical separation — it requires that processing be limited to purpose and that the controller can evidence control, which row-level security plus audit does.</w:t>
      </w:r>
      <w:r>
        <w:t xml:space="preserve"> </w:t>
      </w:r>
      <w:r>
        <w:rPr>
          <w:bCs/>
          <w:b/>
        </w:rPr>
        <w:t xml:space="preserve">Schema-per-tenant is rejected outright</w:t>
      </w:r>
      <w:r>
        <w:t xml:space="preserve"> </w:t>
      </w:r>
      <w:r>
        <w:t xml:space="preserve">because its failure mode is silent and valid-looking, which is the exact mode we most need to make impossible.</w:t>
      </w:r>
    </w:p>
    <w:p>
      <w:pPr>
        <w:pStyle w:val="BodyText"/>
      </w:pPr>
      <w:r>
        <w:rPr>
          <w:bCs/>
          <w:b/>
        </w:rPr>
        <w:t xml:space="preserve">On the estate's cross-tenant precedent:</w:t>
      </w:r>
      <w:r>
        <w:t xml:space="preserve"> </w:t>
      </w:r>
      <w:r>
        <w:t xml:space="preserve">that incident was production cross-tenant</w:t>
      </w:r>
      <w:r>
        <w:t xml:space="preserve"> </w:t>
      </w:r>
      <w:r>
        <w:rPr>
          <w:iCs/>
          <w:i/>
        </w:rPr>
        <w:t xml:space="preserve">write</w:t>
      </w:r>
      <w:r>
        <w:t xml:space="preserve"> </w:t>
      </w:r>
      <w:r>
        <w:t xml:space="preserve">authority — a credential and authorisation failure, which database-per-tenant would equally have permitted had the credential reached the wrong database.</w:t>
      </w:r>
      <w:r>
        <w:t xml:space="preserve"> </w:t>
      </w:r>
      <w:r>
        <w:rPr>
          <w:bCs/>
          <w:b/>
        </w:rPr>
        <w:t xml:space="preserve">The fix is removing the ambient authority (§S8.5), which is orthogonal to topology.</w:t>
      </w:r>
      <w:r>
        <w:t xml:space="preserve"> </w:t>
      </w:r>
      <w:r>
        <w:t xml:space="preserve">The composite-key model argues for defence in depth, not a different shape.</w:t>
      </w:r>
    </w:p>
    <w:p>
      <w:pPr>
        <w:pStyle w:val="BodyText"/>
      </w:pPr>
      <w:r>
        <w:rPr>
          <w:bCs/>
          <w:b/>
        </w:rPr>
        <w:t xml:space="preserve">Escalation seam:</w:t>
      </w:r>
      <w:r>
        <w:t xml:space="preserve"> </w:t>
      </w:r>
      <w:r>
        <w:t xml:space="preserve">the composite-key model is a superset of what database-per-tenant needs. A</w:t>
      </w:r>
      <w:r>
        <w:t xml:space="preserve"> </w:t>
      </w:r>
      <w:r>
        <w:rPr>
          <w:rStyle w:val="VerbatimChar"/>
        </w:rPr>
        <w:t xml:space="preserve">TenantRouting</w:t>
      </w:r>
      <w:r>
        <w:t xml:space="preserve"> </w:t>
      </w:r>
      <w:r>
        <w:t xml:space="preserve">table exists from day one with everything pointing at the primary, so moving one tenant later is a filtered logical dump plus a routing entry — no schema change.</w:t>
      </w:r>
    </w:p>
    <w:p>
      <w:pPr>
        <w:pStyle w:val="BodyText"/>
      </w:pPr>
      <w:r>
        <w:rPr>
          <w:rStyle w:val="VerbatimChar"/>
          <w:bCs/>
          <w:b/>
        </w:rPr>
        <w:t xml:space="preserve">E-003</w:t>
      </w:r>
      <w:r>
        <w:rPr>
          <w:bCs/>
          <w:b/>
        </w:rPr>
        <w:t xml:space="preserve"> </w:t>
      </w:r>
      <w:r>
        <w:rPr>
          <w:bCs/>
          <w:b/>
        </w:rPr>
        <w:t xml:space="preserve">— Enforcement.</w:t>
      </w:r>
      <w:r>
        <w:t xml:space="preserve"> </w:t>
      </w:r>
      <w:r>
        <w:t xml:space="preserve">Row-level security</w:t>
      </w:r>
      <w:r>
        <w:t xml:space="preserve"> </w:t>
      </w:r>
      <w:r>
        <w:rPr>
          <w:bCs/>
          <w:b/>
        </w:rPr>
        <w:t xml:space="preserve">enabled and forced</w:t>
      </w:r>
      <w:r>
        <w:t xml:space="preserve"> </w:t>
      </w:r>
      <w:r>
        <w:t xml:space="preserve">on every tenant table (</w:t>
      </w:r>
      <w:r>
        <w:rPr>
          <w:rStyle w:val="VerbatimChar"/>
        </w:rPr>
        <w:t xml:space="preserve">FORCE</w:t>
      </w:r>
      <w:r>
        <w:t xml:space="preserve"> </w:t>
      </w:r>
      <w:r>
        <w:t xml:space="preserve">matters — without it the table owner bypasses the policy, and the migration role is often the owner) · a policy with both</w:t>
      </w:r>
      <w:r>
        <w:t xml:space="preserve"> </w:t>
      </w:r>
      <w:r>
        <w:rPr>
          <w:rStyle w:val="VerbatimChar"/>
        </w:rPr>
        <w:t xml:space="preserve">USING</w:t>
      </w:r>
      <w:r>
        <w:t xml:space="preserve"> </w:t>
      </w:r>
      <w:r>
        <w:t xml:space="preserve">and</w:t>
      </w:r>
      <w:r>
        <w:t xml:space="preserve"> </w:t>
      </w:r>
      <w:r>
        <w:rPr>
          <w:rStyle w:val="VerbatimChar"/>
          <w:bCs/>
          <w:b/>
        </w:rPr>
        <w:t xml:space="preserve">WITH CHECK</w:t>
      </w:r>
      <w:r>
        <w:t xml:space="preserve">, the latter being what blocks the cross-tenant write of the known incident ·</w:t>
      </w:r>
      <w:r>
        <w:t xml:space="preserve"> </w:t>
      </w:r>
      <w:r>
        <w:rPr>
          <w:bCs/>
          <w:b/>
        </w:rPr>
        <w:t xml:space="preserve">three database roles, none with bypass privileges</w:t>
      </w:r>
      <w:r>
        <w:t xml:space="preserve">: the runtime role (no DDL, no delete on append-only tables), the migration role (DDL only, never held by the request path), and a single platform role for the three enumerated cross-tenant jobs ·</w:t>
      </w:r>
      <w:r>
        <w:t xml:space="preserve"> </w:t>
      </w:r>
      <w:r>
        <w:rPr>
          <w:bCs/>
          <w:b/>
        </w:rPr>
        <w:t xml:space="preserve">transaction-scoped session binding</w:t>
      </w:r>
      <w:r>
        <w:t xml:space="preserve"> </w:t>
      </w:r>
      <w:r>
        <w:t xml:space="preserve">so a pooled connection cannot carry a previous tenant's context · and</w:t>
      </w:r>
      <w:r>
        <w:t xml:space="preserve"> </w:t>
      </w:r>
      <w:r>
        <w:rPr>
          <w:bCs/>
          <w:b/>
        </w:rPr>
        <w:t xml:space="preserve">no tenant filters in application code at all</w:t>
      </w:r>
      <w:r>
        <w:t xml:space="preserve"> </w:t>
      </w:r>
      <w:r>
        <w:t xml:space="preserve">— if repository methods write tenant predicates, developers start believing the application is the control, and the day someone forgets is the day of the incident.</w:t>
      </w:r>
      <w:r>
        <w:t xml:space="preserve"> </w:t>
      </w:r>
      <w:r>
        <w:rPr>
          <w:bCs/>
          <w:b/>
        </w:rPr>
        <w:t xml:space="preserve">The database is the control.</w:t>
      </w:r>
    </w:p>
    <w:p>
      <w:pPr>
        <w:pStyle w:val="BodyText"/>
      </w:pPr>
      <w:r>
        <w:rPr>
          <w:rStyle w:val="VerbatimChar"/>
          <w:bCs/>
          <w:b/>
        </w:rPr>
        <w:t xml:space="preserve">E-004</w:t>
      </w:r>
      <w:r>
        <w:rPr>
          <w:bCs/>
          <w:b/>
        </w:rPr>
        <w:t xml:space="preserve"> </w:t>
      </w:r>
      <w:r>
        <w:rPr>
          <w:bCs/>
          <w:b/>
        </w:rPr>
        <w:t xml:space="preserve">— Build-breaking lints</w:t>
      </w:r>
      <w:r>
        <w:t xml:space="preserve">: any request model containing a tenant identifier · any migration creating a tenant-scoped table without the composite key, forced row-level security and a policy · any foreign key to a tenant-scoped table that omits the tenancy column · any use of bypass privileges or a non-runtime role outside the two allow-listed jobs · any update or delete against an append-only table.</w:t>
      </w:r>
    </w:p>
    <w:p>
      <w:pPr>
        <w:pStyle w:val="BodyText"/>
      </w:pPr>
      <w:r>
        <w:rPr>
          <w:rStyle w:val="VerbatimChar"/>
          <w:bCs/>
          <w:b/>
        </w:rPr>
        <w:t xml:space="preserve">E-005</w:t>
      </w:r>
      <w:r>
        <w:rPr>
          <w:bCs/>
          <w:b/>
        </w:rPr>
        <w:t xml:space="preserve"> </w:t>
      </w:r>
      <w:r>
        <w:rPr>
          <w:bCs/>
          <w:b/>
        </w:rPr>
        <w:t xml:space="preserve">— Exactly three legitimate cross-tenant reads exist</w:t>
      </w:r>
      <w:r>
        <w:t xml:space="preserve">, each a named job rather than a capability:</w:t>
      </w:r>
      <w:r>
        <w:t xml:space="preserve"> </w:t>
      </w:r>
      <w:r>
        <w:rPr>
          <w:bCs/>
          <w:b/>
        </w:rPr>
        <w:t xml:space="preserve">recall fan-out</w:t>
      </w:r>
      <w:r>
        <w:t xml:space="preserve"> </w:t>
      </w:r>
      <w:r>
        <w:t xml:space="preserve">(resolve a notice to affected dispensing events across tenants, then hand each tenant only its own impact rows, writing an audit event per tenant touched) ·</w:t>
      </w:r>
      <w:r>
        <w:t xml:space="preserve"> </w:t>
      </w:r>
      <w:r>
        <w:rPr>
          <w:bCs/>
          <w:b/>
        </w:rPr>
        <w:t xml:space="preserve">platform aggregate metrics</w:t>
      </w:r>
      <w:r>
        <w:t xml:space="preserve"> </w:t>
      </w:r>
      <w:r>
        <w:t xml:space="preserve">(from a separately materialised, de-identified table populated by a one-way job; the metrics path never touches base tables) ·</w:t>
      </w:r>
      <w:r>
        <w:t xml:space="preserve"> </w:t>
      </w:r>
      <w:r>
        <w:rPr>
          <w:bCs/>
          <w:b/>
        </w:rPr>
        <w:t xml:space="preserve">data-subject portability export</w:t>
      </w:r>
      <w:r>
        <w:t xml:space="preserve"> </w:t>
      </w:r>
      <w:r>
        <w:t xml:space="preserve">(single tenant, single owner, initiated by a request row, never ad hoc).</w:t>
      </w:r>
      <w:r>
        <w:t xml:space="preserve"> </w:t>
      </w:r>
      <w:r>
        <w:rPr>
          <w:bCs/>
          <w:b/>
        </w:rPr>
        <w:t xml:space="preserve">Anything else that "needs" cross-tenant access is a design error.</w:t>
      </w:r>
    </w:p>
    <w:p>
      <w:pPr>
        <w:pStyle w:val="BodyText"/>
      </w:pPr>
      <w:r>
        <w:rPr>
          <w:rStyle w:val="VerbatimChar"/>
          <w:bCs/>
          <w:b/>
        </w:rPr>
        <w:t xml:space="preserve">E-006</w:t>
      </w:r>
      <w:r>
        <w:rPr>
          <w:bCs/>
          <w:b/>
        </w:rPr>
        <w:t xml:space="preserve"> </w:t>
      </w:r>
      <w:r>
        <w:rPr>
          <w:bCs/>
          <w:b/>
        </w:rPr>
        <w:t xml:space="preserve">— Isolation is tested continuously, not assumed</w:t>
      </w:r>
      <w:r>
        <w:t xml:space="preserve">: a generative property test per table driven by</w:t>
      </w:r>
      <w:r>
        <w:t xml:space="preserve"> </w:t>
      </w:r>
      <w:r>
        <w:rPr>
          <w:bCs/>
          <w:b/>
        </w:rPr>
        <w:t xml:space="preserve">live schema introspection</w:t>
      </w:r>
      <w:r>
        <w:t xml:space="preserve">, so a table added without a policy fails without anyone writing a test · a negative-authorisation API suite replaying tenant A's valid request against tenant B's resource IDs, asserting</w:t>
      </w:r>
      <w:r>
        <w:t xml:space="preserve"> </w:t>
      </w:r>
      <w:r>
        <w:rPr>
          <w:bCs/>
          <w:b/>
        </w:rPr>
        <w:t xml:space="preserve">404 not 403</w:t>
      </w:r>
      <w:r>
        <w:t xml:space="preserve">, because a 403 confirms the resource exists and is itself a cross-tenant information leak · a</w:t>
      </w:r>
      <w:r>
        <w:t xml:space="preserve"> </w:t>
      </w:r>
      <w:r>
        <w:rPr>
          <w:bCs/>
          <w:b/>
        </w:rPr>
        <w:t xml:space="preserve">pool-poisoning test</w:t>
      </w:r>
      <w:r>
        <w:t xml:space="preserve"> </w:t>
      </w:r>
      <w:r>
        <w:t xml:space="preserve">under the production pooling configuration, not a test double · a</w:t>
      </w:r>
      <w:r>
        <w:t xml:space="preserve"> </w:t>
      </w:r>
      <w:r>
        <w:rPr>
          <w:bCs/>
          <w:b/>
        </w:rPr>
        <w:t xml:space="preserve">referential-integrity fuzz with row-level security explicitly disabled</w:t>
      </w:r>
      <w:r>
        <w:t xml:space="preserve">, which is the test that proves the "structurally impossible" claim rather than assuming it · a migration gate diffing the post-migration schema against the invariant · and a quarterly manual red-team by an engineer with a valid session and full API knowledge.</w:t>
      </w:r>
    </w:p>
    <w:p>
      <w:pPr>
        <w:pStyle w:val="BodyText"/>
      </w:pPr>
      <w:r>
        <w:rPr>
          <w:bCs/>
          <w:b/>
        </w:rPr>
        <w:t xml:space="preserve">The honest limit:</w:t>
      </w:r>
      <w:r>
        <w:t xml:space="preserve"> </w:t>
      </w:r>
      <w:r>
        <w:t xml:space="preserve">row-level security does not protect against a compromised</w:t>
      </w:r>
      <w:r>
        <w:t xml:space="preserve"> </w:t>
      </w:r>
      <w:r>
        <w:rPr>
          <w:iCs/>
          <w:i/>
        </w:rPr>
        <w:t xml:space="preserve">session token</w:t>
      </w:r>
      <w:r>
        <w:t xml:space="preserve"> </w:t>
      </w:r>
      <w:r>
        <w:t xml:space="preserve">for a legitimate user of another tenant. That is an authentication problem, addressed in §S8.5.</w:t>
      </w:r>
    </w:p>
    <w:bookmarkEnd w:id="118"/>
    <w:bookmarkStart w:id="119" w:name="s83-zatca-phase-2-integration"/>
    <w:p>
      <w:pPr>
        <w:pStyle w:val="Heading2"/>
      </w:pPr>
      <w:r>
        <w:t xml:space="preserve">S8.3 ZATCA Phase 2 integration</w:t>
      </w:r>
    </w:p>
    <w:p>
      <w:pPr>
        <w:pStyle w:val="FirstParagraph"/>
      </w:pPr>
      <w:r>
        <w:rPr>
          <w:bCs/>
          <w:b/>
        </w:rPr>
        <w:t xml:space="preserve">Scope.</w:t>
      </w:r>
      <w:r>
        <w:t xml:space="preserve"> </w:t>
      </w:r>
      <w:r>
        <w:t xml:space="preserve">Wave 24 applies to taxpayers whose revenue exceeded SAR 375,000 in any of 2022, 2023 or 2024, with integration required by</w:t>
      </w:r>
      <w:r>
        <w:t xml:space="preserve"> </w:t>
      </w:r>
      <w:r>
        <w:rPr>
          <w:bCs/>
          <w:b/>
        </w:rPr>
        <w:t xml:space="preserve">30 June 2026 — a deadline now passed</w:t>
      </w:r>
      <w:r>
        <w:t xml:space="preserve">. At that threshold</w:t>
      </w:r>
      <w:r>
        <w:t xml:space="preserve"> </w:t>
      </w:r>
      <w:r>
        <w:rPr>
          <w:bCs/>
          <w:b/>
        </w:rPr>
        <w:t xml:space="preserve">virtually every target clinic is in scope, so the platform treats Phase 2 as universal, not optional.</w:t>
      </w:r>
      <w:r>
        <w:t xml:space="preserve"> </w:t>
      </w:r>
      <w:r>
        <w:t xml:space="preserve">Wave 25 has been announced; its threshold and deadline are</w:t>
      </w:r>
      <w:r>
        <w:t xml:space="preserve"> </w:t>
      </w:r>
      <w:r>
        <w:rPr>
          <w:rStyle w:val="VerbatimChar"/>
        </w:rPr>
        <w:t xml:space="preserve">[EVIDENCE REQUIRED]</w:t>
      </w:r>
      <w:r>
        <w:t xml:space="preserve">.</w:t>
      </w:r>
    </w:p>
    <w:p>
      <w:pPr>
        <w:pStyle w:val="BodyText"/>
      </w:pPr>
      <w:r>
        <w:rPr>
          <w:rStyle w:val="VerbatimChar"/>
          <w:bCs/>
          <w:b/>
        </w:rPr>
        <w:t xml:space="preserve">E-007</w:t>
      </w:r>
      <w:r>
        <w:rPr>
          <w:bCs/>
          <w:b/>
        </w:rPr>
        <w:t xml:space="preserve"> </w:t>
      </w:r>
      <w:r>
        <w:rPr>
          <w:bCs/>
          <w:b/>
        </w:rPr>
        <w:t xml:space="preserve">— Onboarding per device.</w:t>
      </w:r>
      <w:r>
        <w:t xml:space="preserve"> </w:t>
      </w:r>
      <w:r>
        <w:t xml:space="preserve">The certificate request carries a common name,</w:t>
      </w:r>
      <w:r>
        <w:t xml:space="preserve"> </w:t>
      </w:r>
      <w:r>
        <w:rPr>
          <w:bCs/>
          <w:b/>
        </w:rPr>
        <w:t xml:space="preserve">the device serial in the mandated</w:t>
      </w:r>
      <w:r>
        <w:rPr>
          <w:bCs/>
          <w:b/>
        </w:rPr>
        <w:t xml:space="preserve"> </w:t>
      </w:r>
      <w:r>
        <w:rPr>
          <w:rStyle w:val="VerbatimChar"/>
          <w:bCs/>
          <w:b/>
        </w:rPr>
        <w:t xml:space="preserve">1-&lt;manufacturer&gt;|2-&lt;model&gt;|3-&lt;serial&gt;</w:t>
      </w:r>
      <w:r>
        <w:rPr>
          <w:bCs/>
          <w:b/>
        </w:rPr>
        <w:t xml:space="preserve"> </w:t>
      </w:r>
      <w:r>
        <w:rPr>
          <w:bCs/>
          <w:b/>
        </w:rPr>
        <w:t xml:space="preserve">form</w:t>
      </w:r>
      <w:r>
        <w:t xml:space="preserve">, the organisation identifier (the 15-digit VAT number), the branch as organisational unit, organisation name, country code,</w:t>
      </w:r>
      <w:r>
        <w:t xml:space="preserve"> </w:t>
      </w:r>
      <w:r>
        <w:rPr>
          <w:bCs/>
          <w:b/>
        </w:rPr>
        <w:t xml:space="preserve">the invoice-type functionality map</w:t>
      </w:r>
      <w:r>
        <w:t xml:space="preserve">, location and industry. The key pair is</w:t>
      </w:r>
      <w:r>
        <w:t xml:space="preserve"> </w:t>
      </w:r>
      <w:r>
        <w:rPr>
          <w:bCs/>
          <w:b/>
        </w:rPr>
        <w:t xml:space="preserve">generated inside the key-management service as non-exportable</w:t>
      </w:r>
      <w:r>
        <w:t xml:space="preserve">, satisfying the requirement that the private key must not be exported. Compliance certificate → mandated compliance invoices → production certificate. Renewal runs at T-30 days with escalation at T-7, because</w:t>
      </w:r>
      <w:r>
        <w:t xml:space="preserve"> </w:t>
      </w:r>
      <w:r>
        <w:rPr>
          <w:bCs/>
          <w:b/>
        </w:rPr>
        <w:t xml:space="preserve">an expired certificate stops invoicing entirely, which stops the clinic taking money.</w:t>
      </w:r>
    </w:p>
    <w:p>
      <w:pPr>
        <w:pStyle w:val="BodyText"/>
      </w:pPr>
      <w:r>
        <w:rPr>
          <w:rStyle w:val="VerbatimChar"/>
        </w:rPr>
        <w:t xml:space="preserve">[EVIDENCE REQUIRED]</w:t>
      </w:r>
      <w:r>
        <w:t xml:space="preserve"> </w:t>
      </w:r>
      <w:r>
        <w:t xml:space="preserve">— the authoritative published endpoint list, and the first-invoice previous-hash seed value, must both be confirmed against the current ZATCA developer portal before implementation. Community-sourced values are not sufficient for a compliance path.</w:t>
      </w:r>
    </w:p>
    <w:p>
      <w:pPr>
        <w:pStyle w:val="BodyText"/>
      </w:pPr>
      <w:r>
        <w:rPr>
          <w:rStyle w:val="VerbatimChar"/>
          <w:bCs/>
          <w:b/>
        </w:rPr>
        <w:t xml:space="preserve">E-008</w:t>
      </w:r>
      <w:r>
        <w:rPr>
          <w:bCs/>
          <w:b/>
        </w:rPr>
        <w:t xml:space="preserve"> </w:t>
      </w:r>
      <w:r>
        <w:rPr>
          <w:bCs/>
          <w:b/>
        </w:rPr>
        <w:t xml:space="preserve">— The invoice pipeline is deterministic, single-writer and transactional.</w:t>
      </w:r>
      <w:r>
        <w:t xml:space="preserve"> </w:t>
      </w:r>
      <w:r>
        <w:t xml:space="preserve">Inside one database transaction, with a row lock on the device: allocate</w:t>
      </w:r>
      <w:r>
        <w:t xml:space="preserve"> </w:t>
      </w:r>
      <w:r>
        <w:rPr>
          <w:rStyle w:val="VerbatimChar"/>
        </w:rPr>
        <w:t xml:space="preserve">icv = last + 1</w:t>
      </w:r>
      <w:r>
        <w:t xml:space="preserve">, take the previous hash, mint the UUID.</w:t>
      </w:r>
      <w:r>
        <w:t xml:space="preserve"> </w:t>
      </w:r>
      <w:r>
        <w:rPr>
          <w:bCs/>
          <w:b/>
        </w:rPr>
        <w:t xml:space="preserve">Serialising on the device row is what guarantees the counter is non-resetting and gapless and the chain unbroken</w:t>
      </w:r>
      <w:r>
        <w:t xml:space="preserve"> </w:t>
      </w:r>
      <w:r>
        <w:t xml:space="preserve">— hence a single writer per device plus a uniqueness constraint on (tenant, device, counter). Then render UBL 2.1 with the counter and previous hash in the mandated reference elements, canonicalise, hash, sign with the certificate key, generate the QR,</w:t>
      </w:r>
      <w:r>
        <w:t xml:space="preserve"> </w:t>
      </w:r>
      <w:r>
        <w:rPr>
          <w:bCs/>
          <w:b/>
        </w:rPr>
        <w:t xml:space="preserve">persist the XML and commit — and the invoice is now durable and the consultation can complete. Submission is a separate asynchronous step.</w:t>
      </w:r>
      <w:r>
        <w:t xml:space="preserve"> </w:t>
      </w:r>
      <w:r>
        <w:t xml:space="preserve">For standard invoices the QR is generated by ZATCA at clearance and returned in the cleared document;</w:t>
      </w:r>
      <w:r>
        <w:t xml:space="preserve"> </w:t>
      </w:r>
      <w:r>
        <w:rPr>
          <w:bCs/>
          <w:b/>
        </w:rPr>
        <w:t xml:space="preserve">the platform renders ZATCA's QR, not its own.</w:t>
      </w:r>
    </w:p>
    <w:p>
      <w:pPr>
        <w:pStyle w:val="BodyText"/>
      </w:pPr>
      <w:r>
        <w:rPr>
          <w:rStyle w:val="VerbatimChar"/>
          <w:bCs/>
          <w:b/>
        </w:rPr>
        <w:t xml:space="preserve">E-009</w:t>
      </w:r>
      <w:r>
        <w:rPr>
          <w:bCs/>
          <w:b/>
        </w:rPr>
        <w:t xml:space="preserve"> </w:t>
      </w:r>
      <w:r>
        <w:rPr>
          <w:bCs/>
          <w:b/>
        </w:rPr>
        <w:t xml:space="preserve">— Clearance versus reporting is a product-behaviour switch, not a billing convenience.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Standard (B2B)</w:t>
            </w:r>
          </w:p>
        </w:tc>
        <w:tc>
          <w:tcPr/>
          <w:p>
            <w:pPr>
              <w:pStyle w:val="Compact"/>
              <w:jc w:val="left"/>
            </w:pPr>
            <w:r>
              <w:t xml:space="preserve">Simplified (B2C)</w:t>
            </w:r>
          </w:p>
        </w:tc>
      </w:tr>
      <w:tr>
        <w:tc>
          <w:tcPr/>
          <w:p>
            <w:pPr>
              <w:pStyle w:val="Compact"/>
              <w:jc w:val="left"/>
            </w:pPr>
            <w:r>
              <w:t xml:space="preserve">Timing</w:t>
            </w:r>
          </w:p>
        </w:tc>
        <w:tc>
          <w:tcPr/>
          <w:p>
            <w:pPr>
              <w:pStyle w:val="Compact"/>
              <w:jc w:val="left"/>
            </w:pPr>
            <w:r>
              <w:rPr>
                <w:bCs/>
                <w:b/>
              </w:rPr>
              <w:t xml:space="preserve">Cleared before the invoice is shared with the buyer</w:t>
            </w:r>
          </w:p>
        </w:tc>
        <w:tc>
          <w:tcPr/>
          <w:p>
            <w:pPr>
              <w:pStyle w:val="Compact"/>
              <w:jc w:val="left"/>
            </w:pPr>
            <w:r>
              <w:t xml:space="preserve">Shared immediately;</w:t>
            </w:r>
            <w:r>
              <w:t xml:space="preserve"> </w:t>
            </w:r>
            <w:r>
              <w:rPr>
                <w:bCs/>
                <w:b/>
              </w:rPr>
              <w:t xml:space="preserve">submitted within 24 hours of issuance</w:t>
            </w:r>
          </w:p>
        </w:tc>
      </w:tr>
      <w:tr>
        <w:tc>
          <w:tcPr/>
          <w:p>
            <w:pPr>
              <w:pStyle w:val="Compact"/>
              <w:jc w:val="left"/>
            </w:pPr>
            <w:r>
              <w:t xml:space="preserve">Stamp / QR</w:t>
            </w:r>
          </w:p>
        </w:tc>
        <w:tc>
          <w:tcPr/>
          <w:p>
            <w:pPr>
              <w:pStyle w:val="Compact"/>
              <w:jc w:val="left"/>
            </w:pPr>
            <w:r>
              <w:t xml:space="preserve">ZATCA applies the stamp and inserts the QR; the returned cleared document is authoritative</w:t>
            </w:r>
          </w:p>
        </w:tc>
        <w:tc>
          <w:tcPr/>
          <w:p>
            <w:pPr>
              <w:pStyle w:val="Compact"/>
              <w:jc w:val="left"/>
            </w:pPr>
            <w:r>
              <w:t xml:space="preserve">The clinic's solution stamps and generates the QR itself</w:t>
            </w:r>
          </w:p>
        </w:tc>
      </w:tr>
      <w:tr>
        <w:tc>
          <w:tcPr/>
          <w:p>
            <w:pPr>
              <w:pStyle w:val="Compact"/>
              <w:jc w:val="left"/>
            </w:pPr>
            <w:r>
              <w:t xml:space="preserve">Offline viable</w:t>
            </w:r>
          </w:p>
        </w:tc>
        <w:tc>
          <w:tcPr/>
          <w:p>
            <w:pPr>
              <w:pStyle w:val="Compact"/>
              <w:jc w:val="left"/>
            </w:pPr>
            <w:r>
              <w:rPr>
                <w:bCs/>
                <w:b/>
              </w:rPr>
              <w:t xml:space="preserve">No</w:t>
            </w:r>
          </w:p>
        </w:tc>
        <w:tc>
          <w:tcPr/>
          <w:p>
            <w:pPr>
              <w:pStyle w:val="Compact"/>
              <w:jc w:val="left"/>
            </w:pPr>
            <w:r>
              <w:rPr>
                <w:bCs/>
                <w:b/>
              </w:rPr>
              <w:t xml:space="preserve">Yes</w:t>
            </w:r>
          </w:p>
        </w:tc>
      </w:tr>
    </w:tbl>
    <w:p>
      <w:pPr>
        <w:pStyle w:val="BodyText"/>
      </w:pPr>
      <w:r>
        <w:rPr>
          <w:bCs/>
          <w:b/>
        </w:rPr>
        <w:t xml:space="preserve">Product consequence: for an ordinary consultation the owner can be handed a receipt and leave before ZATCA has ever been contacted.</w:t>
      </w:r>
      <w:r>
        <w:t xml:space="preserve"> </w:t>
      </w:r>
      <w:r>
        <w:t xml:space="preserve">For a business invoice they cannot. The corporate-account flag is therefore a ZATCA-behaviour switch.</w:t>
      </w:r>
    </w:p>
    <w:p>
      <w:pPr>
        <w:pStyle w:val="BodyText"/>
      </w:pPr>
      <w:r>
        <w:rPr>
          <w:rStyle w:val="VerbatimChar"/>
          <w:bCs/>
          <w:b/>
        </w:rPr>
        <w:t xml:space="preserve">E-010</w:t>
      </w:r>
      <w:r>
        <w:rPr>
          <w:bCs/>
          <w:b/>
        </w:rPr>
        <w:t xml:space="preserve"> </w:t>
      </w:r>
      <w:r>
        <w:rPr>
          <w:bCs/>
          <w:b/>
        </w:rPr>
        <w:t xml:space="preserve">— Failure and retry.</w:t>
      </w:r>
      <w:r>
        <w:t xml:space="preserve"> </w:t>
      </w:r>
      <w:r>
        <w:t xml:space="preserve">A durable outbox with a per-tenant queue, so one tenant's backlog cannot starve another. Retryable statuses back off from 30-second attempts across the first ~5 minutes to 15-minute intervals with jitter, indefinitely, alerting at 1 hour and at the 24-hour boundary.</w:t>
      </w:r>
      <w:r>
        <w:t xml:space="preserve"> </w:t>
      </w:r>
      <w:r>
        <w:rPr>
          <w:bCs/>
          <w:b/>
        </w:rPr>
        <w:t xml:space="preserve">A rejection is never blind-retried</w:t>
      </w:r>
      <w:r>
        <w:t xml:space="preserve"> </w:t>
      </w:r>
      <w:r>
        <w:t xml:space="preserve">— it needs a corrected document, and correction means a credit note plus a new invoice, never an edit. A certificate failure</w:t>
      </w:r>
      <w:r>
        <w:t xml:space="preserve"> </w:t>
      </w:r>
      <w:r>
        <w:rPr>
          <w:bCs/>
          <w:b/>
        </w:rPr>
        <w:t xml:space="preserve">halts the queue for that device, pages, and surfaces a clinic-visible banner</w:t>
      </w:r>
      <w:r>
        <w:t xml:space="preserve">, because silent failure here accumulates 24-hour compliance debt. A clearance-switched-off response is</w:t>
      </w:r>
      <w:r>
        <w:t xml:space="preserve"> </w:t>
      </w:r>
      <w:r>
        <w:rPr>
          <w:bCs/>
          <w:b/>
        </w:rPr>
        <w:t xml:space="preserve">automatically re-routed to reporting and the switch recorded</w:t>
      </w:r>
      <w:r>
        <w:t xml:space="preserve">, since it silently changes the compliance flow. A missed 24-hour window opens a</w:t>
      </w:r>
      <w:r>
        <w:t xml:space="preserve"> </w:t>
      </w:r>
      <w:r>
        <w:rPr>
          <w:rStyle w:val="VerbatimChar"/>
        </w:rPr>
        <w:t xml:space="preserve">ComplianceIncident</w:t>
      </w:r>
      <w:r>
        <w:t xml:space="preserve"> </w:t>
      </w:r>
      <w:r>
        <w:t xml:space="preserve">and prompts the practice manager with the exact notification form and the affected invoice list —</w:t>
      </w:r>
      <w:r>
        <w:t xml:space="preserve"> </w:t>
      </w:r>
      <w:r>
        <w:rPr>
          <w:bCs/>
          <w:b/>
        </w:rPr>
        <w:t xml:space="preserve">the platform cannot file it for them, but it can make it a two-minute task instead of an unknown.</w:t>
      </w:r>
    </w:p>
    <w:p>
      <w:pPr>
        <w:pStyle w:val="BodyText"/>
      </w:pPr>
      <w:r>
        <w:rPr>
          <w:rStyle w:val="VerbatimChar"/>
          <w:bCs/>
          <w:b/>
        </w:rPr>
        <w:t xml:space="preserve">E-011</w:t>
      </w:r>
      <w:r>
        <w:rPr>
          <w:bCs/>
          <w:b/>
        </w:rPr>
        <w:t xml:space="preserve"> </w:t>
      </w:r>
      <w:r>
        <w:rPr>
          <w:bCs/>
          <w:b/>
        </w:rPr>
        <w:t xml:space="preserve">— ZATCA unreachable mid-consultation: nothing blocks.</w:t>
      </w:r>
      <w:r>
        <w:t xml:space="preserve"> </w:t>
      </w:r>
      <w:r>
        <w:t xml:space="preserve">The invoice is signed, stamped and committed locally before any network call. For a simplified invoice this is fully correct — it is legitimately issued and shared at once, with 24 hours to report. For a standard invoice the interface shows pending clearance and the printed output carries a</w:t>
      </w:r>
      <w:r>
        <w:t xml:space="preserve"> </w:t>
      </w:r>
      <w:r>
        <w:rPr>
          <w:bCs/>
          <w:b/>
        </w:rPr>
        <w:t xml:space="preserve">visible bilingual notice that it is not yet a cleared document and is not eligible for the buyer's VAT deduction</w:t>
      </w:r>
      <w:r>
        <w:t xml:space="preserve"> </w:t>
      </w:r>
      <w:r>
        <w:t xml:space="preserve">— because silently handing a corporate customer an uncleared invoice creates a downstream tax problem for</w:t>
      </w:r>
      <w:r>
        <w:t xml:space="preserve"> </w:t>
      </w:r>
      <w:r>
        <w:rPr>
          <w:iCs/>
          <w:i/>
        </w:rPr>
        <w:t xml:space="preserve">them</w:t>
      </w:r>
      <w:r>
        <w:t xml:space="preserve">, which is how a clinic loses a corporate account.</w:t>
      </w:r>
    </w:p>
    <w:p>
      <w:pPr>
        <w:pStyle w:val="BlockText"/>
      </w:pPr>
      <w:r>
        <w:rPr>
          <w:bCs/>
          <w:b/>
        </w:rPr>
        <w:t xml:space="preserve">The failure mode this design eliminates: a vet unable to discharge a patient because a tax API is down.</w:t>
      </w:r>
      <w:r>
        <w:t xml:space="preserve"> </w:t>
      </w:r>
      <w:r>
        <w:t xml:space="preserve">Coupling transaction completion to external clearance is the single most likely cause of a clinic abandoning the product.</w:t>
      </w:r>
    </w:p>
    <w:p>
      <w:pPr>
        <w:pStyle w:val="FirstParagraph"/>
      </w:pPr>
      <w:r>
        <w:rPr>
          <w:rStyle w:val="VerbatimChar"/>
          <w:bCs/>
          <w:b/>
        </w:rPr>
        <w:t xml:space="preserve">E-012</w:t>
      </w:r>
      <w:r>
        <w:rPr>
          <w:bCs/>
          <w:b/>
        </w:rPr>
        <w:t xml:space="preserve"> </w:t>
      </w:r>
      <w:r>
        <w:rPr>
          <w:bCs/>
          <w:b/>
        </w:rPr>
        <w:t xml:space="preserve">— Archival.</w:t>
      </w:r>
      <w:r>
        <w:t xml:space="preserve"> </w:t>
      </w:r>
      <w:r>
        <w:t xml:space="preserve">ZATCA requires in-Kingdom storage accessible to the Authority, with the XML preserved unmodified and undeletable and a mandated naming convention. Implementation: object storage in</w:t>
      </w:r>
      <w:r>
        <w:t xml:space="preserve"> </w:t>
      </w:r>
      <w:r>
        <w:rPr>
          <w:rStyle w:val="VerbatimChar"/>
        </w:rPr>
        <w:t xml:space="preserve">me-central2</w:t>
      </w:r>
      <w:r>
        <w:t xml:space="preserve"> </w:t>
      </w:r>
      <w:r>
        <w:t xml:space="preserve">with a</w:t>
      </w:r>
      <w:r>
        <w:t xml:space="preserve"> </w:t>
      </w:r>
      <w:r>
        <w:rPr>
          <w:bCs/>
          <w:b/>
        </w:rPr>
        <w:t xml:space="preserve">locked</w:t>
      </w:r>
      <w:r>
        <w:t xml:space="preserve"> </w:t>
      </w:r>
      <w:r>
        <w:t xml:space="preserve">retention policy (a locked policy cannot be shortened or removed, which is what makes immutability real), the exact naming convention, versioning, customer-managed keys, and an export path to the tenant's own archive.</w:t>
      </w:r>
    </w:p>
    <w:bookmarkEnd w:id="119"/>
    <w:bookmarkStart w:id="120" w:name="s84-integration-contracts"/>
    <w:p>
      <w:pPr>
        <w:pStyle w:val="Heading2"/>
      </w:pPr>
      <w:r>
        <w:t xml:space="preserve">S8.4 Integration contracts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Dependency</w:t>
            </w:r>
          </w:p>
        </w:tc>
        <w:tc>
          <w:tcPr/>
          <w:p>
            <w:pPr>
              <w:pStyle w:val="Compact"/>
              <w:jc w:val="left"/>
            </w:pPr>
            <w:r>
              <w:t xml:space="preserve">Phase</w:t>
            </w:r>
          </w:p>
        </w:tc>
        <w:tc>
          <w:tcPr/>
          <w:p>
            <w:pPr>
              <w:pStyle w:val="Compact"/>
              <w:jc w:val="left"/>
            </w:pPr>
            <w:r>
              <w:t xml:space="preserve">Contract and failure posture</w:t>
            </w:r>
          </w:p>
        </w:tc>
      </w:tr>
      <w:tr>
        <w:tc>
          <w:tcPr/>
          <w:p>
            <w:pPr>
              <w:pStyle w:val="Compact"/>
              <w:jc w:val="left"/>
            </w:pPr>
            <w:r>
              <w:rPr>
                <w:rStyle w:val="VerbatimChar"/>
              </w:rPr>
              <w:t xml:space="preserve">E-101</w:t>
            </w:r>
          </w:p>
        </w:tc>
        <w:tc>
          <w:tcPr/>
          <w:p>
            <w:pPr>
              <w:pStyle w:val="Compact"/>
              <w:jc w:val="left"/>
            </w:pPr>
            <w:r>
              <w:rPr>
                <w:bCs/>
                <w:b/>
              </w:rPr>
              <w:t xml:space="preserve">ZATCA FATOORA</w:t>
            </w:r>
          </w:p>
        </w:tc>
        <w:tc>
          <w:tcPr/>
          <w:p>
            <w:pPr>
              <w:pStyle w:val="Compact"/>
              <w:jc w:val="left"/>
            </w:pPr>
            <w:r>
              <w:rPr>
                <w:bCs/>
                <w:b/>
              </w:rPr>
              <w:t xml:space="preserve">1</w:t>
            </w:r>
          </w:p>
        </w:tc>
        <w:tc>
          <w:tcPr/>
          <w:p>
            <w:pPr>
              <w:pStyle w:val="Compact"/>
              <w:jc w:val="left"/>
            </w:pPr>
            <w:r>
              <w:t xml:space="preserve">Bidirectional, async outbox. Per §S8.3.</w:t>
            </w:r>
            <w:r>
              <w:t xml:space="preserve"> </w:t>
            </w:r>
            <w:r>
              <w:rPr>
                <w:bCs/>
                <w:b/>
              </w:rPr>
              <w:t xml:space="preserve">Never blocks care</w:t>
            </w:r>
          </w:p>
        </w:tc>
      </w:tr>
      <w:tr>
        <w:tc>
          <w:tcPr/>
          <w:p>
            <w:pPr>
              <w:pStyle w:val="Compact"/>
              <w:jc w:val="left"/>
            </w:pPr>
            <w:r>
              <w:rPr>
                <w:rStyle w:val="VerbatimChar"/>
              </w:rPr>
              <w:t xml:space="preserve">E-102</w:t>
            </w:r>
          </w:p>
        </w:tc>
        <w:tc>
          <w:tcPr/>
          <w:p>
            <w:pPr>
              <w:pStyle w:val="Compact"/>
              <w:jc w:val="left"/>
            </w:pPr>
            <w:r>
              <w:rPr>
                <w:bCs/>
                <w:b/>
              </w:rPr>
              <w:t xml:space="preserve">SFDA registered-drug register</w:t>
            </w:r>
          </w:p>
        </w:tc>
        <w:tc>
          <w:tcPr/>
          <w:p>
            <w:pPr>
              <w:pStyle w:val="Compact"/>
              <w:jc w:val="left"/>
            </w:pPr>
            <w:r>
              <w:rPr>
                <w:bCs/>
                <w:b/>
              </w:rPr>
              <w:t xml:space="preserve">1</w:t>
            </w:r>
            <w:r>
              <w:t xml:space="preserve"> </w:t>
            </w:r>
            <w:r>
              <w:t xml:space="preserve">ingest</w:t>
            </w:r>
          </w:p>
        </w:tc>
        <w:tc>
          <w:tcPr/>
          <w:p>
            <w:pPr>
              <w:pStyle w:val="Compact"/>
              <w:jc w:val="left"/>
            </w:pPr>
            <w:r>
              <w:rPr>
                <w:bCs/>
                <w:b/>
              </w:rPr>
              <w:t xml:space="preserve">No public API located.</w:t>
            </w:r>
            <w:r>
              <w:t xml:space="preserve"> </w:t>
            </w:r>
            <w:r>
              <w:rPr>
                <w:rStyle w:val="VerbatimChar"/>
              </w:rPr>
              <w:t xml:space="preserve">[EVIDENCE REQUIRED]</w:t>
            </w:r>
            <w:r>
              <w:t xml:space="preserve"> </w:t>
            </w:r>
            <w:r>
              <w:t xml:space="preserve">— canonical file location, format, cadence. Implemented as a</w:t>
            </w:r>
            <w:r>
              <w:t xml:space="preserve"> </w:t>
            </w:r>
            <w:r>
              <w:rPr>
                <w:bCs/>
                <w:b/>
              </w:rPr>
              <w:t xml:space="preserve">scheduled file ingest with a human-reviewed diff, never a live dependency in the dispense path.</w:t>
            </w:r>
            <w:r>
              <w:t xml:space="preserve"> </w:t>
            </w:r>
            <w:r>
              <w:t xml:space="preserve">Stale beyond threshold → dispense shows a staleness warning rather than blocking</w:t>
            </w:r>
          </w:p>
        </w:tc>
      </w:tr>
      <w:tr>
        <w:tc>
          <w:tcPr/>
          <w:p>
            <w:pPr>
              <w:pStyle w:val="Compact"/>
              <w:jc w:val="left"/>
            </w:pPr>
            <w:r>
              <w:rPr>
                <w:rStyle w:val="VerbatimChar"/>
              </w:rPr>
              <w:t xml:space="preserve">E-103</w:t>
            </w:r>
          </w:p>
        </w:tc>
        <w:tc>
          <w:tcPr/>
          <w:p>
            <w:pPr>
              <w:pStyle w:val="Compact"/>
              <w:jc w:val="left"/>
            </w:pPr>
            <w:r>
              <w:rPr>
                <w:bCs/>
                <w:b/>
              </w:rPr>
              <w:t xml:space="preserve">GS1 / SFDA drug track-and-trace</w:t>
            </w:r>
          </w:p>
        </w:tc>
        <w:tc>
          <w:tcPr/>
          <w:p>
            <w:pPr>
              <w:pStyle w:val="Compact"/>
              <w:jc w:val="left"/>
            </w:pPr>
            <w:r>
              <w:rPr>
                <w:bCs/>
                <w:b/>
              </w:rPr>
              <w:t xml:space="preserve">1</w:t>
            </w:r>
            <w:r>
              <w:t xml:space="preserve"> </w:t>
            </w:r>
            <w:r>
              <w:t xml:space="preserve">decode; later reporting</w:t>
            </w:r>
          </w:p>
        </w:tc>
        <w:tc>
          <w:tcPr/>
          <w:p>
            <w:pPr>
              <w:pStyle w:val="Compact"/>
              <w:jc w:val="left"/>
            </w:pPr>
            <w:r>
              <w:t xml:space="preserve">Phase 1 is</w:t>
            </w:r>
            <w:r>
              <w:t xml:space="preserve"> </w:t>
            </w:r>
            <w:r>
              <w:rPr>
                <w:bCs/>
                <w:b/>
              </w:rPr>
              <w:t xml:space="preserve">decode-and-store only</w:t>
            </w:r>
            <w:r>
              <w:t xml:space="preserve">: parse the application identifiers, persist the raw scan verbatim, validate check digit and expiry. Unparseable or absent barcode →</w:t>
            </w:r>
            <w:r>
              <w:t xml:space="preserve"> </w:t>
            </w:r>
            <w:r>
              <w:rPr>
                <w:bCs/>
                <w:b/>
              </w:rPr>
              <w:t xml:space="preserve">manual entry with a data-quality flag, never a hard block</w:t>
            </w:r>
            <w:r>
              <w:t xml:space="preserve"> </w:t>
            </w:r>
            <w:r>
              <w:t xml:space="preserve">— a vet must be able to dispense.</w:t>
            </w:r>
            <w:r>
              <w:t xml:space="preserve"> </w:t>
            </w:r>
            <w:r>
              <w:rPr>
                <w:rStyle w:val="VerbatimChar"/>
              </w:rPr>
              <w:t xml:space="preserve">[EVIDENCE REQUIRED]</w:t>
            </w:r>
            <w:r>
              <w:t xml:space="preserve"> </w:t>
            </w:r>
            <w:r>
              <w:t xml:space="preserve">— whether a veterinary clinic is an obligated reporting node, and the event contract.</w:t>
            </w:r>
            <w:r>
              <w:t xml:space="preserve"> </w:t>
            </w:r>
            <w:r>
              <w:rPr>
                <w:bCs/>
                <w:b/>
              </w:rPr>
              <w:t xml:space="preserve">Seam:</w:t>
            </w:r>
            <w:r>
              <w:rPr>
                <w:bCs/>
                <w:b/>
              </w:rPr>
              <w:t xml:space="preserve"> </w:t>
            </w:r>
            <w:r>
              <w:rPr>
                <w:rStyle w:val="VerbatimChar"/>
                <w:bCs/>
                <w:b/>
              </w:rPr>
              <w:t xml:space="preserve">DispenseEvent</w:t>
            </w:r>
            <w:r>
              <w:rPr>
                <w:bCs/>
                <w:b/>
              </w:rPr>
              <w:t xml:space="preserve"> </w:t>
            </w:r>
            <w:r>
              <w:rPr>
                <w:bCs/>
                <w:b/>
              </w:rPr>
              <w:t xml:space="preserve">already carries the full event payload shape</w:t>
            </w:r>
          </w:p>
        </w:tc>
      </w:tr>
      <w:tr>
        <w:tc>
          <w:tcPr/>
          <w:p>
            <w:pPr>
              <w:pStyle w:val="Compact"/>
              <w:jc w:val="left"/>
            </w:pPr>
            <w:r>
              <w:rPr>
                <w:rStyle w:val="VerbatimChar"/>
              </w:rPr>
              <w:t xml:space="preserve">E-104</w:t>
            </w:r>
          </w:p>
        </w:tc>
        <w:tc>
          <w:tcPr/>
          <w:p>
            <w:pPr>
              <w:pStyle w:val="Compact"/>
              <w:jc w:val="left"/>
            </w:pPr>
            <w:r>
              <w:rPr>
                <w:bCs/>
                <w:b/>
              </w:rPr>
              <w:t xml:space="preserve">Weqaa notifiable reporting</w:t>
            </w:r>
          </w:p>
        </w:tc>
        <w:tc>
          <w:tcPr/>
          <w:p>
            <w:pPr>
              <w:pStyle w:val="Compact"/>
              <w:jc w:val="left"/>
            </w:pPr>
            <w:r>
              <w:rPr>
                <w:bCs/>
                <w:b/>
              </w:rPr>
              <w:t xml:space="preserve">1</w:t>
            </w:r>
            <w:r>
              <w:t xml:space="preserve"> </w:t>
            </w:r>
            <w:r>
              <w:t xml:space="preserve">detect + assist; later transport</w:t>
            </w:r>
          </w:p>
        </w:tc>
        <w:tc>
          <w:tcPr/>
          <w:p>
            <w:pPr>
              <w:pStyle w:val="Compact"/>
              <w:jc w:val="left"/>
            </w:pPr>
            <w:r>
              <w:rPr>
                <w:bCs/>
                <w:b/>
              </w:rPr>
              <w:t xml:space="preserve">No public submission API located.</w:t>
            </w:r>
            <w:r>
              <w:t xml:space="preserve"> </w:t>
            </w:r>
            <w:r>
              <w:rPr>
                <w:rStyle w:val="VerbatimChar"/>
              </w:rPr>
              <w:t xml:space="preserve">[EVIDENCE REQUIRED]</w:t>
            </w:r>
            <w:r>
              <w:t xml:space="preserve">. Phase 1 is assisted manual submission with proof-of-report capture (§S4.4d). This is honest about the unknown</w:t>
            </w:r>
            <w:r>
              <w:t xml:space="preserve"> </w:t>
            </w:r>
            <w:r>
              <w:rPr>
                <w:bCs/>
                <w:b/>
              </w:rPr>
              <w:t xml:space="preserve">while still eliminating the actual failure — a vet who forgets.</w:t>
            </w:r>
            <w:r>
              <w:t xml:space="preserve"> </w:t>
            </w:r>
            <w:r>
              <w:t xml:space="preserve">Seam: the report entity is already a complete submission payload; adding transport is a worker, not a redesign</w:t>
            </w:r>
          </w:p>
        </w:tc>
      </w:tr>
      <w:tr>
        <w:tc>
          <w:tcPr/>
          <w:p>
            <w:pPr>
              <w:pStyle w:val="Compact"/>
              <w:jc w:val="left"/>
            </w:pPr>
            <w:r>
              <w:rPr>
                <w:rStyle w:val="VerbatimChar"/>
              </w:rPr>
              <w:t xml:space="preserve">E-105</w:t>
            </w:r>
          </w:p>
        </w:tc>
        <w:tc>
          <w:tcPr/>
          <w:p>
            <w:pPr>
              <w:pStyle w:val="Compact"/>
              <w:jc w:val="left"/>
            </w:pPr>
            <w:r>
              <w:rPr>
                <w:bCs/>
                <w:b/>
              </w:rPr>
              <w:t xml:space="preserve">MEWA / Nama licence verification</w:t>
            </w:r>
          </w:p>
        </w:tc>
        <w:tc>
          <w:tcPr/>
          <w:p>
            <w:pPr>
              <w:pStyle w:val="Compact"/>
              <w:jc w:val="left"/>
            </w:pPr>
            <w:r>
              <w:rPr>
                <w:bCs/>
                <w:b/>
              </w:rPr>
              <w:t xml:space="preserve">1</w:t>
            </w:r>
            <w:r>
              <w:t xml:space="preserve"> </w:t>
            </w:r>
            <w:r>
              <w:t xml:space="preserve">document; later authority</w:t>
            </w:r>
          </w:p>
        </w:tc>
        <w:tc>
          <w:tcPr/>
          <w:p>
            <w:pPr>
              <w:pStyle w:val="Compact"/>
              <w:jc w:val="left"/>
            </w:pPr>
            <w:r>
              <w:rPr>
                <w:bCs/>
                <w:b/>
              </w:rPr>
              <w:t xml:space="preserve">No public verification API located.</w:t>
            </w:r>
            <w:r>
              <w:t xml:space="preserve"> </w:t>
            </w:r>
            <w:r>
              <w:rPr>
                <w:rStyle w:val="VerbatimChar"/>
              </w:rPr>
              <w:t xml:space="preserve">[EVIDENCE REQUIRED]</w:t>
            </w:r>
            <w:r>
              <w:t xml:space="preserve">. Phase 1 uses the verification ladder.</w:t>
            </w:r>
            <w:r>
              <w:t xml:space="preserve"> </w:t>
            </w:r>
            <w:r>
              <w:rPr>
                <w:bCs/>
                <w:b/>
              </w:rPr>
              <w:t xml:space="preserve">Expiry monitoring works from the certificate date and needs no integration at all — which is where most of the value is</w:t>
            </w:r>
          </w:p>
        </w:tc>
      </w:tr>
      <w:tr>
        <w:tc>
          <w:tcPr/>
          <w:p>
            <w:pPr>
              <w:pStyle w:val="Compact"/>
              <w:jc w:val="left"/>
            </w:pPr>
            <w:r>
              <w:rPr>
                <w:rStyle w:val="VerbatimChar"/>
              </w:rPr>
              <w:t xml:space="preserve">E-106</w:t>
            </w:r>
          </w:p>
        </w:tc>
        <w:tc>
          <w:tcPr/>
          <w:p>
            <w:pPr>
              <w:pStyle w:val="Compact"/>
              <w:jc w:val="left"/>
            </w:pPr>
            <w:r>
              <w:rPr>
                <w:bCs/>
                <w:b/>
              </w:rPr>
              <w:t xml:space="preserve">Payment via a SAMA-licensed PSP with mada</w:t>
            </w:r>
          </w:p>
        </w:tc>
        <w:tc>
          <w:tcPr/>
          <w:p>
            <w:pPr>
              <w:pStyle w:val="Compact"/>
              <w:jc w:val="left"/>
            </w:pPr>
            <w:r>
              <w:rPr>
                <w:bCs/>
                <w:b/>
              </w:rPr>
              <w:t xml:space="preserve">1</w:t>
            </w:r>
          </w:p>
        </w:tc>
        <w:tc>
          <w:tcPr/>
          <w:p>
            <w:pPr>
              <w:pStyle w:val="Compact"/>
              <w:jc w:val="left"/>
            </w:pPr>
            <w:r>
              <w:rPr>
                <w:bCs/>
                <w:b/>
              </w:rPr>
              <w:t xml:space="preserve">Hosted fields or a hosted page so card data never touches our origin</w:t>
            </w:r>
            <w:r>
              <w:t xml:space="preserve">, keeping the platform at the lowest PCI scope and removing the entire class of cardholder-data breach. PSP unavailable → payment recorded as pending-external and cash/transfer permitted;</w:t>
            </w:r>
            <w:r>
              <w:t xml:space="preserve"> </w:t>
            </w:r>
            <w:r>
              <w:rPr>
                <w:bCs/>
                <w:b/>
              </w:rPr>
              <w:t xml:space="preserve">never blocks the invoice, which is already durable.</w:t>
            </w:r>
            <w:r>
              <w:t xml:space="preserve"> </w:t>
            </w:r>
            <w:r>
              <w:t xml:space="preserve">Webhooks signature-verified and idempotent.</w:t>
            </w:r>
            <w:r>
              <w:t xml:space="preserve"> </w:t>
            </w:r>
            <w:r>
              <w:rPr>
                <w:rStyle w:val="VerbatimChar"/>
              </w:rPr>
              <w:t xml:space="preserve">[EVIDENCE REQUIRED]</w:t>
            </w:r>
            <w:r>
              <w:t xml:space="preserve"> </w:t>
            </w:r>
            <w:r>
              <w:t xml:space="preserve">— PSP selection and mada scheme rules for veterinary recurring billing</w:t>
            </w:r>
          </w:p>
        </w:tc>
      </w:tr>
      <w:tr>
        <w:tc>
          <w:tcPr/>
          <w:p>
            <w:pPr>
              <w:pStyle w:val="Compact"/>
              <w:jc w:val="left"/>
            </w:pPr>
            <w:r>
              <w:rPr>
                <w:rStyle w:val="VerbatimChar"/>
              </w:rPr>
              <w:t xml:space="preserve">E-107</w:t>
            </w:r>
          </w:p>
        </w:tc>
        <w:tc>
          <w:tcPr/>
          <w:p>
            <w:pPr>
              <w:pStyle w:val="Compact"/>
              <w:jc w:val="left"/>
            </w:pPr>
            <w:r>
              <w:rPr>
                <w:bCs/>
                <w:b/>
              </w:rPr>
              <w:t xml:space="preserve">SMS / OTP</w:t>
            </w:r>
          </w:p>
        </w:tc>
        <w:tc>
          <w:tcPr/>
          <w:p>
            <w:pPr>
              <w:pStyle w:val="Compact"/>
              <w:jc w:val="left"/>
            </w:pPr>
            <w:r>
              <w:rPr>
                <w:bCs/>
                <w:b/>
              </w:rPr>
              <w:t xml:space="preserve">1</w:t>
            </w:r>
          </w:p>
        </w:tc>
        <w:tc>
          <w:tcPr/>
          <w:p>
            <w:pPr>
              <w:pStyle w:val="Compact"/>
              <w:jc w:val="left"/>
            </w:pPr>
            <w:r>
              <w:t xml:space="preserve">KSA-licensed A2P sender with registered sender ID (</w:t>
            </w:r>
            <w:r>
              <w:rPr>
                <w:rStyle w:val="VerbatimChar"/>
              </w:rPr>
              <w:t xml:space="preserve">[EVIDENCE REQUIRED]</w:t>
            </w:r>
            <w:r>
              <w:t xml:space="preserve"> </w:t>
            </w:r>
            <w:r>
              <w:t xml:space="preserve">— registration process and lead time).</w:t>
            </w:r>
            <w:r>
              <w:t xml:space="preserve"> </w:t>
            </w:r>
            <w:r>
              <w:rPr>
                <w:bCs/>
                <w:b/>
              </w:rPr>
              <w:t xml:space="preserve">Recall notifications must not depend on a single channel</w:t>
            </w:r>
            <w:r>
              <w:t xml:space="preserve"> </w:t>
            </w:r>
            <w:r>
              <w:t xml:space="preserve">— notification state drives escalation to a phone call with the outcome recorded, because</w:t>
            </w:r>
            <w:r>
              <w:t xml:space="preserve"> </w:t>
            </w:r>
            <w:r>
              <w:rPr>
                <w:iCs/>
                <w:i/>
              </w:rPr>
              <w:t xml:space="preserve">"we sent an SMS"</w:t>
            </w:r>
            <w:r>
              <w:t xml:space="preserve"> </w:t>
            </w:r>
            <w:r>
              <w:t xml:space="preserve">is not a defence if it bounced.</w:t>
            </w:r>
            <w:r>
              <w:t xml:space="preserve"> </w:t>
            </w:r>
            <w:r>
              <w:rPr>
                <w:bCs/>
                <w:b/>
              </w:rPr>
              <w:t xml:space="preserve">Marketing sends are consent-gated; clinical and recall sends are not</w:t>
            </w:r>
            <w:r>
              <w:t xml:space="preserve"> </w:t>
            </w:r>
            <w:r>
              <w:t xml:space="preserve">(vital interest / legal obligation), and that distinction is encoded in the consent-purpose registry, never left to a developer</w:t>
            </w:r>
          </w:p>
        </w:tc>
      </w:tr>
      <w:tr>
        <w:tc>
          <w:tcPr/>
          <w:p>
            <w:pPr>
              <w:pStyle w:val="Compact"/>
              <w:jc w:val="left"/>
            </w:pPr>
            <w:r>
              <w:rPr>
                <w:rStyle w:val="VerbatimChar"/>
              </w:rPr>
              <w:t xml:space="preserve">E-108</w:t>
            </w:r>
          </w:p>
        </w:tc>
        <w:tc>
          <w:tcPr/>
          <w:p>
            <w:pPr>
              <w:pStyle w:val="Compact"/>
              <w:jc w:val="left"/>
            </w:pPr>
            <w:r>
              <w:rPr>
                <w:bCs/>
                <w:b/>
              </w:rPr>
              <w:t xml:space="preserve">Staff identity</w:t>
            </w:r>
          </w:p>
        </w:tc>
        <w:tc>
          <w:tcPr/>
          <w:p>
            <w:pPr>
              <w:pStyle w:val="Compact"/>
              <w:jc w:val="left"/>
            </w:pPr>
            <w:r>
              <w:rPr>
                <w:bCs/>
                <w:b/>
              </w:rPr>
              <w:t xml:space="preserve">1</w:t>
            </w:r>
          </w:p>
        </w:tc>
        <w:tc>
          <w:tcPr/>
          <w:p>
            <w:pPr>
              <w:pStyle w:val="Compact"/>
              <w:jc w:val="left"/>
            </w:pPr>
            <w:r>
              <w:t xml:space="preserve">Managed OIDC.</w:t>
            </w:r>
            <w:r>
              <w:t xml:space="preserve"> </w:t>
            </w:r>
            <w:r>
              <w:rPr>
                <w:rStyle w:val="VerbatimChar"/>
                <w:bCs/>
                <w:b/>
              </w:rPr>
              <w:t xml:space="preserve">tenant_id</w:t>
            </w:r>
            <w:r>
              <w:rPr>
                <w:bCs/>
                <w:b/>
              </w:rPr>
              <w:t xml:space="preserve"> </w:t>
            </w:r>
            <w:r>
              <w:rPr>
                <w:bCs/>
                <w:b/>
              </w:rPr>
              <w:t xml:space="preserve">is resolved from our own tables by subject, never from an identity-provider claim</w:t>
            </w:r>
            <w:r>
              <w:t xml:space="preserve"> </w:t>
            </w:r>
            <w:r>
              <w:t xml:space="preserve">— an attacker-controllable claim must not be able to select a tenant. Outage blocks new logins; existing sessions continue to normal expiry. Break-glass local admin exists, is MFA-required, alerts on every use, and is reviewed monthly</w:t>
            </w:r>
          </w:p>
        </w:tc>
      </w:tr>
      <w:tr>
        <w:tc>
          <w:tcPr/>
          <w:p>
            <w:pPr>
              <w:pStyle w:val="Compact"/>
              <w:jc w:val="left"/>
            </w:pPr>
            <w:r>
              <w:rPr>
                <w:rStyle w:val="VerbatimChar"/>
              </w:rPr>
              <w:t xml:space="preserve">E-109</w:t>
            </w:r>
          </w:p>
        </w:tc>
        <w:tc>
          <w:tcPr/>
          <w:p>
            <w:pPr>
              <w:pStyle w:val="Compact"/>
              <w:jc w:val="left"/>
            </w:pPr>
            <w:r>
              <w:rPr>
                <w:bCs/>
                <w:b/>
              </w:rPr>
              <w:t xml:space="preserve">Owner identity</w:t>
            </w:r>
          </w:p>
        </w:tc>
        <w:tc>
          <w:tcPr/>
          <w:p>
            <w:pPr>
              <w:pStyle w:val="Compact"/>
              <w:jc w:val="left"/>
            </w:pPr>
            <w:r>
              <w:rPr>
                <w:bCs/>
                <w:b/>
              </w:rPr>
              <w:t xml:space="preserve">1</w:t>
            </w:r>
            <w:r>
              <w:t xml:space="preserve"> </w:t>
            </w:r>
            <w:r>
              <w:t xml:space="preserve">OTP; later national digital ID</w:t>
            </w:r>
          </w:p>
        </w:tc>
        <w:tc>
          <w:tcPr/>
          <w:p>
            <w:pPr>
              <w:pStyle w:val="Compact"/>
              <w:jc w:val="left"/>
            </w:pPr>
            <w:r>
              <w:t xml:space="preserve">Phone plus OTP matches how Saudi consumers actually authenticate. National digital identity is the right answer for high-assurance data-subject verification but adds onboarding friction; the seam is an assurance-level column</w:t>
            </w:r>
          </w:p>
        </w:tc>
      </w:tr>
      <w:tr>
        <w:tc>
          <w:tcPr/>
          <w:p>
            <w:pPr>
              <w:pStyle w:val="Compact"/>
              <w:jc w:val="left"/>
            </w:pPr>
            <w:r>
              <w:rPr>
                <w:rStyle w:val="VerbatimChar"/>
              </w:rPr>
              <w:t xml:space="preserve">E-110</w:t>
            </w:r>
          </w:p>
        </w:tc>
        <w:tc>
          <w:tcPr/>
          <w:p>
            <w:pPr>
              <w:pStyle w:val="Compact"/>
              <w:jc w:val="left"/>
            </w:pPr>
            <w:r>
              <w:rPr>
                <w:bCs/>
                <w:b/>
              </w:rPr>
              <w:t xml:space="preserve">Object storage / imaging</w:t>
            </w:r>
          </w:p>
        </w:tc>
        <w:tc>
          <w:tcPr/>
          <w:p>
            <w:pPr>
              <w:pStyle w:val="Compact"/>
              <w:jc w:val="left"/>
            </w:pPr>
            <w:r>
              <w:rPr>
                <w:bCs/>
                <w:b/>
              </w:rPr>
              <w:t xml:space="preserve">1</w:t>
            </w:r>
          </w:p>
        </w:tc>
        <w:tc>
          <w:tcPr/>
          <w:p>
            <w:pPr>
              <w:pStyle w:val="Compact"/>
              <w:jc w:val="left"/>
            </w:pPr>
            <w:r>
              <w:rPr>
                <w:rStyle w:val="VerbatimChar"/>
              </w:rPr>
              <w:t xml:space="preserve">me-central2</w:t>
            </w:r>
            <w:r>
              <w:t xml:space="preserve">, customer-managed keys, signed URLs ≤ 15 minutes,</w:t>
            </w:r>
            <w:r>
              <w:t xml:space="preserve"> </w:t>
            </w:r>
            <w:r>
              <w:rPr>
                <w:bCs/>
                <w:b/>
              </w:rPr>
              <w:t xml:space="preserve">no public objects ever</w:t>
            </w:r>
            <w:r>
              <w:t xml:space="preserve">. Upload failure surfaces at capture; never silently drops a radiograph</w:t>
            </w:r>
          </w:p>
        </w:tc>
      </w:tr>
      <w:tr>
        <w:tc>
          <w:tcPr/>
          <w:p>
            <w:pPr>
              <w:pStyle w:val="Compact"/>
              <w:jc w:val="left"/>
            </w:pPr>
            <w:r>
              <w:rPr>
                <w:rStyle w:val="VerbatimChar"/>
              </w:rPr>
              <w:t xml:space="preserve">E-111</w:t>
            </w:r>
          </w:p>
        </w:tc>
        <w:tc>
          <w:tcPr/>
          <w:p>
            <w:pPr>
              <w:pStyle w:val="Compact"/>
              <w:jc w:val="left"/>
            </w:pPr>
            <w:r>
              <w:rPr>
                <w:bCs/>
                <w:b/>
              </w:rPr>
              <w:t xml:space="preserve">Lab / reference diagnostics</w:t>
            </w:r>
          </w:p>
        </w:tc>
        <w:tc>
          <w:tcPr/>
          <w:p>
            <w:pPr>
              <w:pStyle w:val="Compact"/>
              <w:jc w:val="left"/>
            </w:pPr>
            <w:r>
              <w:t xml:space="preserve">Later</w:t>
            </w:r>
          </w:p>
        </w:tc>
        <w:tc>
          <w:tcPr/>
          <w:p>
            <w:pPr>
              <w:pStyle w:val="Compact"/>
              <w:jc w:val="left"/>
            </w:pPr>
            <w:r>
              <w:t xml:space="preserve">No standard KSA veterinary interface established.</w:t>
            </w:r>
            <w:r>
              <w:t xml:space="preserve"> </w:t>
            </w:r>
            <w:r>
              <w:rPr>
                <w:rStyle w:val="VerbatimChar"/>
              </w:rPr>
              <w:t xml:space="preserve">[EVIDENCE REQUIRED]</w:t>
            </w:r>
            <w:r>
              <w:t xml:space="preserve">. Seam: a result entity shaped for standard mapping</w:t>
            </w:r>
          </w:p>
        </w:tc>
      </w:tr>
      <w:tr>
        <w:tc>
          <w:tcPr/>
          <w:p>
            <w:pPr>
              <w:pStyle w:val="Compact"/>
              <w:jc w:val="left"/>
            </w:pPr>
            <w:r>
              <w:rPr>
                <w:rStyle w:val="VerbatimChar"/>
              </w:rPr>
              <w:t xml:space="preserve">E-112</w:t>
            </w:r>
          </w:p>
        </w:tc>
        <w:tc>
          <w:tcPr/>
          <w:p>
            <w:pPr>
              <w:pStyle w:val="Compact"/>
              <w:jc w:val="left"/>
            </w:pPr>
            <w:r>
              <w:rPr>
                <w:bCs/>
                <w:b/>
              </w:rPr>
              <w:t xml:space="preserve">Teleconsultation media</w:t>
            </w:r>
          </w:p>
        </w:tc>
        <w:tc>
          <w:tcPr/>
          <w:p>
            <w:pPr>
              <w:pStyle w:val="Compact"/>
              <w:jc w:val="left"/>
            </w:pPr>
            <w:r>
              <w:t xml:space="preserve">1 call, consent-gated recording</w:t>
            </w:r>
          </w:p>
        </w:tc>
        <w:tc>
          <w:tcPr/>
          <w:p>
            <w:pPr>
              <w:pStyle w:val="Compact"/>
              <w:jc w:val="left"/>
            </w:pPr>
            <w:r>
              <w:rPr>
                <w:bCs/>
                <w:b/>
              </w:rPr>
              <w:t xml:space="preserve">Managed vendor with a data-residency commitment, not a self-hosted media server.</w:t>
            </w:r>
            <w:r>
              <w:t xml:space="preserve"> </w:t>
            </w:r>
            <w:r>
              <w:rPr>
                <w:rStyle w:val="VerbatimChar"/>
              </w:rPr>
              <w:t xml:space="preserve">[EVIDENCE REQUIRED]</w:t>
            </w:r>
            <w:r>
              <w:t xml:space="preserve"> </w:t>
            </w:r>
            <w:r>
              <w:t xml:space="preserve">— which managed vendors can commit to in-Kingdom media routing</w:t>
            </w:r>
          </w:p>
        </w:tc>
      </w:tr>
    </w:tbl>
    <w:bookmarkEnd w:id="120"/>
    <w:bookmarkStart w:id="121" w:name="s85-security-baseline"/>
    <w:p>
      <w:pPr>
        <w:pStyle w:val="Heading2"/>
      </w:pPr>
      <w:r>
        <w:t xml:space="preserve">S8.5 Security baseline</w:t>
      </w:r>
    </w:p>
    <w:p>
      <w:pPr>
        <w:pStyle w:val="FirstParagraph"/>
      </w:pPr>
      <w:r>
        <w:rPr>
          <w:rStyle w:val="VerbatimChar"/>
          <w:bCs/>
          <w:b/>
        </w:rPr>
        <w:t xml:space="preserve">E-013</w:t>
      </w:r>
      <w:r>
        <w:rPr>
          <w:bCs/>
          <w:b/>
        </w:rPr>
        <w:t xml:space="preserve"> </w:t>
      </w:r>
      <w:r>
        <w:rPr>
          <w:bCs/>
          <w:b/>
        </w:rPr>
        <w:t xml:space="preserve">— Authentication.</w:t>
      </w:r>
      <w:r>
        <w:t xml:space="preserve"> </w:t>
      </w:r>
      <w:r>
        <w:t xml:space="preserve">Staff on OIDC with</w:t>
      </w:r>
      <w:r>
        <w:t xml:space="preserve"> </w:t>
      </w:r>
      <w:r>
        <w:rPr>
          <w:bCs/>
          <w:b/>
        </w:rPr>
        <w:t xml:space="preserve">MFA mandatory for every role that can sign a clinical note, issue a prescription, dispense a controlled substance, generate an evidence pack, or export data.</w:t>
      </w:r>
      <w:r>
        <w:t xml:space="preserve"> </w:t>
      </w:r>
      <w:r>
        <w:t xml:space="preserve">Sessions carry tenant, sites, staff identity and role assignments</w:t>
      </w:r>
      <w:r>
        <w:t xml:space="preserve"> </w:t>
      </w:r>
      <w:r>
        <w:rPr>
          <w:bCs/>
          <w:b/>
        </w:rPr>
        <w:t xml:space="preserve">resolved from our own tables, never from provider-supplied metadata</w:t>
      </w:r>
      <w:r>
        <w:t xml:space="preserve">. Owners authenticate by phone plus rate-limited single-use OTP, which is</w:t>
      </w:r>
      <w:r>
        <w:t xml:space="preserve"> </w:t>
      </w:r>
      <w:r>
        <w:rPr>
          <w:bCs/>
          <w:b/>
        </w:rPr>
        <w:t xml:space="preserve">not an authorisation mechanism for anything beyond the owner's own records</w:t>
      </w:r>
      <w:r>
        <w:t xml:space="preserve">. Service-to-service uses workload identity only:</w:t>
      </w:r>
      <w:r>
        <w:t xml:space="preserve"> </w:t>
      </w:r>
      <w:r>
        <w:rPr>
          <w:bCs/>
          <w:b/>
        </w:rPr>
        <w:t xml:space="preserve">no static service-account keys are issued anywhere.</w:t>
      </w:r>
    </w:p>
    <w:p>
      <w:pPr>
        <w:pStyle w:val="BodyText"/>
      </w:pPr>
      <w:r>
        <w:rPr>
          <w:rStyle w:val="VerbatimChar"/>
          <w:bCs/>
          <w:b/>
        </w:rPr>
        <w:t xml:space="preserve">E-014</w:t>
      </w:r>
      <w:r>
        <w:rPr>
          <w:bCs/>
          <w:b/>
        </w:rPr>
        <w:t xml:space="preserve"> </w:t>
      </w:r>
      <w:r>
        <w:rPr>
          <w:bCs/>
          <w:b/>
        </w:rPr>
        <w:t xml:space="preserve">— Authorisation is two independent gates and both must pass.</w:t>
      </w:r>
      <w:r>
        <w:t xml:space="preserve"> </w:t>
      </w:r>
      <w:r>
        <w:rPr>
          <w:bCs/>
          <w:b/>
        </w:rPr>
        <w:t xml:space="preserve">Gate 1 is role-based</w:t>
      </w:r>
      <w:r>
        <w:t xml:space="preserve">, with site-scoped assignment so a receptionist at one site cannot see another's patients.</w:t>
      </w:r>
      <w:r>
        <w:t xml:space="preserve"> </w:t>
      </w:r>
      <w:r>
        <w:rPr>
          <w:bCs/>
          <w:b/>
        </w:rPr>
        <w:t xml:space="preserve">Gate 2 is licence-based</w:t>
      </w:r>
      <w:r>
        <w:t xml:space="preserve">, evaluated against effective licence state for the specific action.</w:t>
      </w:r>
      <w:r>
        <w:t xml:space="preserve"> </w:t>
      </w:r>
      <w:r>
        <w:rPr>
          <w:bCs/>
          <w:b/>
        </w:rPr>
        <w:t xml:space="preserve">A veterinarian whose licence lapsed yesterday holds the veterinarian role and still cannot sign a note. Role and licensure are different questions, and conflating them is a regulatory failure.</w:t>
      </w:r>
      <w:r>
        <w:t xml:space="preserve"> </w:t>
      </w:r>
      <w:r>
        <w:t xml:space="preserve">Every gate-2 evaluation writes a</w:t>
      </w:r>
      <w:r>
        <w:t xml:space="preserve"> </w:t>
      </w:r>
      <w:r>
        <w:rPr>
          <w:rStyle w:val="VerbatimChar"/>
        </w:rPr>
        <w:t xml:space="preserve">LicenceGate</w:t>
      </w:r>
      <w:r>
        <w:t xml:space="preserve"> </w:t>
      </w:r>
      <w:r>
        <w:t xml:space="preserve">row — the evidence, not just the decision. Deny by default; a new endpoint without an explicit permission declaration fails the build; authorisation is evaluated in a single decorator, never scattered across handlers.</w:t>
      </w:r>
    </w:p>
    <w:p>
      <w:pPr>
        <w:pStyle w:val="BodyText"/>
      </w:pPr>
      <w:r>
        <w:rPr>
          <w:rStyle w:val="VerbatimChar"/>
          <w:bCs/>
          <w:b/>
        </w:rPr>
        <w:t xml:space="preserve">E-015</w:t>
      </w:r>
      <w:r>
        <w:rPr>
          <w:bCs/>
          <w:b/>
        </w:rPr>
        <w:t xml:space="preserve"> </w:t>
      </w:r>
      <w:r>
        <w:rPr>
          <w:bCs/>
          <w:b/>
        </w:rPr>
        <w:t xml:space="preserve">— Secrets.</w:t>
      </w:r>
      <w:r>
        <w:t xml:space="preserve"> </w:t>
      </w:r>
      <w:r>
        <w:t xml:space="preserve">Managed secret store only;</w:t>
      </w:r>
      <w:r>
        <w:t xml:space="preserve"> </w:t>
      </w:r>
      <w:r>
        <w:rPr>
          <w:bCs/>
          <w:b/>
        </w:rPr>
        <w:t xml:space="preserve">no secrets in environment variables, images, infrastructure state, CI logs or the repository.</w:t>
      </w:r>
      <w:r>
        <w:t xml:space="preserve"> </w:t>
      </w:r>
      <w:r>
        <w:t xml:space="preserve">Pre-commit</w:t>
      </w:r>
      <w:r>
        <w:t xml:space="preserve"> </w:t>
      </w:r>
      <w:r>
        <w:rPr>
          <w:bCs/>
          <w:b/>
        </w:rPr>
        <w:t xml:space="preserve">and server-side push protection</w:t>
      </w:r>
      <w:r>
        <w:t xml:space="preserve">, so a secret cannot be pushed at all. Rotation: payment and messaging credentials 90 days, database credentials via IAM authentication with no long-lived password, invoice certificates per renewal cycle, signing keys annually with old versions retained for verification.</w:t>
      </w:r>
    </w:p>
    <w:p>
      <w:pPr>
        <w:pStyle w:val="BodyText"/>
      </w:pPr>
      <w:r>
        <w:rPr>
          <w:rStyle w:val="VerbatimChar"/>
          <w:bCs/>
          <w:b/>
        </w:rPr>
        <w:t xml:space="preserve">E-016</w:t>
      </w:r>
      <w:r>
        <w:rPr>
          <w:bCs/>
          <w:b/>
        </w:rPr>
        <w:t xml:space="preserve"> </w:t>
      </w:r>
      <w:r>
        <w:rPr>
          <w:bCs/>
          <w:b/>
        </w:rPr>
        <w:t xml:space="preserve">— Encryption and data handling.</w:t>
      </w:r>
      <w:r>
        <w:t xml:space="preserve"> </w:t>
      </w:r>
      <w:r>
        <w:t xml:space="preserve">TLS 1.3 with preload;</w:t>
      </w:r>
      <w:r>
        <w:t xml:space="preserve"> </w:t>
      </w:r>
      <w:r>
        <w:rPr>
          <w:bCs/>
          <w:b/>
        </w:rPr>
        <w:t xml:space="preserve">private IP for the database with no public IP and no authorised-network list to misconfigure</w:t>
      </w:r>
      <w:r>
        <w:t xml:space="preserve">; customer-managed keys on database, storage and backups with key-destruction protection.</w:t>
      </w:r>
      <w:r>
        <w:t xml:space="preserve"> </w:t>
      </w:r>
      <w:r>
        <w:rPr>
          <w:bCs/>
          <w:b/>
        </w:rPr>
        <w:t xml:space="preserve">National identity numbers are tokenised</w:t>
      </w:r>
      <w:r>
        <w:t xml:space="preserve"> </w:t>
      </w:r>
      <w:r>
        <w:t xml:space="preserve">into a separate vault under a distinct key with its own access binding, so a dump of the main tables does not yield national IDs.</w:t>
      </w:r>
      <w:r>
        <w:t xml:space="preserve"> </w:t>
      </w:r>
      <w:r>
        <w:rPr>
          <w:bCs/>
          <w:b/>
        </w:rPr>
        <w:t xml:space="preserve">Card data is never stored and never transits our origin.</w:t>
      </w:r>
      <w:r>
        <w:t xml:space="preserve"> </w:t>
      </w:r>
      <w:r>
        <w:t xml:space="preserve">Logs are structured with</w:t>
      </w:r>
      <w:r>
        <w:t xml:space="preserve"> </w:t>
      </w:r>
      <w:r>
        <w:rPr>
          <w:bCs/>
          <w:b/>
        </w:rPr>
        <w:t xml:space="preserve">redaction applied at emission, not at ingest</w:t>
      </w:r>
      <w:r>
        <w:t xml:space="preserve">, for phone, national ID, address and clinical free text.</w:t>
      </w:r>
    </w:p>
    <w:p>
      <w:pPr>
        <w:pStyle w:val="BodyText"/>
      </w:pPr>
      <w:r>
        <w:rPr>
          <w:rStyle w:val="VerbatimChar"/>
          <w:bCs/>
          <w:b/>
        </w:rPr>
        <w:t xml:space="preserve">E-017</w:t>
      </w:r>
      <w:r>
        <w:rPr>
          <w:bCs/>
          <w:b/>
        </w:rPr>
        <w:t xml:space="preserve"> </w:t>
      </w:r>
      <w:r>
        <w:rPr>
          <w:bCs/>
          <w:b/>
        </w:rPr>
        <w:t xml:space="preserve">— The two known estate incidents, mapped to controls.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Incident</w:t>
            </w:r>
          </w:p>
        </w:tc>
        <w:tc>
          <w:tcPr/>
          <w:p>
            <w:pPr>
              <w:pStyle w:val="Compact"/>
              <w:jc w:val="left"/>
            </w:pPr>
            <w:r>
              <w:t xml:space="preserve">The actual fix</w:t>
            </w:r>
          </w:p>
        </w:tc>
        <w:tc>
          <w:tcPr/>
          <w:p>
            <w:pPr>
              <w:pStyle w:val="Compact"/>
              <w:jc w:val="left"/>
            </w:pPr>
            <w:r>
              <w:t xml:space="preserve">Depth behind it</w:t>
            </w:r>
          </w:p>
        </w:tc>
      </w:tr>
      <w:tr>
        <w:tc>
          <w:tcPr/>
          <w:p>
            <w:pPr>
              <w:pStyle w:val="Compact"/>
              <w:jc w:val="left"/>
            </w:pPr>
            <w:r>
              <w:rPr>
                <w:bCs/>
                <w:b/>
              </w:rPr>
              <w:t xml:space="preserve">A service-role key committed to version control</w:t>
            </w:r>
          </w:p>
        </w:tc>
        <w:tc>
          <w:tcPr/>
          <w:p>
            <w:pPr>
              <w:pStyle w:val="Compact"/>
              <w:jc w:val="left"/>
            </w:pPr>
            <w:r>
              <w:rPr>
                <w:bCs/>
                <w:b/>
              </w:rPr>
              <w:t xml:space="preserve">Organisation policy disabling service-account key creation — the key that leaked cannot be created</w:t>
            </w:r>
          </w:p>
        </w:tc>
        <w:tc>
          <w:tcPr/>
          <w:p>
            <w:pPr>
              <w:pStyle w:val="Compact"/>
              <w:jc w:val="left"/>
            </w:pPr>
            <w:r>
              <w:t xml:space="preserve">Workload identity removes the need for a key to exist · push protection blocks the commit rather than detecting it after · short-lived credentials only · a service-controls perimeter so a credential used from outside fails even if valid · a quarterly full-history secret sweep with a documented rotate-and-rewrite runbook, because</w:t>
            </w:r>
            <w:r>
              <w:t xml:space="preserve"> </w:t>
            </w:r>
            <w:r>
              <w:rPr>
                <w:bCs/>
                <w:b/>
              </w:rPr>
              <w:t xml:space="preserve">history is the part everyone forgets</w:t>
            </w:r>
          </w:p>
        </w:tc>
      </w:tr>
      <w:tr>
        <w:tc>
          <w:tcPr/>
          <w:p>
            <w:pPr>
              <w:pStyle w:val="Compact"/>
              <w:jc w:val="left"/>
            </w:pPr>
            <w:r>
              <w:rPr>
                <w:bCs/>
                <w:b/>
              </w:rPr>
              <w:t xml:space="preserve">Production cross-tenant write authority</w:t>
            </w:r>
          </w:p>
        </w:tc>
        <w:tc>
          <w:tcPr/>
          <w:p>
            <w:pPr>
              <w:pStyle w:val="Compact"/>
              <w:jc w:val="left"/>
            </w:pPr>
            <w:r>
              <w:rPr>
                <w:rStyle w:val="VerbatimChar"/>
                <w:bCs/>
                <w:b/>
              </w:rPr>
              <w:t xml:space="preserve">WITH CHECK</w:t>
            </w:r>
            <w:r>
              <w:rPr>
                <w:bCs/>
                <w:b/>
              </w:rPr>
              <w:t xml:space="preserve"> </w:t>
            </w:r>
            <w:r>
              <w:rPr>
                <w:bCs/>
                <w:b/>
              </w:rPr>
              <w:t xml:space="preserve">row-level security plus composite tenancy-carrying foreign keys — the write is rejected by the engine, and rejected by referential integrity even with row-level security off</w:t>
            </w:r>
          </w:p>
        </w:tc>
        <w:tc>
          <w:tcPr/>
          <w:p>
            <w:pPr>
              <w:pStyle w:val="Compact"/>
              <w:jc w:val="left"/>
            </w:pPr>
            <w:r>
              <w:t xml:space="preserve">Runtime role with no bypass, no DDL, no delete on append-only tables · transaction-scoped tenant binding · the five build-breaking lints · the six isolation tests including the RLS-disabled fuzz · and —</w:t>
            </w:r>
            <w:r>
              <w:t xml:space="preserve"> </w:t>
            </w:r>
            <w:r>
              <w:rPr>
                <w:bCs/>
                <w:b/>
              </w:rPr>
              <w:t xml:space="preserve">the most important one — no standing human write access to production data.</w:t>
            </w:r>
            <w:r>
              <w:t xml:space="preserve"> </w:t>
            </w:r>
            <w:r>
              <w:t xml:space="preserve">Support acts through audited, tenant-scoped, time-boxed, approval-gated impersonation that itself runs under row-level security.</w:t>
            </w:r>
            <w:r>
              <w:t xml:space="preserve"> </w:t>
            </w:r>
            <w:r>
              <w:rPr>
                <w:bCs/>
                <w:b/>
              </w:rPr>
              <w:t xml:space="preserve">The most common real-world cause is an engineer with a database prompt, and this removes it</w:t>
            </w:r>
          </w:p>
        </w:tc>
      </w:tr>
    </w:tbl>
    <w:bookmarkEnd w:id="121"/>
    <w:bookmarkStart w:id="122" w:name="X6e8784b24d2339aa1c72efbe52f5d046bc3b6d6"/>
    <w:p>
      <w:pPr>
        <w:pStyle w:val="Heading2"/>
      </w:pPr>
      <w:r>
        <w:t xml:space="preserve">S8.6 Residency, backup and disaster recovery — stated honestly</w:t>
      </w:r>
    </w:p>
    <w:p>
      <w:pPr>
        <w:pStyle w:val="FirstParagraph"/>
      </w:pPr>
      <w:r>
        <w:rPr>
          <w:rStyle w:val="VerbatimChar"/>
          <w:bCs/>
          <w:b/>
        </w:rPr>
        <w:t xml:space="preserve">E-018</w:t>
      </w:r>
      <w:r>
        <w:rPr>
          <w:bCs/>
          <w:b/>
        </w:rPr>
        <w:t xml:space="preserve"> </w:t>
      </w:r>
      <w:r>
        <w:rPr>
          <w:bCs/>
          <w:b/>
        </w:rPr>
        <w:t xml:space="preserve">— 100% of primary and backup data stays in</w:t>
      </w:r>
      <w:r>
        <w:rPr>
          <w:bCs/>
          <w:b/>
        </w:rPr>
        <w:t xml:space="preserve"> </w:t>
      </w:r>
      <w:r>
        <w:rPr>
          <w:rStyle w:val="VerbatimChar"/>
          <w:bCs/>
          <w:b/>
        </w:rPr>
        <w:t xml:space="preserve">me-central2</w:t>
      </w:r>
      <w:r>
        <w:rPr>
          <w:bCs/>
          <w:b/>
        </w:rPr>
        <w:t xml:space="preserve"> </w:t>
      </w:r>
      <w:r>
        <w:rPr>
          <w:bCs/>
          <w:b/>
        </w:rPr>
        <w:t xml:space="preserve">in Phase 1.</w:t>
      </w:r>
      <w:r>
        <w:t xml:space="preserve"> </w:t>
      </w:r>
      <w:r>
        <w:t xml:space="preserve">The disaster-recovery copy is</w:t>
      </w:r>
      <w:r>
        <w:t xml:space="preserve"> </w:t>
      </w:r>
      <w:r>
        <w:rPr>
          <w:bCs/>
          <w:b/>
        </w:rPr>
        <w:t xml:space="preserve">not</w:t>
      </w:r>
      <w:r>
        <w:t xml:space="preserve"> </w:t>
      </w:r>
      <w:r>
        <w:t xml:space="preserve">placed outside the Kingdom, and the residual region-loss risk is accepted and disclosed. Revisit only with a signed transfer-clause package, a completed transfer impact assessment, an updated privacy notice and consent purpose, and explicit customer notification —</w:t>
      </w:r>
      <w:r>
        <w:t xml:space="preserve"> </w:t>
      </w:r>
      <w:r>
        <w:rPr>
          <w:bCs/>
          <w:b/>
        </w:rPr>
        <w:t xml:space="preserve">never as an operational convenience during an incident.</w:t>
      </w:r>
    </w:p>
    <w:p>
      <w:pPr>
        <w:pStyle w:val="BodyText"/>
      </w:pPr>
      <w:r>
        <w:rPr>
          <w:bCs/>
          <w:b/>
        </w:rPr>
        <w:t xml:space="preserve">Corollary:</w:t>
      </w:r>
      <w:r>
        <w:t xml:space="preserve"> </w:t>
      </w:r>
      <w:r>
        <w:t xml:space="preserve">no sub-processor is adopted without a data-location commitment. This constrains messaging, payment, media and observability vendor choice, and</w:t>
      </w:r>
      <w:r>
        <w:t xml:space="preserve"> </w:t>
      </w:r>
      <w:r>
        <w:rPr>
          <w:bCs/>
          <w:b/>
        </w:rPr>
        <w:t xml:space="preserve">that constraint should drive procurement rather than being discovered afterwards.</w:t>
      </w:r>
      <w:r>
        <w:t xml:space="preserve"> </w:t>
      </w:r>
      <w:r>
        <w:t xml:space="preserve">Observability specifically uses in-region native tooling rather than a foreign-hosted APM vendor, because logs contain identifiers adjacent to health data.</w:t>
      </w:r>
    </w:p>
    <w:p>
      <w:pPr>
        <w:pStyle w:val="BodyText"/>
      </w:pPr>
      <w:r>
        <w:rPr>
          <w:rStyle w:val="VerbatimChar"/>
          <w:bCs/>
          <w:b/>
        </w:rPr>
        <w:t xml:space="preserve">E-019</w:t>
      </w:r>
      <w:r>
        <w:rPr>
          <w:bCs/>
          <w:b/>
        </w:rPr>
        <w:t xml:space="preserve"> </w:t>
      </w:r>
      <w:r>
        <w:rPr>
          <w:bCs/>
          <w:b/>
        </w:rPr>
        <w:t xml:space="preserve">— There is no second KSA region.</w:t>
      </w:r>
      <w:r>
        <w:t xml:space="preserve"> </w:t>
      </w:r>
      <w:r>
        <w:t xml:space="preserve">This is the constraint that makes honest targets different from boilerplate, and pretending otherwise is how a commitment becomes a lie during an incident.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Scenario</w:t>
            </w:r>
          </w:p>
        </w:tc>
        <w:tc>
          <w:tcPr/>
          <w:p>
            <w:pPr>
              <w:pStyle w:val="Compact"/>
              <w:jc w:val="left"/>
            </w:pPr>
            <w:r>
              <w:t xml:space="preserve">RPO</w:t>
            </w:r>
          </w:p>
        </w:tc>
        <w:tc>
          <w:tcPr/>
          <w:p>
            <w:pPr>
              <w:pStyle w:val="Compact"/>
              <w:jc w:val="left"/>
            </w:pPr>
            <w:r>
              <w:t xml:space="preserve">RTO</w:t>
            </w:r>
          </w:p>
        </w:tc>
        <w:tc>
          <w:tcPr/>
          <w:p>
            <w:pPr>
              <w:pStyle w:val="Compact"/>
              <w:jc w:val="left"/>
            </w:pPr>
            <w:r>
              <w:t xml:space="preserve">Tested</w:t>
            </w:r>
          </w:p>
        </w:tc>
      </w:tr>
      <w:tr>
        <w:tc>
          <w:tcPr/>
          <w:p>
            <w:pPr>
              <w:pStyle w:val="Compact"/>
              <w:jc w:val="left"/>
            </w:pPr>
            <w:r>
              <w:t xml:space="preserve">Zone failure</w:t>
            </w:r>
          </w:p>
        </w:tc>
        <w:tc>
          <w:tcPr/>
          <w:p>
            <w:pPr>
              <w:pStyle w:val="Compact"/>
              <w:jc w:val="left"/>
            </w:pPr>
            <w:r>
              <w:t xml:space="preserve">~0</w:t>
            </w:r>
          </w:p>
        </w:tc>
        <w:tc>
          <w:tcPr/>
          <w:p>
            <w:pPr>
              <w:pStyle w:val="Compact"/>
              <w:jc w:val="left"/>
            </w:pPr>
            <w:r>
              <w:t xml:space="preserve">&lt; 5 min</w:t>
            </w:r>
          </w:p>
        </w:tc>
        <w:tc>
          <w:tcPr/>
          <w:p>
            <w:pPr>
              <w:pStyle w:val="Compact"/>
              <w:jc w:val="left"/>
            </w:pPr>
            <w:r>
              <w:t xml:space="preserve">Quarterly forced failover in staging; annually in production</w:t>
            </w:r>
          </w:p>
        </w:tc>
      </w:tr>
      <w:tr>
        <w:tc>
          <w:tcPr/>
          <w:p>
            <w:pPr>
              <w:pStyle w:val="Compact"/>
              <w:jc w:val="left"/>
            </w:pPr>
            <w:r>
              <w:t xml:space="preserve">Data corruption / bad migration / mass delete</w:t>
            </w:r>
          </w:p>
        </w:tc>
        <w:tc>
          <w:tcPr/>
          <w:p>
            <w:pPr>
              <w:pStyle w:val="Compact"/>
              <w:jc w:val="left"/>
            </w:pPr>
            <w:r>
              <w:rPr>
                <w:bCs/>
                <w:b/>
              </w:rPr>
              <w:t xml:space="preserve">5 min</w:t>
            </w:r>
          </w:p>
        </w:tc>
        <w:tc>
          <w:tcPr/>
          <w:p>
            <w:pPr>
              <w:pStyle w:val="Compact"/>
              <w:jc w:val="left"/>
            </w:pPr>
            <w:r>
              <w:rPr>
                <w:bCs/>
                <w:b/>
              </w:rPr>
              <w:t xml:space="preserve">4 h</w:t>
            </w:r>
          </w:p>
        </w:tc>
        <w:tc>
          <w:tcPr/>
          <w:p>
            <w:pPr>
              <w:pStyle w:val="Compact"/>
              <w:jc w:val="left"/>
            </w:pPr>
            <w:r>
              <w:rPr>
                <w:bCs/>
                <w:b/>
              </w:rPr>
              <w:t xml:space="preserve">Monthly restore drill: restore to a scratch instance, run the isolation tests plus row-count and audit-chain verification, record the wall-clock RTO achieved.</w:t>
            </w:r>
            <w:r>
              <w:t xml:space="preserve"> </w:t>
            </w:r>
            <w:r>
              <w:t xml:space="preserve">An untested backup is not a backup</w:t>
            </w:r>
          </w:p>
        </w:tc>
      </w:tr>
      <w:tr>
        <w:tc>
          <w:tcPr/>
          <w:p>
            <w:pPr>
              <w:pStyle w:val="Compact"/>
              <w:jc w:val="left"/>
            </w:pPr>
            <w:r>
              <w:t xml:space="preserve">Accidental object deletion</w:t>
            </w:r>
          </w:p>
        </w:tc>
        <w:tc>
          <w:tcPr/>
          <w:p>
            <w:pPr>
              <w:pStyle w:val="Compact"/>
              <w:jc w:val="left"/>
            </w:pPr>
            <w:r>
              <w:t xml:space="preserve">0</w:t>
            </w:r>
          </w:p>
        </w:tc>
        <w:tc>
          <w:tcPr/>
          <w:p>
            <w:pPr>
              <w:pStyle w:val="Compact"/>
              <w:jc w:val="left"/>
            </w:pPr>
            <w:r>
              <w:t xml:space="preserve">&lt; 1 h</w:t>
            </w:r>
          </w:p>
        </w:tc>
        <w:tc>
          <w:tcPr/>
          <w:p>
            <w:pPr>
              <w:pStyle w:val="Compact"/>
              <w:jc w:val="left"/>
            </w:pPr>
            <w:r>
              <w:t xml:space="preserve">Quarterly. Invoice and audit buckets are retention-locked, so deletion is impossible</w:t>
            </w:r>
          </w:p>
        </w:tc>
      </w:tr>
      <w:tr>
        <w:tc>
          <w:tcPr/>
          <w:p>
            <w:pPr>
              <w:pStyle w:val="Compact"/>
              <w:jc w:val="left"/>
            </w:pPr>
            <w:r>
              <w:rPr>
                <w:bCs/>
                <w:b/>
              </w:rPr>
              <w:t xml:space="preserve">Full-region loss</w:t>
            </w:r>
          </w:p>
        </w:tc>
        <w:tc>
          <w:tcPr/>
          <w:p>
            <w:pPr>
              <w:pStyle w:val="Compact"/>
              <w:jc w:val="left"/>
            </w:pPr>
            <w:r>
              <w:rPr>
                <w:bCs/>
                <w:b/>
              </w:rPr>
              <w:t xml:space="preserve">24 h</w:t>
            </w:r>
          </w:p>
        </w:tc>
        <w:tc>
          <w:tcPr/>
          <w:p>
            <w:pPr>
              <w:pStyle w:val="Compact"/>
              <w:jc w:val="left"/>
            </w:pPr>
            <w:r>
              <w:rPr>
                <w:bCs/>
                <w:b/>
              </w:rPr>
              <w:t xml:space="preserve">72 h, degraded</w:t>
            </w:r>
          </w:p>
        </w:tc>
        <w:tc>
          <w:tcPr/>
          <w:p>
            <w:pPr>
              <w:pStyle w:val="Compact"/>
              <w:jc w:val="left"/>
            </w:pPr>
            <w:r>
              <w:t xml:space="preserve">Annual tabletop; annual restore of the export into a scratch project with synthetic data only</w:t>
            </w:r>
          </w:p>
        </w:tc>
      </w:tr>
      <w:tr>
        <w:tc>
          <w:tcPr/>
          <w:p>
            <w:pPr>
              <w:pStyle w:val="Compact"/>
              <w:jc w:val="left"/>
            </w:pPr>
            <w:r>
              <w:t xml:space="preserve">Provider account compromise</w:t>
            </w:r>
          </w:p>
        </w:tc>
        <w:tc>
          <w:tcPr/>
          <w:p>
            <w:pPr>
              <w:pStyle w:val="Compact"/>
              <w:jc w:val="left"/>
            </w:pPr>
            <w:r>
              <w:t xml:space="preserve">24 h</w:t>
            </w:r>
          </w:p>
        </w:tc>
        <w:tc>
          <w:tcPr/>
          <w:p>
            <w:pPr>
              <w:pStyle w:val="Compact"/>
              <w:jc w:val="left"/>
            </w:pPr>
            <w:r>
              <w:t xml:space="preserve">72 h</w:t>
            </w:r>
          </w:p>
        </w:tc>
        <w:tc>
          <w:tcPr/>
          <w:p>
            <w:pPr>
              <w:pStyle w:val="Compact"/>
              <w:jc w:val="left"/>
            </w:pPr>
            <w:r>
              <w:t xml:space="preserve">Backups replicated to a</w:t>
            </w:r>
            <w:r>
              <w:t xml:space="preserve"> </w:t>
            </w:r>
            <w:r>
              <w:rPr>
                <w:bCs/>
                <w:b/>
              </w:rPr>
              <w:t xml:space="preserve">separate project under separate billing and separate access control</w:t>
            </w:r>
            <w:r>
              <w:t xml:space="preserve">, so compromise of the primary cannot delete them</w:t>
            </w:r>
          </w:p>
        </w:tc>
      </w:tr>
    </w:tbl>
    <w:p>
      <w:pPr>
        <w:pStyle w:val="BodyText"/>
      </w:pPr>
      <w:r>
        <w:rPr>
          <w:rStyle w:val="VerbatimChar"/>
          <w:bCs/>
          <w:b/>
        </w:rPr>
        <w:t xml:space="preserve">E-020</w:t>
      </w:r>
      <w:r>
        <w:rPr>
          <w:bCs/>
          <w:b/>
        </w:rPr>
        <w:t xml:space="preserve"> </w:t>
      </w:r>
      <w:r>
        <w:rPr>
          <w:bCs/>
          <w:b/>
        </w:rPr>
        <w:t xml:space="preserve">— The region-loss row is disclosed in the data processing agreement rather than published as a number we cannot meet.</w:t>
      </w:r>
      <w:r>
        <w:t xml:space="preserve"> </w:t>
      </w:r>
      <w:r>
        <w:t xml:space="preserve">A true region-loss RTO better than days requires either a second in-Kingdom provider or accepting out-of-Kingdom failover. That trade-off is stated to the customer.</w:t>
      </w:r>
    </w:p>
    <w:p>
      <w:pPr>
        <w:pStyle w:val="BodyText"/>
      </w:pPr>
      <w:r>
        <w:rPr>
          <w:rStyle w:val="VerbatimChar"/>
          <w:bCs/>
          <w:b/>
        </w:rPr>
        <w:t xml:space="preserve">E-021</w:t>
      </w:r>
      <w:r>
        <w:rPr>
          <w:bCs/>
          <w:b/>
        </w:rPr>
        <w:t xml:space="preserve"> </w:t>
      </w:r>
      <w:r>
        <w:rPr>
          <w:bCs/>
          <w:b/>
        </w:rPr>
        <w:t xml:space="preserve">— Residency is evidence, not assertion.</w:t>
      </w:r>
      <w:r>
        <w:t xml:space="preserve"> </w:t>
      </w:r>
      <w:r>
        <w:t xml:space="preserve">Five artefacts, generated rather than written: an</w:t>
      </w:r>
      <w:r>
        <w:t xml:space="preserve"> </w:t>
      </w:r>
      <w:r>
        <w:rPr>
          <w:bCs/>
          <w:b/>
        </w:rPr>
        <w:t xml:space="preserve">organisation policy restricting resource locations, so a resource in another region cannot be created</w:t>
      </w:r>
      <w:r>
        <w:t xml:space="preserve"> </w:t>
      </w:r>
      <w:r>
        <w:t xml:space="preserve">— which converts residency from a claim into a control · a</w:t>
      </w:r>
      <w:r>
        <w:t xml:space="preserve"> </w:t>
      </w:r>
      <w:r>
        <w:rPr>
          <w:bCs/>
          <w:b/>
        </w:rPr>
        <w:t xml:space="preserve">monthly asset-inventory export to a retention-locked bucket</w:t>
      </w:r>
      <w:r>
        <w:t xml:space="preserve">, which is the document handed to a customer's auditor ·</w:t>
      </w:r>
      <w:r>
        <w:t xml:space="preserve"> </w:t>
      </w:r>
      <w:r>
        <w:rPr>
          <w:bCs/>
          <w:b/>
        </w:rPr>
        <w:t xml:space="preserve">a Terraform plan diff in CI failing on any resource without an explicit region</w:t>
      </w:r>
      <w:r>
        <w:t xml:space="preserve"> </w:t>
      </w:r>
      <w:r>
        <w:t xml:space="preserve">· a</w:t>
      </w:r>
      <w:r>
        <w:t xml:space="preserve"> </w:t>
      </w:r>
      <w:r>
        <w:rPr>
          <w:bCs/>
          <w:b/>
        </w:rPr>
        <w:t xml:space="preserve">published, versioned sub-processor register</w:t>
      </w:r>
      <w:r>
        <w:t xml:space="preserve"> </w:t>
      </w:r>
      <w:r>
        <w:t xml:space="preserve">listing every third party, the data categories they receive, their processing location and the contractual basis · and provider access-transparency logs where available.</w:t>
      </w:r>
    </w:p>
    <w:p>
      <w:pPr>
        <w:pStyle w:val="BlockText"/>
      </w:pPr>
      <w:r>
        <w:rPr>
          <w:bCs/>
          <w:b/>
        </w:rPr>
        <w:t xml:space="preserve">A residency claim backed by an organisation policy and an asset inventory survives due diligence. A residency claim backed by a sentence in a proposal does not.</w:t>
      </w:r>
    </w:p>
    <w:bookmarkEnd w:id="122"/>
    <w:bookmarkStart w:id="123" w:name="s87-non-functional-requirements"/>
    <w:p>
      <w:pPr>
        <w:pStyle w:val="Heading2"/>
      </w:pPr>
      <w:r>
        <w:t xml:space="preserve">S8.7 Non-functional requirements</w:t>
      </w:r>
    </w:p>
    <w:p>
      <w:pPr>
        <w:pStyle w:val="FirstParagraph"/>
      </w:pPr>
      <w:r>
        <w:t xml:space="preserve">Each threshold is tied to a user consequence and a measurement method.</w:t>
      </w:r>
      <w:r>
        <w:t xml:space="preserve"> </w:t>
      </w:r>
      <w:r>
        <w:rPr>
          <w:bCs/>
          <w:b/>
        </w:rPr>
        <w:t xml:space="preserve">Percentiles, never averages</w:t>
      </w:r>
      <w:r>
        <w:t xml:space="preserve"> </w:t>
      </w:r>
      <w:r>
        <w:t xml:space="preserve">— an average hides the consultation that took nine seconds.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Threshold</w:t>
            </w:r>
          </w:p>
        </w:tc>
        <w:tc>
          <w:tcPr/>
          <w:p>
            <w:pPr>
              <w:pStyle w:val="Compact"/>
              <w:jc w:val="left"/>
            </w:pPr>
            <w:r>
              <w:t xml:space="preserve">The consequence that justifies it</w:t>
            </w:r>
          </w:p>
        </w:tc>
        <w:tc>
          <w:tcPr/>
          <w:p>
            <w:pPr>
              <w:pStyle w:val="Compact"/>
              <w:jc w:val="left"/>
            </w:pPr>
            <w:r>
              <w:t xml:space="preserve">Measurement</w:t>
            </w:r>
          </w:p>
        </w:tc>
      </w:tr>
      <w:tr>
        <w:tc>
          <w:tcPr/>
          <w:p>
            <w:pPr>
              <w:pStyle w:val="Compact"/>
              <w:jc w:val="left"/>
            </w:pPr>
            <w:r>
              <w:rPr>
                <w:rStyle w:val="VerbatimChar"/>
              </w:rPr>
              <w:t xml:space="preserve">N-01</w:t>
            </w:r>
          </w:p>
        </w:tc>
        <w:tc>
          <w:tcPr/>
          <w:p>
            <w:pPr>
              <w:pStyle w:val="Compact"/>
              <w:jc w:val="left"/>
            </w:pPr>
            <w:r>
              <w:t xml:space="preserve">Patient record load</w:t>
            </w:r>
          </w:p>
        </w:tc>
        <w:tc>
          <w:tcPr/>
          <w:p>
            <w:pPr>
              <w:pStyle w:val="Compact"/>
              <w:jc w:val="left"/>
            </w:pPr>
            <w:r>
              <w:t xml:space="preserve">p95 ≤ 1.2 s, p99 ≤ 2.5 s from the vet's device</w:t>
            </w:r>
          </w:p>
        </w:tc>
        <w:tc>
          <w:tcPr/>
          <w:p>
            <w:pPr>
              <w:pStyle w:val="Compact"/>
              <w:jc w:val="left"/>
            </w:pPr>
            <w:r>
              <w:t xml:space="preserve">The vet loads this with the animal on the table and the owner watching. Beyond ~2 s she talks to fill the silence; beyond ~4 s she reverts to paper</w:t>
            </w:r>
          </w:p>
        </w:tc>
        <w:tc>
          <w:tcPr/>
          <w:p>
            <w:pPr>
              <w:pStyle w:val="Compact"/>
              <w:jc w:val="left"/>
            </w:pPr>
            <w:r>
              <w:t xml:space="preserve">Real-user monitoring, p95 over rolling 7 days,</w:t>
            </w:r>
            <w:r>
              <w:t xml:space="preserve"> </w:t>
            </w:r>
            <w:r>
              <w:rPr>
                <w:bCs/>
                <w:b/>
              </w:rPr>
              <w:t xml:space="preserve">segmented by clinic network — the clinic on a poor line is the case that matters</w:t>
            </w:r>
          </w:p>
        </w:tc>
      </w:tr>
      <w:tr>
        <w:tc>
          <w:tcPr/>
          <w:p>
            <w:pPr>
              <w:pStyle w:val="Compact"/>
              <w:jc w:val="left"/>
            </w:pPr>
            <w:r>
              <w:rPr>
                <w:rStyle w:val="VerbatimChar"/>
              </w:rPr>
              <w:t xml:space="preserve">N-02</w:t>
            </w:r>
          </w:p>
        </w:tc>
        <w:tc>
          <w:tcPr/>
          <w:p>
            <w:pPr>
              <w:pStyle w:val="Compact"/>
              <w:jc w:val="left"/>
            </w:pPr>
            <w:r>
              <w:t xml:space="preserve">Clinical note durable save</w:t>
            </w:r>
          </w:p>
        </w:tc>
        <w:tc>
          <w:tcPr/>
          <w:p>
            <w:pPr>
              <w:pStyle w:val="Compact"/>
              <w:jc w:val="left"/>
            </w:pPr>
            <w:r>
              <w:t xml:space="preserve">p99 ≤ 800 ms;</w:t>
            </w:r>
            <w:r>
              <w:t xml:space="preserve"> </w:t>
            </w:r>
            <w:r>
              <w:rPr>
                <w:bCs/>
                <w:b/>
              </w:rPr>
              <w:t xml:space="preserve">zero acknowledged-then-lost notes</w:t>
            </w:r>
          </w:p>
        </w:tc>
        <w:tc>
          <w:tcPr/>
          <w:p>
            <w:pPr>
              <w:pStyle w:val="Compact"/>
              <w:jc w:val="left"/>
            </w:pPr>
            <w:r>
              <w:t xml:space="preserve">A note that appears saved and is not is a clinical and legal catastrophe.</w:t>
            </w:r>
            <w:r>
              <w:t xml:space="preserve"> </w:t>
            </w:r>
            <w:r>
              <w:rPr>
                <w:bCs/>
                <w:b/>
              </w:rPr>
              <w:t xml:space="preserve">The durability absolute outranks the latency</w:t>
            </w:r>
          </w:p>
        </w:tc>
        <w:tc>
          <w:tcPr/>
          <w:p>
            <w:pPr>
              <w:pStyle w:val="Compact"/>
              <w:jc w:val="left"/>
            </w:pPr>
            <w:r>
              <w:t xml:space="preserve">Server timing plus a daily reconciliation asserting every acknowledged save ID has a committed row</w:t>
            </w:r>
          </w:p>
        </w:tc>
      </w:tr>
      <w:tr>
        <w:tc>
          <w:tcPr/>
          <w:p>
            <w:pPr>
              <w:pStyle w:val="Compact"/>
              <w:jc w:val="left"/>
            </w:pPr>
            <w:r>
              <w:rPr>
                <w:rStyle w:val="VerbatimChar"/>
              </w:rPr>
              <w:t xml:space="preserve">N-03</w:t>
            </w:r>
          </w:p>
        </w:tc>
        <w:tc>
          <w:tcPr/>
          <w:p>
            <w:pPr>
              <w:pStyle w:val="Compact"/>
              <w:jc w:val="left"/>
            </w:pPr>
            <w:r>
              <w:t xml:space="preserve">Invoice to durable signed stamped state</w:t>
            </w:r>
          </w:p>
        </w:tc>
        <w:tc>
          <w:tcPr/>
          <w:p>
            <w:pPr>
              <w:pStyle w:val="Compact"/>
              <w:jc w:val="left"/>
            </w:pPr>
            <w:r>
              <w:t xml:space="preserve">p95 ≤ 2 s,</w:t>
            </w:r>
            <w:r>
              <w:t xml:space="preserve"> </w:t>
            </w:r>
            <w:r>
              <w:rPr>
                <w:bCs/>
                <w:b/>
              </w:rPr>
              <w:t xml:space="preserve">independent of ZATCA reachability</w:t>
            </w:r>
          </w:p>
        </w:tc>
        <w:tc>
          <w:tcPr/>
          <w:p>
            <w:pPr>
              <w:pStyle w:val="Compact"/>
              <w:jc w:val="left"/>
            </w:pPr>
            <w:r>
              <w:t xml:space="preserve">The owner is at reception with a card in hand</w:t>
            </w:r>
          </w:p>
        </w:tc>
        <w:tc>
          <w:tcPr/>
          <w:p>
            <w:pPr>
              <w:pStyle w:val="Compact"/>
              <w:jc w:val="left"/>
            </w:pPr>
            <w:r>
              <w:t xml:space="preserve">Synthetic transaction every 5 min</w:t>
            </w:r>
            <w:r>
              <w:t xml:space="preserve"> </w:t>
            </w:r>
            <w:r>
              <w:rPr>
                <w:bCs/>
                <w:b/>
              </w:rPr>
              <w:t xml:space="preserve">with the ZATCA client stubbed to fail</w:t>
            </w:r>
            <w:r>
              <w:t xml:space="preserve">, asserting the threshold still holds</w:t>
            </w:r>
          </w:p>
        </w:tc>
      </w:tr>
      <w:tr>
        <w:tc>
          <w:tcPr/>
          <w:p>
            <w:pPr>
              <w:pStyle w:val="Compact"/>
              <w:jc w:val="left"/>
            </w:pPr>
            <w:r>
              <w:rPr>
                <w:rStyle w:val="VerbatimChar"/>
              </w:rPr>
              <w:t xml:space="preserve">N-04</w:t>
            </w:r>
          </w:p>
        </w:tc>
        <w:tc>
          <w:tcPr/>
          <w:p>
            <w:pPr>
              <w:pStyle w:val="Compact"/>
              <w:jc w:val="left"/>
            </w:pPr>
            <w:r>
              <w:t xml:space="preserve">Simplified-invoice reporting</w:t>
            </w:r>
          </w:p>
        </w:tc>
        <w:tc>
          <w:tcPr/>
          <w:p>
            <w:pPr>
              <w:pStyle w:val="Compact"/>
              <w:jc w:val="left"/>
            </w:pPr>
            <w:r>
              <w:t xml:space="preserve">p95 ≤ 60 s;</w:t>
            </w:r>
            <w:r>
              <w:t xml:space="preserve"> </w:t>
            </w:r>
            <w:r>
              <w:rPr>
                <w:bCs/>
                <w:b/>
              </w:rPr>
              <w:t xml:space="preserve">100% within 24 h or a compliance incident raised before the deadline</w:t>
            </w:r>
          </w:p>
        </w:tc>
        <w:tc>
          <w:tcPr/>
          <w:p>
            <w:pPr>
              <w:pStyle w:val="Compact"/>
              <w:jc w:val="left"/>
            </w:pPr>
            <w:r>
              <w:t xml:space="preserve">The 24 h is the duty. The 60 s target exists so the 24 h has 1,439 minutes of slack for outages</w:t>
            </w:r>
          </w:p>
        </w:tc>
        <w:tc>
          <w:tcPr/>
          <w:p>
            <w:pPr>
              <w:pStyle w:val="Compact"/>
              <w:jc w:val="left"/>
            </w:pPr>
            <w:r>
              <w:t xml:space="preserve">Submission-age histogram; alert at backlog &gt; 1 h; hard alert at deadline − 4 h</w:t>
            </w:r>
          </w:p>
        </w:tc>
      </w:tr>
      <w:tr>
        <w:tc>
          <w:tcPr/>
          <w:p>
            <w:pPr>
              <w:pStyle w:val="Compact"/>
              <w:jc w:val="left"/>
            </w:pPr>
            <w:r>
              <w:rPr>
                <w:rStyle w:val="VerbatimChar"/>
              </w:rPr>
              <w:t xml:space="preserve">N-05</w:t>
            </w:r>
          </w:p>
        </w:tc>
        <w:tc>
          <w:tcPr/>
          <w:p>
            <w:pPr>
              <w:pStyle w:val="Compact"/>
              <w:jc w:val="left"/>
            </w:pPr>
            <w:r>
              <w:t xml:space="preserve">Standard-invoice clearance</w:t>
            </w:r>
          </w:p>
        </w:tc>
        <w:tc>
          <w:tcPr/>
          <w:p>
            <w:pPr>
              <w:pStyle w:val="Compact"/>
              <w:jc w:val="left"/>
            </w:pPr>
            <w:r>
              <w:t xml:space="preserve">p95 ≤ 10 s; uncleared invoices carry the bilingual notice in the same render</w:t>
            </w:r>
          </w:p>
        </w:tc>
        <w:tc>
          <w:tcPr/>
          <w:p>
            <w:pPr>
              <w:pStyle w:val="Compact"/>
              <w:jc w:val="left"/>
            </w:pPr>
            <w:r>
              <w:t xml:space="preserve">A business customer cannot claim VAT on an uncleared invoice and must be told at receipt, not at year end</w:t>
            </w:r>
          </w:p>
        </w:tc>
        <w:tc>
          <w:tcPr/>
          <w:p>
            <w:pPr>
              <w:pStyle w:val="Compact"/>
              <w:jc w:val="left"/>
            </w:pPr>
            <w:r>
              <w:t xml:space="preserve">Per-invoice timing; weekly count of invoices issued uncleared, reported to the clinic</w:t>
            </w:r>
          </w:p>
        </w:tc>
      </w:tr>
      <w:tr>
        <w:tc>
          <w:tcPr/>
          <w:p>
            <w:pPr>
              <w:pStyle w:val="Compact"/>
              <w:jc w:val="left"/>
            </w:pPr>
            <w:r>
              <w:rPr>
                <w:rStyle w:val="VerbatimChar"/>
              </w:rPr>
              <w:t xml:space="preserve">N-06</w:t>
            </w:r>
          </w:p>
        </w:tc>
        <w:tc>
          <w:tcPr/>
          <w:p>
            <w:pPr>
              <w:pStyle w:val="Compact"/>
              <w:jc w:val="left"/>
            </w:pPr>
            <w:r>
              <w:t xml:space="preserve">Notifiable detection to prompt</w:t>
            </w:r>
          </w:p>
        </w:tc>
        <w:tc>
          <w:tcPr/>
          <w:p>
            <w:pPr>
              <w:pStyle w:val="Compact"/>
              <w:jc w:val="left"/>
            </w:pPr>
            <w:r>
              <w:t xml:space="preserve">≤ 60 s from the coded problem being saved; escalation at deadline − 4 h;</w:t>
            </w:r>
            <w:r>
              <w:t xml:space="preserve"> </w:t>
            </w:r>
            <w:r>
              <w:rPr>
                <w:bCs/>
                <w:b/>
              </w:rPr>
              <w:t xml:space="preserve">zero silent misses</w:t>
            </w:r>
          </w:p>
        </w:tc>
        <w:tc>
          <w:tcPr/>
          <w:p>
            <w:pPr>
              <w:pStyle w:val="Compact"/>
              <w:jc w:val="left"/>
            </w:pPr>
            <w:r>
              <w:rPr>
                <w:bCs/>
                <w:b/>
              </w:rPr>
              <w:t xml:space="preserve">The failure mode is not slowness, it is forgetting</w:t>
            </w:r>
          </w:p>
        </w:tc>
        <w:tc>
          <w:tcPr/>
          <w:p>
            <w:pPr>
              <w:pStyle w:val="Compact"/>
              <w:jc w:val="left"/>
            </w:pPr>
            <w:r>
              <w:t xml:space="preserve">Rule-engine latency; monthly assertion that every in-scope disease code produced a report row</w:t>
            </w:r>
          </w:p>
        </w:tc>
      </w:tr>
      <w:tr>
        <w:tc>
          <w:tcPr/>
          <w:p>
            <w:pPr>
              <w:pStyle w:val="Compact"/>
              <w:jc w:val="left"/>
            </w:pPr>
            <w:r>
              <w:rPr>
                <w:rStyle w:val="VerbatimChar"/>
              </w:rPr>
              <w:t xml:space="preserve">N-07</w:t>
            </w:r>
          </w:p>
        </w:tc>
        <w:tc>
          <w:tcPr/>
          <w:p>
            <w:pPr>
              <w:pStyle w:val="Compact"/>
              <w:jc w:val="left"/>
            </w:pPr>
            <w:r>
              <w:rPr>
                <w:bCs/>
                <w:b/>
              </w:rPr>
              <w:t xml:space="preserve">Cross-tenant exposure</w:t>
            </w:r>
          </w:p>
        </w:tc>
        <w:tc>
          <w:tcPr/>
          <w:p>
            <w:pPr>
              <w:pStyle w:val="Compact"/>
              <w:jc w:val="left"/>
            </w:pPr>
            <w:r>
              <w:rPr>
                <w:bCs/>
                <w:b/>
              </w:rPr>
              <w:t xml:space="preserve">Zero. Any occurrence is a P0 with a 72-hour notification clock</w:t>
            </w:r>
          </w:p>
        </w:tc>
        <w:tc>
          <w:tcPr/>
          <w:p>
            <w:pPr>
              <w:pStyle w:val="Compact"/>
              <w:jc w:val="left"/>
            </w:pPr>
            <w:r>
              <w:t xml:space="preserve">A single occurrence is existential for a B2B platform</w:t>
            </w:r>
          </w:p>
        </w:tc>
        <w:tc>
          <w:tcPr/>
          <w:p>
            <w:pPr>
              <w:pStyle w:val="Compact"/>
              <w:jc w:val="left"/>
            </w:pPr>
            <w:r>
              <w:t xml:space="preserve">The six isolation tests on every merge; quarterly manual red-team; alert on any query returning rows under a null or mismatched tenant context</w:t>
            </w:r>
          </w:p>
        </w:tc>
      </w:tr>
      <w:tr>
        <w:tc>
          <w:tcPr/>
          <w:p>
            <w:pPr>
              <w:pStyle w:val="Compact"/>
              <w:jc w:val="left"/>
            </w:pPr>
            <w:r>
              <w:rPr>
                <w:rStyle w:val="VerbatimChar"/>
              </w:rPr>
              <w:t xml:space="preserve">N-08</w:t>
            </w:r>
          </w:p>
        </w:tc>
        <w:tc>
          <w:tcPr/>
          <w:p>
            <w:pPr>
              <w:pStyle w:val="Compact"/>
              <w:jc w:val="left"/>
            </w:pPr>
            <w:r>
              <w:t xml:space="preserve">Availability in clinic hours</w:t>
            </w:r>
          </w:p>
        </w:tc>
        <w:tc>
          <w:tcPr/>
          <w:p>
            <w:pPr>
              <w:pStyle w:val="Compact"/>
              <w:jc w:val="left"/>
            </w:pPr>
            <w:r>
              <w:rPr>
                <w:bCs/>
                <w:b/>
              </w:rPr>
              <w:t xml:space="preserve">99.9% monthly within operating hours; 99.5% outside. Reported per tenant, not globally</w:t>
            </w:r>
          </w:p>
        </w:tc>
        <w:tc>
          <w:tcPr/>
          <w:p>
            <w:pPr>
              <w:pStyle w:val="Compact"/>
              <w:jc w:val="left"/>
            </w:pPr>
            <w:r>
              <w:rPr>
                <w:bCs/>
                <w:b/>
              </w:rPr>
              <w:t xml:space="preserve">A global 99.9% can hide one clinic being down all Tuesday. The clinic's experience is the only number that matters</w:t>
            </w:r>
          </w:p>
        </w:tc>
        <w:tc>
          <w:tcPr/>
          <w:p>
            <w:pPr>
              <w:pStyle w:val="Compact"/>
              <w:jc w:val="left"/>
            </w:pPr>
            <w:r>
              <w:t xml:space="preserve">Per-tenant synthetic probes from a KSA vantage point every 60 s; error budget published to the tenant</w:t>
            </w:r>
          </w:p>
        </w:tc>
      </w:tr>
      <w:tr>
        <w:tc>
          <w:tcPr/>
          <w:p>
            <w:pPr>
              <w:pStyle w:val="Compact"/>
              <w:jc w:val="left"/>
            </w:pPr>
            <w:r>
              <w:rPr>
                <w:rStyle w:val="VerbatimChar"/>
              </w:rPr>
              <w:t xml:space="preserve">N-09</w:t>
            </w:r>
          </w:p>
        </w:tc>
        <w:tc>
          <w:tcPr/>
          <w:p>
            <w:pPr>
              <w:pStyle w:val="Compact"/>
              <w:jc w:val="left"/>
            </w:pPr>
            <w:r>
              <w:t xml:space="preserve">Recall resolution</w:t>
            </w:r>
          </w:p>
        </w:tc>
        <w:tc>
          <w:tcPr/>
          <w:p>
            <w:pPr>
              <w:pStyle w:val="Compact"/>
              <w:jc w:val="left"/>
            </w:pPr>
            <w:r>
              <w:t xml:space="preserve">Product + batch → complete affected-owner list</w:t>
            </w:r>
            <w:r>
              <w:t xml:space="preserve"> </w:t>
            </w:r>
            <w:r>
              <w:rPr>
                <w:bCs/>
                <w:b/>
              </w:rPr>
              <w:t xml:space="preserve">≤ 5 min</w:t>
            </w:r>
            <w:r>
              <w:t xml:space="preserve"> </w:t>
            </w:r>
            <w:r>
              <w:t xml:space="preserve">across a 3-year history; first notification ≤ 30 min from notice receipt</w:t>
            </w:r>
          </w:p>
        </w:tc>
        <w:tc>
          <w:tcPr/>
          <w:p>
            <w:pPr>
              <w:pStyle w:val="Compact"/>
              <w:jc w:val="left"/>
            </w:pPr>
            <w:r>
              <w:t xml:space="preserve">A Class I recall has a real animal-safety clock. 5 minutes is what makes a vet trust the system over their own spreadsheet</w:t>
            </w:r>
          </w:p>
        </w:tc>
        <w:tc>
          <w:tcPr/>
          <w:p>
            <w:pPr>
              <w:pStyle w:val="Compact"/>
              <w:jc w:val="left"/>
            </w:pPr>
            <w:r>
              <w:rPr>
                <w:bCs/>
                <w:b/>
              </w:rPr>
              <w:t xml:space="preserve">Quarterly recall drill with a synthetic notice; wall clock recorded; the drill result is part of the evidence pack</w:t>
            </w:r>
          </w:p>
        </w:tc>
      </w:tr>
      <w:tr>
        <w:tc>
          <w:tcPr/>
          <w:p>
            <w:pPr>
              <w:pStyle w:val="Compact"/>
              <w:jc w:val="left"/>
            </w:pPr>
            <w:r>
              <w:rPr>
                <w:rStyle w:val="VerbatimChar"/>
              </w:rPr>
              <w:t xml:space="preserve">N-10</w:t>
            </w:r>
          </w:p>
        </w:tc>
        <w:tc>
          <w:tcPr/>
          <w:p>
            <w:pPr>
              <w:pStyle w:val="Compact"/>
              <w:jc w:val="left"/>
            </w:pPr>
            <w:r>
              <w:t xml:space="preserve">Data subject request</w:t>
            </w:r>
          </w:p>
        </w:tc>
        <w:tc>
          <w:tcPr/>
          <w:p>
            <w:pPr>
              <w:pStyle w:val="Compact"/>
              <w:jc w:val="left"/>
            </w:pPr>
            <w:r>
              <w:t xml:space="preserve">Acknowledged ≤ 48 h; pack ≤ 7 days; closed within</w:t>
            </w:r>
            <w:r>
              <w:t xml:space="preserve"> </w:t>
            </w:r>
            <w:r>
              <w:rPr>
                <w:bCs/>
                <w:b/>
              </w:rPr>
              <w:t xml:space="preserve">30 days</w:t>
            </w:r>
            <w:r>
              <w:t xml:space="preserve"> </w:t>
            </w:r>
            <w:r>
              <w:t xml:space="preserve">(+30 with recorded reason)</w:t>
            </w:r>
          </w:p>
        </w:tc>
        <w:tc>
          <w:tcPr/>
          <w:p>
            <w:pPr>
              <w:pStyle w:val="Compact"/>
              <w:jc w:val="left"/>
            </w:pPr>
            <w:r>
              <w:t xml:space="preserve">Statutory period. The 7-day internal target exists so the limit is never approached</w:t>
            </w:r>
          </w:p>
        </w:tc>
        <w:tc>
          <w:tcPr/>
          <w:p>
            <w:pPr>
              <w:pStyle w:val="Compact"/>
              <w:jc w:val="left"/>
            </w:pPr>
            <w:r>
              <w:t xml:space="preserve">Due-versus-closed tracking; alert at day 20</w:t>
            </w:r>
          </w:p>
        </w:tc>
      </w:tr>
      <w:tr>
        <w:tc>
          <w:tcPr/>
          <w:p>
            <w:pPr>
              <w:pStyle w:val="Compact"/>
              <w:jc w:val="left"/>
            </w:pPr>
            <w:r>
              <w:rPr>
                <w:rStyle w:val="VerbatimChar"/>
              </w:rPr>
              <w:t xml:space="preserve">N-11</w:t>
            </w:r>
          </w:p>
        </w:tc>
        <w:tc>
          <w:tcPr/>
          <w:p>
            <w:pPr>
              <w:pStyle w:val="Compact"/>
              <w:jc w:val="left"/>
            </w:pPr>
            <w:r>
              <w:t xml:space="preserve">Audit chain integrity</w:t>
            </w:r>
          </w:p>
        </w:tc>
        <w:tc>
          <w:tcPr/>
          <w:p>
            <w:pPr>
              <w:pStyle w:val="Compact"/>
              <w:jc w:val="left"/>
            </w:pPr>
            <w:r>
              <w:t xml:space="preserve">Daily full-chain verification;</w:t>
            </w:r>
            <w:r>
              <w:t xml:space="preserve"> </w:t>
            </w:r>
            <w:r>
              <w:rPr>
                <w:bCs/>
                <w:b/>
              </w:rPr>
              <w:t xml:space="preserve">zero unexplained breaks</w:t>
            </w:r>
            <w:r>
              <w:t xml:space="preserve">; anchor published within 15 min</w:t>
            </w:r>
          </w:p>
        </w:tc>
        <w:tc>
          <w:tcPr/>
          <w:p>
            <w:pPr>
              <w:pStyle w:val="Compact"/>
              <w:jc w:val="left"/>
            </w:pPr>
            <w:r>
              <w:rPr>
                <w:bCs/>
                <w:b/>
              </w:rPr>
              <w:t xml:space="preserve">A break discovered during an inspection is unrecoverable. Discovered next morning, it is a bug</w:t>
            </w:r>
          </w:p>
        </w:tc>
        <w:tc>
          <w:tcPr/>
          <w:p>
            <w:pPr>
              <w:pStyle w:val="Compact"/>
              <w:jc w:val="left"/>
            </w:pPr>
            <w:r>
              <w:t xml:space="preserve">Nightly chain walk with anchor comparison; failure pages on-call</w:t>
            </w:r>
          </w:p>
        </w:tc>
      </w:tr>
      <w:tr>
        <w:tc>
          <w:tcPr/>
          <w:p>
            <w:pPr>
              <w:pStyle w:val="Compact"/>
              <w:jc w:val="left"/>
            </w:pPr>
            <w:r>
              <w:rPr>
                <w:rStyle w:val="VerbatimChar"/>
              </w:rPr>
              <w:t xml:space="preserve">N-12</w:t>
            </w:r>
          </w:p>
        </w:tc>
        <w:tc>
          <w:tcPr/>
          <w:p>
            <w:pPr>
              <w:pStyle w:val="Compact"/>
              <w:jc w:val="left"/>
            </w:pPr>
            <w:r>
              <w:t xml:space="preserve">Arabic / RTL correctness</w:t>
            </w:r>
          </w:p>
        </w:tc>
        <w:tc>
          <w:tcPr/>
          <w:p>
            <w:pPr>
              <w:pStyle w:val="Compact"/>
              <w:jc w:val="left"/>
            </w:pPr>
            <w:r>
              <w:t xml:space="preserve">100% of strings externalised; RTL verified every release;</w:t>
            </w:r>
            <w:r>
              <w:t xml:space="preserve"> </w:t>
            </w:r>
            <w:r>
              <w:rPr>
                <w:bCs/>
                <w:b/>
              </w:rPr>
              <w:t xml:space="preserve">mixed-script clinical notes render without reordering corruption</w:t>
            </w:r>
          </w:p>
        </w:tc>
        <w:tc>
          <w:tcPr/>
          <w:p>
            <w:pPr>
              <w:pStyle w:val="Compact"/>
              <w:jc w:val="left"/>
            </w:pPr>
            <w:r>
              <w:rPr>
                <w:bCs/>
                <w:b/>
              </w:rPr>
              <w:t xml:space="preserve">A mis-rendered Arabic drug name is a dispensing-error vector, not a cosmetic bug</w:t>
            </w:r>
          </w:p>
        </w:tc>
        <w:tc>
          <w:tcPr/>
          <w:p>
            <w:pPr>
              <w:pStyle w:val="Compact"/>
              <w:jc w:val="left"/>
            </w:pPr>
            <w:r>
              <w:t xml:space="preserve">Automated RTL visual regression per release; the §S4.5 corpus asserted byte-identical on round-trip</w:t>
            </w:r>
          </w:p>
        </w:tc>
      </w:tr>
      <w:tr>
        <w:tc>
          <w:tcPr/>
          <w:p>
            <w:pPr>
              <w:pStyle w:val="Compact"/>
              <w:jc w:val="left"/>
            </w:pPr>
            <w:r>
              <w:rPr>
                <w:rStyle w:val="VerbatimChar"/>
              </w:rPr>
              <w:t xml:space="preserve">N-13</w:t>
            </w:r>
          </w:p>
        </w:tc>
        <w:tc>
          <w:tcPr/>
          <w:p>
            <w:pPr>
              <w:pStyle w:val="Compact"/>
              <w:jc w:val="left"/>
            </w:pPr>
            <w:r>
              <w:t xml:space="preserve">Restore</w:t>
            </w:r>
          </w:p>
        </w:tc>
        <w:tc>
          <w:tcPr/>
          <w:p>
            <w:pPr>
              <w:pStyle w:val="Compact"/>
              <w:jc w:val="left"/>
            </w:pPr>
            <w:r>
              <w:t xml:space="preserve">Monthly point-in-time drill achieving RTO ≤ 4 h</w:t>
            </w:r>
            <w:r>
              <w:t xml:space="preserve"> </w:t>
            </w:r>
            <w:r>
              <w:rPr>
                <w:bCs/>
                <w:b/>
              </w:rPr>
              <w:t xml:space="preserve">with isolation and audit-chain tests passing post-restore</w:t>
            </w:r>
          </w:p>
        </w:tc>
        <w:tc>
          <w:tcPr/>
          <w:p>
            <w:pPr>
              <w:pStyle w:val="Compact"/>
              <w:jc w:val="left"/>
            </w:pPr>
            <w:r>
              <w:rPr>
                <w:bCs/>
                <w:b/>
              </w:rPr>
              <w:t xml:space="preserve">A restore that produces a database failing the isolation tests has restored a breach</w:t>
            </w:r>
          </w:p>
        </w:tc>
        <w:tc>
          <w:tcPr/>
          <w:p>
            <w:pPr>
              <w:pStyle w:val="Compact"/>
              <w:jc w:val="left"/>
            </w:pPr>
            <w:r>
              <w:t xml:space="preserve">Recorded wall clock and test results per drill, retained as evidence</w:t>
            </w:r>
          </w:p>
        </w:tc>
      </w:tr>
      <w:tr>
        <w:tc>
          <w:tcPr/>
          <w:p>
            <w:pPr>
              <w:pStyle w:val="Compact"/>
              <w:jc w:val="left"/>
            </w:pPr>
            <w:r>
              <w:rPr>
                <w:rStyle w:val="VerbatimChar"/>
              </w:rPr>
              <w:t xml:space="preserve">N-14</w:t>
            </w:r>
          </w:p>
        </w:tc>
        <w:tc>
          <w:tcPr/>
          <w:p>
            <w:pPr>
              <w:pStyle w:val="Compact"/>
              <w:jc w:val="left"/>
            </w:pPr>
            <w:r>
              <w:t xml:space="preserve">Dispense scan</w:t>
            </w:r>
          </w:p>
        </w:tc>
        <w:tc>
          <w:tcPr/>
          <w:p>
            <w:pPr>
              <w:pStyle w:val="Compact"/>
              <w:jc w:val="left"/>
            </w:pPr>
            <w:r>
              <w:t xml:space="preserve">Decode ≤ 300 ms;</w:t>
            </w:r>
            <w:r>
              <w:t xml:space="preserve"> </w:t>
            </w:r>
            <w:r>
              <w:rPr>
                <w:bCs/>
                <w:b/>
              </w:rPr>
              <w:t xml:space="preserve">manual fallback always available</w:t>
            </w:r>
          </w:p>
        </w:tc>
        <w:tc>
          <w:tcPr/>
          <w:p>
            <w:pPr>
              <w:pStyle w:val="Compact"/>
              <w:jc w:val="left"/>
            </w:pPr>
            <w:r>
              <w:t xml:space="preserve">A vet in a consult will not fight a scanner. If it is slow or blocking, she bypasses traceability entirely and the data is lost</w:t>
            </w:r>
          </w:p>
        </w:tc>
        <w:tc>
          <w:tcPr/>
          <w:p>
            <w:pPr>
              <w:pStyle w:val="Compact"/>
              <w:jc w:val="left"/>
            </w:pPr>
            <w:r>
              <w:t xml:space="preserve">Client timing;</w:t>
            </w:r>
            <w:r>
              <w:t xml:space="preserve"> </w:t>
            </w:r>
            <w:r>
              <w:rPr>
                <w:bCs/>
                <w:b/>
              </w:rPr>
              <w:t xml:space="preserve">a monthly scanned-versus-keyed ratio as a data-quality metric</w:t>
            </w:r>
          </w:p>
        </w:tc>
      </w:tr>
      <w:tr>
        <w:tc>
          <w:tcPr/>
          <w:p>
            <w:pPr>
              <w:pStyle w:val="Compact"/>
              <w:jc w:val="left"/>
            </w:pPr>
            <w:r>
              <w:rPr>
                <w:rStyle w:val="VerbatimChar"/>
              </w:rPr>
              <w:t xml:space="preserve">N-15</w:t>
            </w:r>
          </w:p>
        </w:tc>
        <w:tc>
          <w:tcPr/>
          <w:p>
            <w:pPr>
              <w:pStyle w:val="Compact"/>
              <w:jc w:val="left"/>
            </w:pPr>
            <w:r>
              <w:t xml:space="preserve">Licence gate</w:t>
            </w:r>
          </w:p>
        </w:tc>
        <w:tc>
          <w:tcPr/>
          <w:p>
            <w:pPr>
              <w:pStyle w:val="Compact"/>
              <w:jc w:val="left"/>
            </w:pPr>
            <w:r>
              <w:t xml:space="preserve">Evaluated ≤ 100 ms on</w:t>
            </w:r>
            <w:r>
              <w:t xml:space="preserve"> </w:t>
            </w:r>
            <w:r>
              <w:rPr>
                <w:bCs/>
                <w:b/>
              </w:rPr>
              <w:t xml:space="preserve">100%</w:t>
            </w:r>
            <w:r>
              <w:t xml:space="preserve"> </w:t>
            </w:r>
            <w:r>
              <w:t xml:space="preserve">of gated actions,</w:t>
            </w:r>
            <w:r>
              <w:t xml:space="preserve"> </w:t>
            </w:r>
            <w:r>
              <w:rPr>
                <w:bCs/>
                <w:b/>
              </w:rPr>
              <w:t xml:space="preserve">from materialised status, never a live external call</w:t>
            </w:r>
          </w:p>
        </w:tc>
        <w:tc>
          <w:tcPr/>
          <w:p>
            <w:pPr>
              <w:pStyle w:val="Compact"/>
              <w:jc w:val="left"/>
            </w:pPr>
            <w:r>
              <w:rPr>
                <w:bCs/>
                <w:b/>
              </w:rPr>
              <w:t xml:space="preserve">A gate that is slow gets disabled. A gate on a network call fails open under outage, which is the worst possible failure direction</w:t>
            </w:r>
          </w:p>
        </w:tc>
        <w:tc>
          <w:tcPr/>
          <w:p>
            <w:pPr>
              <w:pStyle w:val="Compact"/>
              <w:jc w:val="left"/>
            </w:pPr>
            <w:r>
              <w:t xml:space="preserve">Coverage assertion in CI: every gated action has a gate row for every invocation</w:t>
            </w:r>
          </w:p>
        </w:tc>
      </w:tr>
    </w:tbl>
    <w:bookmarkEnd w:id="123"/>
    <w:bookmarkStart w:id="124" w:name="Xfdb32285eec54e46995d11868e2aeab2c9d0789"/>
    <w:p>
      <w:pPr>
        <w:pStyle w:val="Heading2"/>
      </w:pPr>
      <w:r>
        <w:t xml:space="preserve">S8.8 What is not built in Phase 1, and the seam left for 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Not building</w:t>
            </w:r>
          </w:p>
        </w:tc>
        <w:tc>
          <w:tcPr/>
          <w:p>
            <w:pPr>
              <w:pStyle w:val="Compact"/>
              <w:jc w:val="left"/>
            </w:pPr>
            <w:r>
              <w:t xml:space="preserve">Why</w:t>
            </w:r>
          </w:p>
        </w:tc>
        <w:tc>
          <w:tcPr/>
          <w:p>
            <w:pPr>
              <w:pStyle w:val="Compact"/>
              <w:jc w:val="left"/>
            </w:pPr>
            <w:r>
              <w:t xml:space="preserve">The seam</w:t>
            </w:r>
          </w:p>
        </w:tc>
      </w:tr>
      <w:tr>
        <w:tc>
          <w:tcPr/>
          <w:p>
            <w:pPr>
              <w:pStyle w:val="Compact"/>
              <w:jc w:val="left"/>
            </w:pPr>
            <w:r>
              <w:t xml:space="preserve">Microservices, Kubernetes, service mesh, gateway product</w:t>
            </w:r>
          </w:p>
        </w:tc>
        <w:tc>
          <w:tcPr/>
          <w:p>
            <w:pPr>
              <w:pStyle w:val="Compact"/>
              <w:jc w:val="left"/>
            </w:pPr>
            <w:r>
              <w:t xml:space="preserve">No platform team, no users, no scale pressure.</w:t>
            </w:r>
            <w:r>
              <w:t xml:space="preserve"> </w:t>
            </w:r>
            <w:r>
              <w:rPr>
                <w:bCs/>
                <w:b/>
              </w:rPr>
              <w:t xml:space="preserve">Distributed systems convert every simple bug into a debugging expedition</w:t>
            </w:r>
          </w:p>
        </w:tc>
        <w:tc>
          <w:tcPr/>
          <w:p>
            <w:pPr>
              <w:pStyle w:val="Compact"/>
              <w:jc w:val="left"/>
            </w:pPr>
            <w:r>
              <w:t xml:space="preserve">Import-linter-enforced module boundaries with explicit interfaces. Extraction becomes a deployment change, not a rewrite</w:t>
            </w:r>
          </w:p>
        </w:tc>
      </w:tr>
      <w:tr>
        <w:tc>
          <w:tcPr/>
          <w:p>
            <w:pPr>
              <w:pStyle w:val="Compact"/>
              <w:jc w:val="left"/>
            </w:pPr>
            <w:r>
              <w:t xml:space="preserve">Database-per-tenant</w:t>
            </w:r>
          </w:p>
        </w:tc>
        <w:tc>
          <w:tcPr/>
          <w:p>
            <w:pPr>
              <w:pStyle w:val="Compact"/>
              <w:jc w:val="left"/>
            </w:pPr>
            <w:r>
              <w:t xml:space="preserve">Ops burden and connection-model incompatibility at 450 tenants</w:t>
            </w:r>
          </w:p>
        </w:tc>
        <w:tc>
          <w:tcPr/>
          <w:p>
            <w:pPr>
              <w:pStyle w:val="Compact"/>
              <w:jc w:val="left"/>
            </w:pPr>
            <w:r>
              <w:t xml:space="preserve">Composite keys are a superset of what it needs; the routing table exists from day one</w:t>
            </w:r>
          </w:p>
        </w:tc>
      </w:tr>
      <w:tr>
        <w:tc>
          <w:tcPr/>
          <w:p>
            <w:pPr>
              <w:pStyle w:val="Compact"/>
              <w:jc w:val="left"/>
            </w:pPr>
            <w:r>
              <w:t xml:space="preserve">Elasticsearch / MongoDB</w:t>
            </w:r>
          </w:p>
        </w:tc>
        <w:tc>
          <w:tcPr/>
          <w:p>
            <w:pPr>
              <w:pStyle w:val="Compact"/>
              <w:jc w:val="left"/>
            </w:pPr>
            <w:r>
              <w:t xml:space="preserve">Postgres covers 450 clinics.</w:t>
            </w:r>
            <w:r>
              <w:t xml:space="preserve"> </w:t>
            </w:r>
            <w:r>
              <w:rPr>
                <w:bCs/>
                <w:b/>
              </w:rPr>
              <w:t xml:space="preserve">Two more datastores means two more backup, residency and isolation problems</w:t>
            </w:r>
          </w:p>
        </w:tc>
        <w:tc>
          <w:tcPr/>
          <w:p>
            <w:pPr>
              <w:pStyle w:val="Compact"/>
              <w:jc w:val="left"/>
            </w:pPr>
            <w:r>
              <w:t xml:space="preserve">Search behind a port interface with one implementation</w:t>
            </w:r>
          </w:p>
        </w:tc>
      </w:tr>
      <w:tr>
        <w:tc>
          <w:tcPr/>
          <w:p>
            <w:pPr>
              <w:pStyle w:val="Compact"/>
              <w:jc w:val="left"/>
            </w:pPr>
            <w:r>
              <w:t xml:space="preserve">Self-hosted media server</w:t>
            </w:r>
          </w:p>
        </w:tc>
        <w:tc>
          <w:tcPr/>
          <w:p>
            <w:pPr>
              <w:pStyle w:val="Compact"/>
              <w:jc w:val="left"/>
            </w:pPr>
            <w:r>
              <w:t xml:space="preserve">A media plane is a full-time team, and a residency problem we would then own</w:t>
            </w:r>
          </w:p>
        </w:tc>
        <w:tc>
          <w:tcPr/>
          <w:p>
            <w:pPr>
              <w:pStyle w:val="Compact"/>
              <w:jc w:val="left"/>
            </w:pPr>
            <w:r>
              <w:t xml:space="preserve">Managed vendor behind a port; recording already consent-gated</w:t>
            </w:r>
          </w:p>
        </w:tc>
      </w:tr>
      <w:tr>
        <w:tc>
          <w:tcPr/>
          <w:p>
            <w:pPr>
              <w:pStyle w:val="Compact"/>
              <w:jc w:val="left"/>
            </w:pPr>
            <w:r>
              <w:t xml:space="preserve">Track-and-trace event reporting</w:t>
            </w:r>
          </w:p>
        </w:tc>
        <w:tc>
          <w:tcPr/>
          <w:p>
            <w:pPr>
              <w:pStyle w:val="Compact"/>
              <w:jc w:val="left"/>
            </w:pPr>
            <w:r>
              <w:t xml:space="preserve">Clinic-node obligation unestablished.</w:t>
            </w:r>
            <w:r>
              <w:t xml:space="preserve"> </w:t>
            </w:r>
            <w:r>
              <w:rPr>
                <w:bCs/>
                <w:b/>
              </w:rPr>
              <w:t xml:space="preserve">Building to a guessed contract is worse than not building</w:t>
            </w:r>
          </w:p>
        </w:tc>
        <w:tc>
          <w:tcPr/>
          <w:p>
            <w:pPr>
              <w:pStyle w:val="Compact"/>
              <w:jc w:val="left"/>
            </w:pPr>
            <w:r>
              <w:t xml:space="preserve">The dispense event already carries the full payload shape</w:t>
            </w:r>
          </w:p>
        </w:tc>
      </w:tr>
      <w:tr>
        <w:tc>
          <w:tcPr/>
          <w:p>
            <w:pPr>
              <w:pStyle w:val="Compact"/>
              <w:jc w:val="left"/>
            </w:pPr>
            <w:r>
              <w:t xml:space="preserve">Automated Weqaa submission</w:t>
            </w:r>
          </w:p>
        </w:tc>
        <w:tc>
          <w:tcPr/>
          <w:p>
            <w:pPr>
              <w:pStyle w:val="Compact"/>
              <w:jc w:val="left"/>
            </w:pPr>
            <w:r>
              <w:t xml:space="preserve">No documented machine channel</w:t>
            </w:r>
          </w:p>
        </w:tc>
        <w:tc>
          <w:tcPr/>
          <w:p>
            <w:pPr>
              <w:pStyle w:val="Compact"/>
              <w:jc w:val="left"/>
            </w:pPr>
            <w:r>
              <w:t xml:space="preserve">The report entity is a complete immutable payload; transport is one worker</w:t>
            </w:r>
          </w:p>
        </w:tc>
      </w:tr>
      <w:tr>
        <w:tc>
          <w:tcPr/>
          <w:p>
            <w:pPr>
              <w:pStyle w:val="Compact"/>
              <w:jc w:val="left"/>
            </w:pPr>
            <w:r>
              <w:t xml:space="preserve">Authority licence verification</w:t>
            </w:r>
          </w:p>
        </w:tc>
        <w:tc>
          <w:tcPr/>
          <w:p>
            <w:pPr>
              <w:pStyle w:val="Compact"/>
              <w:jc w:val="left"/>
            </w:pPr>
            <w:r>
              <w:t xml:space="preserve">No documented endpoint</w:t>
            </w:r>
          </w:p>
        </w:tc>
        <w:tc>
          <w:tcPr/>
          <w:p>
            <w:pPr>
              <w:pStyle w:val="Compact"/>
              <w:jc w:val="left"/>
            </w:pPr>
            <w:r>
              <w:t xml:space="preserve">The verification ladder reserves the state</w:t>
            </w:r>
          </w:p>
        </w:tc>
      </w:tr>
      <w:tr>
        <w:tc>
          <w:tcPr/>
          <w:p>
            <w:pPr>
              <w:pStyle w:val="Compact"/>
              <w:jc w:val="left"/>
            </w:pPr>
            <w:r>
              <w:t xml:space="preserve">Inventory purchasing and supplier ordering</w:t>
            </w:r>
          </w:p>
        </w:tc>
        <w:tc>
          <w:tcPr/>
          <w:p>
            <w:pPr>
              <w:pStyle w:val="Compact"/>
              <w:jc w:val="left"/>
            </w:pPr>
            <w:r>
              <w:t xml:space="preserve">Adjacent product, large surface, not the wedge</w:t>
            </w:r>
          </w:p>
        </w:tc>
        <w:tc>
          <w:tcPr/>
          <w:p>
            <w:pPr>
              <w:pStyle w:val="Compact"/>
              <w:jc w:val="left"/>
            </w:pPr>
            <w:r>
              <w:t xml:space="preserve">Batch quantities and supplier already exist; stock movement is a table away</w:t>
            </w:r>
          </w:p>
        </w:tc>
      </w:tr>
      <w:tr>
        <w:tc>
          <w:tcPr/>
          <w:p>
            <w:pPr>
              <w:pStyle w:val="Compact"/>
              <w:jc w:val="left"/>
            </w:pPr>
            <w:r>
              <w:t xml:space="preserve">Insurance claim submission</w:t>
            </w:r>
          </w:p>
        </w:tc>
        <w:tc>
          <w:tcPr/>
          <w:p>
            <w:pPr>
              <w:pStyle w:val="Compact"/>
              <w:jc w:val="left"/>
            </w:pPr>
            <w:r>
              <w:t xml:space="preserve">Market nascent (§S9.6)</w:t>
            </w:r>
          </w:p>
        </w:tc>
        <w:tc>
          <w:tcPr/>
          <w:p>
            <w:pPr>
              <w:pStyle w:val="Compact"/>
              <w:jc w:val="left"/>
            </w:pPr>
            <w:r>
              <w:t xml:space="preserve">Payment method and account structure accommodate it</w:t>
            </w:r>
          </w:p>
        </w:tc>
      </w:tr>
      <w:tr>
        <w:tc>
          <w:tcPr/>
          <w:p>
            <w:pPr>
              <w:pStyle w:val="Compact"/>
              <w:jc w:val="left"/>
            </w:pPr>
            <w:r>
              <w:t xml:space="preserve">Lab integrations</w:t>
            </w:r>
          </w:p>
        </w:tc>
        <w:tc>
          <w:tcPr/>
          <w:p>
            <w:pPr>
              <w:pStyle w:val="Compact"/>
              <w:jc w:val="left"/>
            </w:pPr>
            <w:r>
              <w:t xml:space="preserve">No standard interface established</w:t>
            </w:r>
          </w:p>
        </w:tc>
        <w:tc>
          <w:tcPr/>
          <w:p>
            <w:pPr>
              <w:pStyle w:val="Compact"/>
              <w:jc w:val="left"/>
            </w:pPr>
            <w:r>
              <w:t xml:space="preserve">Result entity shaped for standard mapping</w:t>
            </w:r>
          </w:p>
        </w:tc>
      </w:tr>
      <w:tr>
        <w:tc>
          <w:tcPr/>
          <w:p>
            <w:pPr>
              <w:pStyle w:val="Compact"/>
              <w:jc w:val="left"/>
            </w:pPr>
            <w:r>
              <w:rPr>
                <w:bCs/>
                <w:b/>
              </w:rPr>
              <w:t xml:space="preserve">Any derived clinical score</w:t>
            </w:r>
          </w:p>
        </w:tc>
        <w:tc>
          <w:tcPr/>
          <w:p>
            <w:pPr>
              <w:pStyle w:val="Compact"/>
              <w:jc w:val="left"/>
            </w:pPr>
            <w:r>
              <w:rPr>
                <w:bCs/>
                <w:b/>
              </w:rPr>
              <w:t xml:space="preserve">The legacy</w:t>
            </w:r>
            <w:r>
              <w:rPr>
                <w:bCs/>
                <w:b/>
              </w:rPr>
              <w:t xml:space="preserve"> </w:t>
            </w:r>
            <w:r>
              <w:rPr>
                <w:rStyle w:val="VerbatimChar"/>
                <w:bCs/>
                <w:b/>
              </w:rPr>
              <w:t xml:space="preserve">health_score</w:t>
            </w:r>
            <w:r>
              <w:rPr>
                <w:bCs/>
                <w:b/>
              </w:rPr>
              <w:t xml:space="preserve"> </w:t>
            </w:r>
            <w:r>
              <w:rPr>
                <w:bCs/>
                <w:b/>
              </w:rPr>
              <w:t xml:space="preserve">is the cautionary case: an unexplainable number shown to a clinician is a safety and liability problem</w:t>
            </w:r>
          </w:p>
        </w:tc>
        <w:tc>
          <w:tcPr/>
          <w:p>
            <w:pPr>
              <w:pStyle w:val="Compact"/>
              <w:jc w:val="left"/>
            </w:pPr>
            <w:r>
              <w:t xml:space="preserve">The derived-indicator pattern is defined; no indicator is implemented</w:t>
            </w:r>
          </w:p>
        </w:tc>
      </w:tr>
      <w:tr>
        <w:tc>
          <w:tcPr/>
          <w:p>
            <w:pPr>
              <w:pStyle w:val="Compact"/>
              <w:jc w:val="left"/>
            </w:pPr>
            <w:r>
              <w:t xml:space="preserve">Read replicas, caching, API CDN</w:t>
            </w:r>
          </w:p>
        </w:tc>
        <w:tc>
          <w:tcPr/>
          <w:p>
            <w:pPr>
              <w:pStyle w:val="Compact"/>
              <w:jc w:val="left"/>
            </w:pPr>
            <w:r>
              <w:t xml:space="preserve">Premature, and adds staleness bugs to a system whose correctness depends on freshness — licence status, consent state, batch recall</w:t>
            </w:r>
          </w:p>
        </w:tc>
        <w:tc>
          <w:tcPr/>
          <w:p>
            <w:pPr>
              <w:pStyle w:val="Compact"/>
              <w:jc w:val="left"/>
            </w:pPr>
            <w:r>
              <w:t xml:space="preserve">Query patterns are measured, so the decision is data-driven when it arrives</w:t>
            </w:r>
          </w:p>
        </w:tc>
      </w:tr>
      <w:tr>
        <w:tc>
          <w:tcPr/>
          <w:p>
            <w:pPr>
              <w:pStyle w:val="Compact"/>
              <w:jc w:val="left"/>
            </w:pPr>
            <w:r>
              <w:t xml:space="preserve">Multi-region DR</w:t>
            </w:r>
          </w:p>
        </w:tc>
        <w:tc>
          <w:tcPr/>
          <w:p>
            <w:pPr>
              <w:pStyle w:val="Compact"/>
              <w:jc w:val="left"/>
            </w:pPr>
            <w:r>
              <w:rPr>
                <w:bCs/>
                <w:b/>
              </w:rPr>
              <w:t xml:space="preserve">No second KSA region exists</w:t>
            </w:r>
          </w:p>
        </w:tc>
        <w:tc>
          <w:tcPr/>
          <w:p>
            <w:pPr>
              <w:pStyle w:val="Compact"/>
              <w:jc w:val="left"/>
            </w:pPr>
            <w:r>
              <w:t xml:space="preserve">Daily encrypted export to a separately governed project; restore exercised annually</w:t>
            </w:r>
          </w:p>
        </w:tc>
      </w:tr>
      <w:tr>
        <w:tc>
          <w:tcPr/>
          <w:p>
            <w:pPr>
              <w:pStyle w:val="Compact"/>
              <w:jc w:val="left"/>
            </w:pPr>
            <w:r>
              <w:t xml:space="preserve">National digital identity for owners</w:t>
            </w:r>
          </w:p>
        </w:tc>
        <w:tc>
          <w:tcPr/>
          <w:p>
            <w:pPr>
              <w:pStyle w:val="Compact"/>
              <w:jc w:val="left"/>
            </w:pPr>
            <w:r>
              <w:t xml:space="preserve">OTP is sufficient for Phase 1 and it adds friction to a product with no users</w:t>
            </w:r>
          </w:p>
        </w:tc>
        <w:tc>
          <w:tcPr/>
          <w:p>
            <w:pPr>
              <w:pStyle w:val="Compact"/>
              <w:jc w:val="left"/>
            </w:pPr>
            <w:r>
              <w:t xml:space="preserve">An assurance-level column read by the data-subject verification path</w:t>
            </w:r>
          </w:p>
        </w:tc>
      </w:tr>
    </w:tbl>
    <w:p>
      <w:r>
        <w:pict>
          <v:rect style="width:0;height:1.5pt" o:hralign="center" o:hrstd="t" o:hr="t"/>
        </w:pict>
      </w:r>
    </w:p>
    <w:bookmarkEnd w:id="124"/>
    <w:bookmarkEnd w:id="125"/>
    <w:bookmarkStart w:id="137" w:name="s9--commercial-model-and-market"/>
    <w:p>
      <w:pPr>
        <w:pStyle w:val="Heading1"/>
      </w:pPr>
      <w:r>
        <w:t xml:space="preserve">S9 · Commercial Model and Market</w:t>
      </w:r>
    </w:p>
    <w:p>
      <w:pPr>
        <w:pStyle w:val="FirstParagraph"/>
      </w:pPr>
      <w:r>
        <w:rPr>
          <w:bCs/>
          <w:b/>
        </w:rPr>
        <w:t xml:space="preserve">All figures are</w:t>
      </w:r>
      <w:r>
        <w:rPr>
          <w:bCs/>
          <w:b/>
        </w:rPr>
        <w:t xml:space="preserve"> </w:t>
      </w:r>
      <w:r>
        <w:rPr>
          <w:rStyle w:val="VerbatimChar"/>
          <w:bCs/>
          <w:b/>
        </w:rPr>
        <w:t xml:space="preserve">[HYPOTHESIS]</w:t>
      </w:r>
      <w:r>
        <w:rPr>
          <w:bCs/>
          <w:b/>
        </w:rPr>
        <w:t xml:space="preserve"> </w:t>
      </w:r>
      <w:r>
        <w:rPr>
          <w:bCs/>
          <w:b/>
        </w:rPr>
        <w:t xml:space="preserve">unless marked sourced. Every number carries its arithmetic. Nothing here is a target until it survives §S9.7.</w:t>
      </w:r>
    </w:p>
    <w:bookmarkStart w:id="129" w:name="s91-the-market-bottom-up"/>
    <w:p>
      <w:pPr>
        <w:pStyle w:val="Heading2"/>
      </w:pPr>
      <w:r>
        <w:t xml:space="preserve">S9.1 The market, bottom-up</w:t>
      </w:r>
    </w:p>
    <w:bookmarkStart w:id="126" w:name="demand-side"/>
    <w:p>
      <w:pPr>
        <w:pStyle w:val="Heading3"/>
      </w:pPr>
      <w:r>
        <w:t xml:space="preserve">Demand side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Total pets owned in KSA</w:t>
            </w:r>
          </w:p>
        </w:tc>
        <w:tc>
          <w:tcPr/>
          <w:p>
            <w:pPr>
              <w:pStyle w:val="Compact"/>
              <w:jc w:val="left"/>
            </w:pPr>
            <w:r>
              <w:rPr>
                <w:bCs/>
                <w:b/>
              </w:rPr>
              <w:t xml:space="preserve">1.8 million</w:t>
            </w:r>
          </w:p>
        </w:tc>
        <w:tc>
          <w:tcPr/>
          <w:p>
            <w:pPr>
              <w:pStyle w:val="Compact"/>
              <w:jc w:val="left"/>
            </w:pPr>
            <w:r>
              <w:t xml:space="preserve">Sourced — USDA GAIN overview of the Saudi pet food market, May 2025</w:t>
            </w:r>
          </w:p>
        </w:tc>
      </w:tr>
      <w:tr>
        <w:tc>
          <w:tcPr/>
          <w:p>
            <w:pPr>
              <w:pStyle w:val="Compact"/>
              <w:jc w:val="left"/>
            </w:pPr>
            <w:r>
              <w:t xml:space="preserve">Official KSA pet-ownership statistics</w:t>
            </w:r>
          </w:p>
        </w:tc>
        <w:tc>
          <w:tcPr/>
          <w:p>
            <w:pPr>
              <w:pStyle w:val="Compact"/>
              <w:jc w:val="left"/>
            </w:pPr>
            <w:r>
              <w:rPr>
                <w:bCs/>
                <w:b/>
              </w:rPr>
              <w:t xml:space="preserve">None kept</w:t>
            </w:r>
          </w:p>
        </w:tc>
        <w:tc>
          <w:tcPr/>
          <w:p>
            <w:pPr>
              <w:pStyle w:val="Compact"/>
              <w:jc w:val="left"/>
            </w:pPr>
            <w:r>
              <w:t xml:space="preserve">Sourced, same report</w:t>
            </w:r>
          </w:p>
        </w:tc>
      </w:tr>
      <w:tr>
        <w:tc>
          <w:tcPr/>
          <w:p>
            <w:pPr>
              <w:pStyle w:val="Compact"/>
              <w:jc w:val="left"/>
            </w:pPr>
            <w:r>
              <w:t xml:space="preserve">Pet food market 2024</w:t>
            </w:r>
          </w:p>
        </w:tc>
        <w:tc>
          <w:tcPr/>
          <w:p>
            <w:pPr>
              <w:pStyle w:val="Compact"/>
              <w:jc w:val="left"/>
            </w:pPr>
            <w:r>
              <w:rPr>
                <w:bCs/>
                <w:b/>
              </w:rPr>
              <w:t xml:space="preserve">USD 275M</w:t>
            </w:r>
            <w:r>
              <w:t xml:space="preserve">, growing ~30%/yr since 2019</w:t>
            </w:r>
          </w:p>
        </w:tc>
        <w:tc>
          <w:tcPr/>
          <w:p>
            <w:pPr>
              <w:pStyle w:val="Compact"/>
              <w:jc w:val="left"/>
            </w:pPr>
            <w:r>
              <w:t xml:space="preserve">Sourced, same report</w:t>
            </w:r>
          </w:p>
        </w:tc>
      </w:tr>
      <w:tr>
        <w:tc>
          <w:tcPr/>
          <w:p>
            <w:pPr>
              <w:pStyle w:val="Compact"/>
              <w:jc w:val="left"/>
            </w:pPr>
            <w:r>
              <w:t xml:space="preserve">Cat/dog split</w:t>
            </w:r>
          </w:p>
        </w:tc>
        <w:tc>
          <w:tcPr/>
          <w:p>
            <w:pPr>
              <w:pStyle w:val="Compact"/>
              <w:jc w:val="left"/>
            </w:pPr>
            <w:r>
              <w:rPr>
                <w:bCs/>
                <w:b/>
              </w:rPr>
              <w:t xml:space="preserve">Unknown</w:t>
            </w:r>
          </w:p>
        </w:tc>
        <w:tc>
          <w:tcPr/>
          <w:p>
            <w:pPr>
              <w:pStyle w:val="Compact"/>
              <w:jc w:val="left"/>
            </w:pPr>
            <w:r>
              <w:rPr>
                <w:rStyle w:val="VerbatimChar"/>
              </w:rPr>
              <w:t xml:space="preserve">[EVIDENCE REQUIRED]</w:t>
            </w:r>
          </w:p>
        </w:tc>
      </w:tr>
      <w:tr>
        <w:tc>
          <w:tcPr/>
          <w:p>
            <w:pPr>
              <w:pStyle w:val="Compact"/>
              <w:jc w:val="left"/>
            </w:pPr>
            <w:r>
              <w:t xml:space="preserve">KSA veterinary services market 2025</w:t>
            </w:r>
          </w:p>
        </w:tc>
        <w:tc>
          <w:tcPr/>
          <w:p>
            <w:pPr>
              <w:pStyle w:val="Compact"/>
              <w:jc w:val="left"/>
            </w:pPr>
            <w:r>
              <w:rPr>
                <w:bCs/>
                <w:b/>
              </w:rPr>
              <w:t xml:space="preserve">USD 828.2M</w:t>
            </w:r>
            <w:r>
              <w:t xml:space="preserve">, 62.5% production animals</w:t>
            </w:r>
          </w:p>
        </w:tc>
        <w:tc>
          <w:tcPr/>
          <w:p>
            <w:pPr>
              <w:pStyle w:val="Compact"/>
              <w:jc w:val="left"/>
            </w:pPr>
            <w:r>
              <w:t xml:space="preserve">Sourced — Grand View Research</w:t>
            </w:r>
          </w:p>
        </w:tc>
      </w:tr>
      <w:tr>
        <w:tc>
          <w:tcPr/>
          <w:p>
            <w:pPr>
              <w:pStyle w:val="Compact"/>
              <w:jc w:val="left"/>
            </w:pPr>
            <w:r>
              <w:t xml:space="preserve">→ implied companion-animal veterinary services</w:t>
            </w:r>
          </w:p>
        </w:tc>
        <w:tc>
          <w:tcPr/>
          <w:p>
            <w:pPr>
              <w:pStyle w:val="Compact"/>
              <w:jc w:val="left"/>
            </w:pPr>
            <w:r>
              <w:t xml:space="preserve">828.2 × 37.5% =</w:t>
            </w:r>
            <w:r>
              <w:t xml:space="preserve"> </w:t>
            </w:r>
            <w:r>
              <w:rPr>
                <w:bCs/>
                <w:b/>
              </w:rPr>
              <w:t xml:space="preserve">≈ USD 310M ≈ SAR 1.16bn</w:t>
            </w:r>
          </w:p>
        </w:tc>
        <w:tc>
          <w:tcPr/>
          <w:p>
            <w:pPr>
              <w:pStyle w:val="Compact"/>
              <w:jc w:val="left"/>
            </w:pPr>
            <w:r>
              <w:t xml:space="preserve">Arithmetic on the above; assumes non-production ≈ companion</w:t>
            </w:r>
          </w:p>
        </w:tc>
      </w:tr>
    </w:tbl>
    <w:bookmarkEnd w:id="126"/>
    <w:bookmarkStart w:id="127" w:name="X0643155377de3e4ecf1a8d1e687aaa08d8abc3c"/>
    <w:p>
      <w:pPr>
        <w:pStyle w:val="Heading3"/>
      </w:pPr>
      <w:r>
        <w:t xml:space="preserve">Supply side — the critical input, and two sourced anchors that disagree</w:t>
      </w:r>
    </w:p>
    <w:p>
      <w:pPr>
        <w:pStyle w:val="FirstParagraph"/>
      </w:pPr>
      <w:r>
        <w:rPr>
          <w:bCs/>
          <w:b/>
        </w:rPr>
        <w:t xml:space="preserve">Anchor A — MEWA official (2023 annual report, reported Sept 2023):</w:t>
      </w:r>
      <w:r>
        <w:t xml:space="preserve"> </w:t>
      </w:r>
      <w:r>
        <w:t xml:space="preserve">1,212 veterinary establishments total; 1,029 private; of which</w:t>
      </w:r>
      <w:r>
        <w:t xml:space="preserve"> </w:t>
      </w:r>
      <w:r>
        <w:rPr>
          <w:bCs/>
          <w:b/>
        </w:rPr>
        <w:t xml:space="preserve">811 veterinary pharmacies and 196 veterinary clinics</w:t>
      </w:r>
      <w:r>
        <w:t xml:space="preserve">. Regional distribution of private establishments: Riyadh 26%, Makkah 20%, Eastern 18%, Qassim 8%, Asir 7% —</w:t>
      </w:r>
      <w:r>
        <w:t xml:space="preserve"> </w:t>
      </w:r>
      <w:r>
        <w:rPr>
          <w:bCs/>
          <w:b/>
        </w:rPr>
        <w:t xml:space="preserve">top-three metro clusters = 64.4%.</w:t>
      </w:r>
    </w:p>
    <w:p>
      <w:pPr>
        <w:pStyle w:val="BodyText"/>
      </w:pPr>
      <w:r>
        <w:rPr>
          <w:bCs/>
          <w:b/>
        </w:rPr>
        <w:t xml:space="preserve">Anchor B — commercial database (2023–24):</w:t>
      </w:r>
      <w:r>
        <w:t xml:space="preserve"> </w:t>
      </w:r>
      <w:r>
        <w:rPr>
          <w:bCs/>
          <w:b/>
        </w:rPr>
        <w:t xml:space="preserve">434 veterinary clinics</w:t>
      </w:r>
      <w:r>
        <w:t xml:space="preserve">, 1,366 specialised veterinary pharmacies. Methodology is a scraped directory, not a licence register, and the source page carries an internal inconsistency.</w:t>
      </w:r>
    </w:p>
    <w:p>
      <w:pPr>
        <w:pStyle w:val="BodyText"/>
      </w:pPr>
      <w:r>
        <w:rPr>
          <w:bCs/>
          <w:b/>
        </w:rPr>
        <w:t xml:space="preserve">Reconciliation.</w:t>
      </w:r>
      <w:r>
        <w:t xml:space="preserve"> </w:t>
      </w:r>
      <w:r>
        <w:t xml:space="preserve">Anchor A counts MEWA-licensed establishments; Anchor B counts directory-visible clinics, which will include municipally-licensed premises, government clinics and branches. The truth sits between them.</w:t>
      </w:r>
    </w:p>
    <w:p>
      <w:pPr>
        <w:pStyle w:val="BodyText"/>
      </w:pPr>
      <w:r>
        <w:rPr>
          <w:bCs/>
          <w:b/>
        </w:rPr>
        <w:t xml:space="preserve">Independent triangulation from demand:</w:t>
      </w:r>
    </w:p>
    <w:p>
      <w:pPr>
        <w:pStyle w:val="SourceCode"/>
      </w:pPr>
      <w:r>
        <w:rPr>
          <w:rStyle w:val="VerbatimChar"/>
        </w:rPr>
        <w:t xml:space="preserve">1.8M pets                                    [sourced]</w:t>
      </w:r>
      <w:r>
        <w:br/>
      </w:r>
      <w:r>
        <w:rPr>
          <w:rStyle w:val="VerbatimChar"/>
        </w:rPr>
        <w:t xml:space="preserve">× 60% cats + dogs                            [estimate — no split published]  = 1.08M</w:t>
      </w:r>
      <w:r>
        <w:br/>
      </w:r>
      <w:r>
        <w:rPr>
          <w:rStyle w:val="VerbatimChar"/>
        </w:rPr>
        <w:t xml:space="preserve">× 30% attending a vet at least annually      [estimate]                        = 324,000 active patients</w:t>
      </w:r>
      <w:r>
        <w:br/>
      </w:r>
      <w:r>
        <w:rPr>
          <w:rStyle w:val="VerbatimChar"/>
        </w:rPr>
        <w:t xml:space="preserve">÷ active patients per clinic</w:t>
      </w:r>
      <w:r>
        <w:br/>
      </w:r>
      <w:r>
        <w:rPr>
          <w:rStyle w:val="VerbatimChar"/>
        </w:rPr>
        <w:t xml:space="preserve">      @ 1,200 → 270 clinics</w:t>
      </w:r>
      <w:r>
        <w:br/>
      </w:r>
      <w:r>
        <w:rPr>
          <w:rStyle w:val="VerbatimChar"/>
        </w:rPr>
        <w:t xml:space="preserve">      @   700 → 463 clinics</w:t>
      </w:r>
    </w:p>
    <w:p>
      <w:pPr>
        <w:pStyle w:val="FirstParagraph"/>
      </w:pPr>
      <w:r>
        <w:rPr>
          <w:bCs/>
          <w:b/>
        </w:rPr>
        <w:t xml:space="preserve">Brackets 270–463 — straddling both anchors and materially corroborating the range.</w:t>
      </w:r>
    </w:p>
    <w:p>
      <w:pPr>
        <w:pStyle w:val="BodyText"/>
      </w:pPr>
      <w:r>
        <w:rPr>
          <w:bCs/>
          <w:b/>
        </w:rPr>
        <w:t xml:space="preserve">Roll-forward to 2026</w:t>
      </w:r>
      <w:r>
        <w:t xml:space="preserve">, at a 15%/yr growth assumption chosen deliberately between the ~3% overall veterinary-services CAGR (dominated by livestock) and the ~30% pet-food CAGR:</w:t>
      </w:r>
    </w:p>
    <w:p>
      <w:pPr>
        <w:pStyle w:val="SourceCode"/>
      </w:pPr>
      <w:r>
        <w:rPr>
          <w:rStyle w:val="VerbatimChar"/>
        </w:rPr>
        <w:t xml:space="preserve">Low  (Anchor A, 3.0 yrs):  196 × 1.15³·⁰  = 298</w:t>
      </w:r>
      <w:r>
        <w:br/>
      </w:r>
      <w:r>
        <w:rPr>
          <w:rStyle w:val="VerbatimChar"/>
        </w:rPr>
        <w:t xml:space="preserve">High (Anchor B, 2.5 yrs):  434 × 1.15²·⁵  = 615</w:t>
      </w:r>
    </w:p>
    <w:p>
      <w:pPr>
        <w:pStyle w:val="FirstParagraph"/>
      </w:pPr>
      <w:r>
        <w:rPr>
          <w:rStyle w:val="VerbatimChar"/>
          <w:bCs/>
          <w:b/>
        </w:rPr>
        <w:t xml:space="preserve">C-001</w:t>
      </w:r>
      <w:r>
        <w:rPr>
          <w:bCs/>
          <w:b/>
        </w:rPr>
        <w:t xml:space="preserve"> </w:t>
      </w:r>
      <w:r>
        <w:rPr>
          <w:bCs/>
          <w:b/>
        </w:rPr>
        <w:t xml:space="preserve">— Working universe: 300–615 KSA veterinary clinics; midpoint 450.</w:t>
      </w:r>
      <w:r>
        <w:t xml:space="preserve"> </w:t>
      </w:r>
      <w:r>
        <w:rPr>
          <w:rStyle w:val="VerbatimChar"/>
        </w:rPr>
        <w:t xml:space="preserve">[HYPOTHESIS]</w:t>
      </w:r>
    </w:p>
    <w:bookmarkEnd w:id="127"/>
    <w:bookmarkStart w:id="128" w:name="tam--sam--som"/>
    <w:p>
      <w:pPr>
        <w:pStyle w:val="Heading3"/>
      </w:pPr>
      <w:r>
        <w:t xml:space="preserve">TAM / SAM / SOM</w:t>
      </w:r>
    </w:p>
    <w:p>
      <w:pPr>
        <w:pStyle w:val="FirstParagraph"/>
      </w:pPr>
      <w:r>
        <w:t xml:space="preserve">Unit of account is the</w:t>
      </w:r>
      <w:r>
        <w:t xml:space="preserve"> </w:t>
      </w:r>
      <w:r>
        <w:rPr>
          <w:bCs/>
          <w:b/>
        </w:rPr>
        <w:t xml:space="preserve">clinic site</w:t>
      </w:r>
      <w:r>
        <w:t xml:space="preserve">. Annual contract value assumption from §S9.3:</w:t>
      </w:r>
      <w:r>
        <w:t xml:space="preserve"> </w:t>
      </w:r>
      <w:r>
        <w:rPr>
          <w:bCs/>
          <w:b/>
        </w:rPr>
        <w:t xml:space="preserve">SAR 30,000 ex-VAT</w:t>
      </w:r>
      <w:r>
        <w:t xml:space="preserve"> </w:t>
      </w:r>
      <w:r>
        <w:t xml:space="preserve">for a three-vet clinic on Core plus Compliance+.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Arithmetic</w:t>
            </w:r>
          </w:p>
        </w:tc>
        <w:tc>
          <w:tcPr/>
          <w:p>
            <w:pPr>
              <w:pStyle w:val="Compact"/>
              <w:jc w:val="left"/>
            </w:pPr>
            <w:r>
              <w:t xml:space="preserve">Result</w:t>
            </w:r>
          </w:p>
        </w:tc>
      </w:tr>
      <w:tr>
        <w:tc>
          <w:tcPr/>
          <w:p>
            <w:pPr>
              <w:pStyle w:val="Compact"/>
              <w:jc w:val="left"/>
            </w:pPr>
            <w:r>
              <w:rPr>
                <w:bCs/>
                <w:b/>
              </w:rPr>
              <w:t xml:space="preserve">TAM</w:t>
            </w:r>
            <w:r>
              <w:t xml:space="preserve"> </w:t>
            </w:r>
            <w:r>
              <w:t xml:space="preserve">— all KSA veterinary clinic sites</w:t>
            </w:r>
          </w:p>
        </w:tc>
        <w:tc>
          <w:tcPr/>
          <w:p>
            <w:pPr>
              <w:pStyle w:val="Compact"/>
              <w:jc w:val="left"/>
            </w:pPr>
            <w:r>
              <w:t xml:space="preserve">450 × SAR 30,000</w:t>
            </w:r>
          </w:p>
        </w:tc>
        <w:tc>
          <w:tcPr/>
          <w:p>
            <w:pPr>
              <w:pStyle w:val="Compact"/>
              <w:jc w:val="left"/>
            </w:pPr>
            <w:r>
              <w:rPr>
                <w:bCs/>
                <w:b/>
              </w:rPr>
              <w:t xml:space="preserve">SAR 13.5M ARR</w:t>
            </w:r>
            <w:r>
              <w:t xml:space="preserve"> </w:t>
            </w:r>
            <w:r>
              <w:t xml:space="preserve">(range 9.0M – 24.6M)</w:t>
            </w:r>
          </w:p>
        </w:tc>
      </w:tr>
      <w:tr>
        <w:tc>
          <w:tcPr/>
          <w:p>
            <w:pPr>
              <w:pStyle w:val="Compact"/>
              <w:jc w:val="left"/>
            </w:pPr>
            <w:r>
              <w:rPr>
                <w:bCs/>
                <w:b/>
              </w:rPr>
              <w:t xml:space="preserve">SAM</w:t>
            </w:r>
            <w:r>
              <w:t xml:space="preserve"> </w:t>
            </w:r>
            <w:r>
              <w:t xml:space="preserve">— companion-animal clinics in the three metro clusters</w:t>
            </w:r>
          </w:p>
        </w:tc>
        <w:tc>
          <w:tcPr/>
          <w:p>
            <w:pPr>
              <w:pStyle w:val="Compact"/>
              <w:jc w:val="left"/>
            </w:pPr>
            <w:r>
              <w:t xml:space="preserve">450 × 64.4% (sourced regional share) × 70% companion-relevant (estimate) = 203 sites × 30,000</w:t>
            </w:r>
          </w:p>
        </w:tc>
        <w:tc>
          <w:tcPr/>
          <w:p>
            <w:pPr>
              <w:pStyle w:val="Compact"/>
              <w:jc w:val="left"/>
            </w:pPr>
            <w:r>
              <w:rPr>
                <w:bCs/>
                <w:b/>
              </w:rPr>
              <w:t xml:space="preserve">SAR 6.1M ARR</w:t>
            </w:r>
          </w:p>
        </w:tc>
      </w:tr>
      <w:tr>
        <w:tc>
          <w:tcPr/>
          <w:p>
            <w:pPr>
              <w:pStyle w:val="Compact"/>
              <w:jc w:val="left"/>
            </w:pPr>
            <w:r>
              <w:rPr>
                <w:bCs/>
                <w:b/>
              </w:rPr>
              <w:t xml:space="preserve">SOM</w:t>
            </w:r>
            <w:r>
              <w:t xml:space="preserve"> </w:t>
            </w:r>
            <w:r>
              <w:t xml:space="preserve">— Year 1 from general availability</w:t>
            </w:r>
          </w:p>
        </w:tc>
        <w:tc>
          <w:tcPr/>
          <w:p>
            <w:pPr>
              <w:pStyle w:val="Compact"/>
              <w:jc w:val="left"/>
            </w:pPr>
            <w:r>
              <w:t xml:space="preserve">203 × 10% penetration (</w:t>
            </w:r>
            <w:r>
              <w:rPr>
                <w:bCs/>
                <w:b/>
              </w:rPr>
              <w:t xml:space="preserve">capacity-bound, not demand-bound</w:t>
            </w:r>
            <w:r>
              <w:t xml:space="preserve"> </w:t>
            </w:r>
            <w:r>
              <w:t xml:space="preserve">— see §S9.5) = 20 clinics × 30,000</w:t>
            </w:r>
          </w:p>
        </w:tc>
        <w:tc>
          <w:tcPr/>
          <w:p>
            <w:pPr>
              <w:pStyle w:val="Compact"/>
              <w:jc w:val="left"/>
            </w:pPr>
            <w:r>
              <w:rPr>
                <w:bCs/>
                <w:b/>
              </w:rPr>
              <w:t xml:space="preserve">SAR 600,000 ARR ex-VAT</w:t>
            </w:r>
          </w:p>
        </w:tc>
      </w:tr>
    </w:tbl>
    <w:bookmarkEnd w:id="128"/>
    <w:bookmarkEnd w:id="129"/>
    <w:bookmarkStart w:id="130" w:name="X15c91f90a5f020563247a7d93ad1ecf3b48b652"/>
    <w:p>
      <w:pPr>
        <w:pStyle w:val="Heading2"/>
      </w:pPr>
      <w:r>
        <w:t xml:space="preserve">S9.2 The finding that should change the strategy</w:t>
      </w:r>
    </w:p>
    <w:p>
      <w:pPr>
        <w:pStyle w:val="FirstParagraph"/>
      </w:pPr>
      <w:r>
        <w:rPr>
          <w:rStyle w:val="VerbatimChar"/>
          <w:bCs/>
          <w:b/>
        </w:rPr>
        <w:t xml:space="preserve">C-002</w:t>
      </w:r>
      <w:r>
        <w:rPr>
          <w:bCs/>
          <w:b/>
        </w:rPr>
        <w:t xml:space="preserve"> </w:t>
      </w:r>
      <w:r>
        <w:rPr>
          <w:bCs/>
          <w:b/>
        </w:rPr>
        <w:t xml:space="preserve">— KSA companion-animal clinic practice management is a SAR 9–25M ARR total addressable market. That is a small market, and the plan must be built for it rather than around it.</w:t>
      </w:r>
      <w:r>
        <w:t xml:space="preserve"> </w:t>
      </w:r>
      <w:r>
        <w:t xml:space="preserve">Three consequences, in leverage order:</w:t>
      </w:r>
    </w:p>
    <w:p>
      <w:pPr>
        <w:numPr>
          <w:ilvl w:val="0"/>
          <w:numId w:val="1009"/>
        </w:numPr>
        <w:pStyle w:val="Compact"/>
      </w:pPr>
      <w:r>
        <w:rPr>
          <w:bCs/>
          <w:b/>
        </w:rPr>
        <w:t xml:space="preserve">The veterinary pharmacy channel is 4–7× larger than the clinic channel by site count</w:t>
      </w:r>
      <w:r>
        <w:t xml:space="preserve"> </w:t>
      </w:r>
      <w:r>
        <w:t xml:space="preserve">— 811 to 1,366 private veterinary pharmacies, rolled forward to</w:t>
      </w:r>
      <w:r>
        <w:t xml:space="preserve"> </w:t>
      </w:r>
      <w:r>
        <w:rPr>
          <w:bCs/>
          <w:b/>
        </w:rPr>
        <w:t xml:space="preserve">1,230–1,800 sites</w:t>
      </w:r>
      <w:r>
        <w:t xml:space="preserve">. A lighter dispensing-and-compliance SKU at ~SAR 12,000 annual value adds</w:t>
      </w:r>
      <w:r>
        <w:t xml:space="preserve"> </w:t>
      </w:r>
      <w:r>
        <w:rPr>
          <w:bCs/>
          <w:b/>
        </w:rPr>
        <w:t xml:space="preserve">SAR 15–22M of addressable revenue</w:t>
      </w:r>
      <w:r>
        <w:t xml:space="preserve"> </w:t>
      </w:r>
      <w:r>
        <w:t xml:space="preserve">and sits directly adjacent to the traceability and prescribing assets already in scope.</w:t>
      </w:r>
      <w:r>
        <w:t xml:space="preserve"> </w:t>
      </w:r>
      <w:r>
        <w:rPr>
          <w:bCs/>
          <w:b/>
        </w:rPr>
        <w:t xml:space="preserve">This roughly doubles the KSA TAM</w:t>
      </w:r>
      <w:r>
        <w:t xml:space="preserve">, and it is the horizon layer §S2.4 preserves seams for.</w:t>
      </w:r>
    </w:p>
    <w:p>
      <w:pPr>
        <w:numPr>
          <w:ilvl w:val="0"/>
          <w:numId w:val="1009"/>
        </w:numPr>
        <w:pStyle w:val="Compact"/>
      </w:pPr>
      <w:r>
        <w:rPr>
          <w:bCs/>
          <w:b/>
        </w:rPr>
        <w:t xml:space="preserve">GCC expansion is not optional, it is the model.</w:t>
      </w:r>
      <w:r>
        <w:t xml:space="preserve"> </w:t>
      </w:r>
      <w:r>
        <w:t xml:space="preserve">The compliance product does not port;</w:t>
      </w:r>
      <w:r>
        <w:t xml:space="preserve"> </w:t>
      </w:r>
      <w:r>
        <w:rPr>
          <w:bCs/>
          <w:b/>
        </w:rPr>
        <w:t xml:space="preserve">the Arabic-first clinical core does.</w:t>
      </w:r>
    </w:p>
    <w:p>
      <w:pPr>
        <w:numPr>
          <w:ilvl w:val="0"/>
          <w:numId w:val="1009"/>
        </w:numPr>
        <w:pStyle w:val="Compact"/>
      </w:pPr>
      <w:r>
        <w:rPr>
          <w:bCs/>
          <w:b/>
        </w:rPr>
        <w:t xml:space="preserve">Subscription alone will not carry it.</w:t>
      </w:r>
      <w:r>
        <w:t xml:space="preserve"> </w:t>
      </w:r>
      <w:r>
        <w:t xml:space="preserve">Payments, and later insurance-claims enablement, are required for revenue per site to justify the build.</w:t>
      </w:r>
    </w:p>
    <w:p>
      <w:pPr>
        <w:pStyle w:val="FirstParagraph"/>
      </w:pPr>
      <w:r>
        <w:rPr>
          <w:rStyle w:val="VerbatimChar"/>
          <w:bCs/>
          <w:b/>
        </w:rPr>
        <w:t xml:space="preserve">C-003</w:t>
      </w:r>
      <w:r>
        <w:rPr>
          <w:bCs/>
          <w:b/>
        </w:rPr>
        <w:t xml:space="preserve"> </w:t>
      </w:r>
      <w:r>
        <w:rPr>
          <w:bCs/>
          <w:b/>
        </w:rPr>
        <w:t xml:space="preserve">— The legacy 50,000-consumer Year-1 target was mis-specified at the unit level.</w:t>
      </w:r>
      <w:r>
        <w:t xml:space="preserve"> </w:t>
      </w:r>
      <w:r>
        <w:t xml:space="preserve">The buyer is one of roughly 200–450 clinic principals in the entire Kingdom, not 50,000 pet owners.</w:t>
      </w:r>
      <w:r>
        <w:t xml:space="preserve"> </w:t>
      </w:r>
      <w:r>
        <w:rPr>
          <w:bCs/>
          <w:b/>
        </w:rPr>
        <w:t xml:space="preserve">A consumer acquisition budget cannot be reconciled with a B2B market of this shape at any spend level.</w:t>
      </w:r>
      <w:r>
        <w:t xml:space="preserve"> </w:t>
      </w:r>
      <w:r>
        <w:t xml:space="preserve">Replacing a 50,000-consumer target with a 20-clinic Year-1 target is not a downgrade —</w:t>
      </w:r>
      <w:r>
        <w:t xml:space="preserve"> </w:t>
      </w:r>
      <w:r>
        <w:rPr>
          <w:bCs/>
          <w:b/>
        </w:rPr>
        <w:t xml:space="preserve">it is the first number in this plan that survives contact with the licence register.</w:t>
      </w:r>
    </w:p>
    <w:bookmarkEnd w:id="130"/>
    <w:bookmarkStart w:id="131" w:name="s93-competitive-position-and-the-wedge"/>
    <w:p>
      <w:pPr>
        <w:pStyle w:val="Heading2"/>
      </w:pPr>
      <w:r>
        <w:t xml:space="preserve">S9.3 Competitive position and the wedge</w:t>
      </w:r>
    </w:p>
    <w:p>
      <w:pPr>
        <w:pStyle w:val="FirstParagraph"/>
      </w:pPr>
      <w:r>
        <w:t xml:space="preserve">Observed global per-veterinarian pricing (sourced, converted at SAR 3.75/USD, ex-VAT):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Vendor</w:t>
            </w:r>
          </w:p>
        </w:tc>
        <w:tc>
          <w:tcPr/>
          <w:p>
            <w:pPr>
              <w:pStyle w:val="Compact"/>
              <w:jc w:val="left"/>
            </w:pPr>
            <w:r>
              <w:t xml:space="preserve">Published</w:t>
            </w:r>
          </w:p>
        </w:tc>
        <w:tc>
          <w:tcPr/>
          <w:p>
            <w:pPr>
              <w:pStyle w:val="Compact"/>
              <w:jc w:val="left"/>
            </w:pPr>
            <w:r>
              <w:t xml:space="preserve">SAR / vet / month</w:t>
            </w:r>
          </w:p>
        </w:tc>
      </w:tr>
      <w:tr>
        <w:tc>
          <w:tcPr/>
          <w:p>
            <w:pPr>
              <w:pStyle w:val="Compact"/>
              <w:jc w:val="left"/>
            </w:pPr>
            <w:r>
              <w:t xml:space="preserve">ezyVet</w:t>
            </w:r>
          </w:p>
        </w:tc>
        <w:tc>
          <w:tcPr/>
          <w:p>
            <w:pPr>
              <w:pStyle w:val="Compact"/>
              <w:jc w:val="left"/>
            </w:pPr>
            <w:r>
              <w:t xml:space="preserve">USD 260.50 / user / mo</w:t>
            </w:r>
          </w:p>
        </w:tc>
        <w:tc>
          <w:tcPr/>
          <w:p>
            <w:pPr>
              <w:pStyle w:val="Compact"/>
              <w:jc w:val="left"/>
            </w:pPr>
            <w:r>
              <w:t xml:space="preserve">977</w:t>
            </w:r>
          </w:p>
        </w:tc>
      </w:tr>
      <w:tr>
        <w:tc>
          <w:tcPr/>
          <w:p>
            <w:pPr>
              <w:pStyle w:val="Compact"/>
              <w:jc w:val="left"/>
            </w:pPr>
            <w:r>
              <w:t xml:space="preserve">Digitail</w:t>
            </w:r>
          </w:p>
        </w:tc>
        <w:tc>
          <w:tcPr/>
          <w:p>
            <w:pPr>
              <w:pStyle w:val="Compact"/>
              <w:jc w:val="left"/>
            </w:pPr>
            <w:r>
              <w:t xml:space="preserve">USD 289 / user / mo</w:t>
            </w:r>
          </w:p>
        </w:tc>
        <w:tc>
          <w:tcPr/>
          <w:p>
            <w:pPr>
              <w:pStyle w:val="Compact"/>
              <w:jc w:val="left"/>
            </w:pPr>
            <w:r>
              <w:t xml:space="preserve">1,084</w:t>
            </w:r>
          </w:p>
        </w:tc>
      </w:tr>
      <w:tr>
        <w:tc>
          <w:tcPr/>
          <w:p>
            <w:pPr>
              <w:pStyle w:val="Compact"/>
              <w:jc w:val="left"/>
            </w:pPr>
            <w:r>
              <w:t xml:space="preserve">Shepherd</w:t>
            </w:r>
          </w:p>
        </w:tc>
        <w:tc>
          <w:tcPr/>
          <w:p>
            <w:pPr>
              <w:pStyle w:val="Compact"/>
              <w:jc w:val="left"/>
            </w:pPr>
            <w:r>
              <w:t xml:space="preserve">USD 299 / doctor / mo (+99 per additional)</w:t>
            </w:r>
          </w:p>
        </w:tc>
        <w:tc>
          <w:tcPr/>
          <w:p>
            <w:pPr>
              <w:pStyle w:val="Compact"/>
              <w:jc w:val="left"/>
            </w:pPr>
            <w:r>
              <w:t xml:space="preserve">1,121</w:t>
            </w:r>
          </w:p>
        </w:tc>
      </w:tr>
      <w:tr>
        <w:tc>
          <w:tcPr/>
          <w:p>
            <w:pPr>
              <w:pStyle w:val="Compact"/>
              <w:jc w:val="left"/>
            </w:pPr>
            <w:r>
              <w:t xml:space="preserve">Vetspire</w:t>
            </w:r>
          </w:p>
        </w:tc>
        <w:tc>
          <w:tcPr/>
          <w:p>
            <w:pPr>
              <w:pStyle w:val="Compact"/>
              <w:jc w:val="left"/>
            </w:pPr>
            <w:r>
              <w:t xml:space="preserve">USD 349 / DVM / mo</w:t>
            </w:r>
          </w:p>
        </w:tc>
        <w:tc>
          <w:tcPr/>
          <w:p>
            <w:pPr>
              <w:pStyle w:val="Compact"/>
              <w:jc w:val="left"/>
            </w:pPr>
            <w:r>
              <w:t xml:space="preserve">1,309</w:t>
            </w:r>
          </w:p>
        </w:tc>
      </w:tr>
    </w:tbl>
    <w:p>
      <w:pPr>
        <w:pStyle w:val="BodyText"/>
      </w:pPr>
      <w:r>
        <w:rPr>
          <w:bCs/>
          <w:b/>
        </w:rPr>
        <w:t xml:space="preserve">Global band: SAR 975–1,310 per veterinarian per month.</w:t>
      </w:r>
      <w:r>
        <w:t xml:space="preserve"> </w:t>
      </w:r>
      <w:r>
        <w:t xml:space="preserve">The dominant unit of charge is</w:t>
      </w:r>
      <w:r>
        <w:t xml:space="preserve"> </w:t>
      </w:r>
      <w:r>
        <w:rPr>
          <w:bCs/>
          <w:b/>
        </w:rPr>
        <w:t xml:space="preserve">per veterinarian, not per seat</w:t>
      </w:r>
      <w:r>
        <w:t xml:space="preserve"> </w:t>
      </w:r>
      <w:r>
        <w:t xml:space="preserve">— nurses and reception are not charged — and the market accepts a base-plus-marginal-seat shape.</w:t>
      </w:r>
    </w:p>
    <w:p>
      <w:pPr>
        <w:pStyle w:val="BodyText"/>
      </w:pPr>
      <w:r>
        <w:rPr>
          <w:bCs/>
          <w:b/>
        </w:rPr>
        <w:t xml:space="preserve">Only one vendor actively sells into Saudi Arabia</w:t>
      </w:r>
      <w:r>
        <w:t xml:space="preserve">: a Dubai-distributed regional product with</w:t>
      </w:r>
      <w:r>
        <w:t xml:space="preserve"> </w:t>
      </w:r>
      <w:r>
        <w:rPr>
          <w:bCs/>
          <w:b/>
        </w:rPr>
        <w:t xml:space="preserve">no published Arabic support, no published pricing and no disclosed hosting region.</w:t>
      </w:r>
      <w:r>
        <w:t xml:space="preserve"> </w:t>
      </w:r>
      <w:r>
        <w:t xml:space="preserve">That is the competitive set to displace. No published regional price point exists anywhere —</w:t>
      </w:r>
      <w:r>
        <w:t xml:space="preserve"> </w:t>
      </w:r>
      <w:r>
        <w:rPr>
          <w:rStyle w:val="VerbatimChar"/>
        </w:rPr>
        <w:t xml:space="preserve">[EVIDENCE REQUIRED]</w:t>
      </w:r>
      <w:r>
        <w:t xml:space="preserve">, and it is the single largest commercial unknown.</w:t>
      </w:r>
    </w:p>
    <w:p>
      <w:pPr>
        <w:pStyle w:val="BodyText"/>
      </w:pPr>
      <w:r>
        <w:rPr>
          <w:bCs/>
          <w:b/>
        </w:rPr>
        <w:t xml:space="preserve">The wedge, ranked by defensibility.</w:t>
      </w:r>
      <w:r>
        <w:t xml:space="preserve"> </w:t>
      </w:r>
      <w:r>
        <w:t xml:space="preserve">Items 1–3 are regulatory, mandatory and dated. They are not preference features.</w:t>
      </w:r>
    </w:p>
    <w:p>
      <w:pPr>
        <w:numPr>
          <w:ilvl w:val="0"/>
          <w:numId w:val="1010"/>
        </w:numPr>
        <w:pStyle w:val="Compact"/>
      </w:pPr>
      <w:r>
        <w:rPr>
          <w:bCs/>
          <w:b/>
        </w:rPr>
        <w:t xml:space="preserve">ZATCA Phase 2</w:t>
      </w:r>
      <w:r>
        <w:t xml:space="preserve"> </w:t>
      </w:r>
      <w:r>
        <w:t xml:space="preserve">— mandatory, technical, deadline already passed, shipped by no international veterinary PMS, and</w:t>
      </w:r>
      <w:r>
        <w:t xml:space="preserve"> </w:t>
      </w:r>
      <w:r>
        <w:rPr>
          <w:bCs/>
          <w:b/>
        </w:rPr>
        <w:t xml:space="preserve">not self-servable by a clinic principal.</w:t>
      </w:r>
    </w:p>
    <w:p>
      <w:pPr>
        <w:numPr>
          <w:ilvl w:val="0"/>
          <w:numId w:val="1010"/>
        </w:numPr>
        <w:pStyle w:val="Compact"/>
      </w:pPr>
      <w:r>
        <w:rPr>
          <w:bCs/>
          <w:b/>
        </w:rPr>
        <w:t xml:space="preserve">In-Kingdom residency</w:t>
      </w:r>
      <w:r>
        <w:t xml:space="preserve"> </w:t>
      </w:r>
      <w:r>
        <w:t xml:space="preserve">— a hard qualification gate, not a differentiator to be argued. No listed competitor publishes an in-Kingdom region.</w:t>
      </w:r>
    </w:p>
    <w:p>
      <w:pPr>
        <w:numPr>
          <w:ilvl w:val="0"/>
          <w:numId w:val="1010"/>
        </w:numPr>
        <w:pStyle w:val="Compact"/>
      </w:pPr>
      <w:r>
        <w:rPr>
          <w:bCs/>
          <w:b/>
        </w:rPr>
        <w:t xml:space="preserve">MEWA + Balady dual-regulator evidence</w:t>
      </w:r>
      <w:r>
        <w:t xml:space="preserve"> </w:t>
      </w:r>
      <w:r>
        <w:t xml:space="preserve">— 29 licensing conditions, plus municipal requirements binding on existing facilities as a condition of renewal. Dual-regulator, evidence-heavy, entirely unaddressed by foreign systems.</w:t>
      </w:r>
    </w:p>
    <w:p>
      <w:pPr>
        <w:numPr>
          <w:ilvl w:val="0"/>
          <w:numId w:val="1010"/>
        </w:numPr>
        <w:pStyle w:val="Compact"/>
      </w:pPr>
      <w:r>
        <w:rPr>
          <w:bCs/>
          <w:b/>
        </w:rPr>
        <w:t xml:space="preserve">Arabic-first clinical record</w:t>
      </w:r>
      <w:r>
        <w:t xml:space="preserve"> </w:t>
      </w:r>
      <w:r>
        <w:t xml:space="preserve">— no vendor found markets one.</w:t>
      </w:r>
    </w:p>
    <w:p>
      <w:pPr>
        <w:numPr>
          <w:ilvl w:val="0"/>
          <w:numId w:val="1010"/>
        </w:numPr>
        <w:pStyle w:val="Compact"/>
      </w:pPr>
      <w:r>
        <w:rPr>
          <w:bCs/>
          <w:b/>
        </w:rPr>
        <w:t xml:space="preserve">Local rails</w:t>
      </w:r>
      <w:r>
        <w:t xml:space="preserve"> </w:t>
      </w:r>
      <w:r>
        <w:t xml:space="preserve">— Hijri dating, Saudi OTP identity, mada acceptance, SAR/VAT conventions, Arabic support in Kingdom business hours.</w:t>
      </w:r>
    </w:p>
    <w:bookmarkEnd w:id="131"/>
    <w:bookmarkStart w:id="132" w:name="s94-pricing-architecture"/>
    <w:p>
      <w:pPr>
        <w:pStyle w:val="Heading2"/>
      </w:pPr>
      <w:r>
        <w:t xml:space="preserve">S9.4 Pricing architecture</w:t>
      </w:r>
    </w:p>
    <w:p>
      <w:pPr>
        <w:pStyle w:val="FirstParagraph"/>
      </w:pPr>
      <w:r>
        <w:rPr>
          <w:bCs/>
          <w:b/>
        </w:rPr>
        <w:t xml:space="preserve">Unit of charge: clinic site licence plus per-active-veterinarian seat.</w:t>
      </w:r>
      <w:r>
        <w:t xml:space="preserve"> </w:t>
      </w:r>
      <w:r>
        <w:t xml:space="preserve">The site fee carries the compliance value, which accrues to the</w:t>
      </w:r>
      <w:r>
        <w:t xml:space="preserve"> </w:t>
      </w:r>
      <w:r>
        <w:rPr>
          <w:bCs/>
          <w:b/>
        </w:rPr>
        <w:t xml:space="preserve">establishment licence</w:t>
      </w:r>
      <w:r>
        <w:t xml:space="preserve"> </w:t>
      </w:r>
      <w:r>
        <w:t xml:space="preserve">rather than to an individual. The vet seat carries clinical value and creates natural expansion. All ex-VAT; 15% VAT added on invoice.</w:t>
      </w:r>
      <w:r>
        <w:t xml:space="preserve"> </w:t>
      </w:r>
      <w:r>
        <w:rPr>
          <w:bCs/>
          <w:b/>
        </w:rPr>
        <w:t xml:space="preserve">All figures</w:t>
      </w:r>
      <w:r>
        <w:rPr>
          <w:bCs/>
          <w:b/>
        </w:rPr>
        <w:t xml:space="preserve"> </w:t>
      </w:r>
      <w:r>
        <w:rPr>
          <w:rStyle w:val="VerbatimChar"/>
          <w:bCs/>
          <w:b/>
        </w:rPr>
        <w:t xml:space="preserve">[HYPOTHESIS]</w:t>
      </w:r>
      <w:r>
        <w:rPr>
          <w:bCs/>
          <w:b/>
        </w:rPr>
        <w:t xml:space="preserve"> </w:t>
      </w:r>
      <w:r>
        <w:rPr>
          <w:bCs/>
          <w:b/>
        </w:rPr>
        <w:t xml:space="preserve">— none validated with a Saudi buyer.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SAR ex-VAT</w:t>
            </w:r>
          </w:p>
        </w:tc>
        <w:tc>
          <w:tcPr/>
          <w:p>
            <w:pPr>
              <w:pStyle w:val="Compact"/>
              <w:jc w:val="left"/>
            </w:pPr>
            <w:r>
              <w:t xml:space="preserve">Note</w:t>
            </w:r>
          </w:p>
        </w:tc>
      </w:tr>
      <w:tr>
        <w:tc>
          <w:tcPr/>
          <w:p>
            <w:pPr>
              <w:pStyle w:val="Compact"/>
              <w:jc w:val="left"/>
            </w:pPr>
            <w:r>
              <w:t xml:space="preserve">Core — site licence</w:t>
            </w:r>
          </w:p>
        </w:tc>
        <w:tc>
          <w:tcPr/>
          <w:p>
            <w:pPr>
              <w:pStyle w:val="Compact"/>
              <w:jc w:val="left"/>
            </w:pPr>
            <w:r>
              <w:t xml:space="preserve">750 / site / month</w:t>
            </w:r>
          </w:p>
        </w:tc>
        <w:tc>
          <w:tcPr/>
          <w:p>
            <w:pPr>
              <w:pStyle w:val="Compact"/>
              <w:jc w:val="left"/>
            </w:pPr>
            <w:r>
              <w:t xml:space="preserve">Scheduling, clinical records AR/EN, inventory, invoicing, client communication</w:t>
            </w:r>
          </w:p>
        </w:tc>
      </w:tr>
      <w:tr>
        <w:tc>
          <w:tcPr/>
          <w:p>
            <w:pPr>
              <w:pStyle w:val="Compact"/>
              <w:jc w:val="left"/>
            </w:pPr>
            <w:r>
              <w:t xml:space="preserve">Core — veterinarian seat</w:t>
            </w:r>
          </w:p>
        </w:tc>
        <w:tc>
          <w:tcPr/>
          <w:p>
            <w:pPr>
              <w:pStyle w:val="Compact"/>
              <w:jc w:val="left"/>
            </w:pPr>
            <w:r>
              <w:t xml:space="preserve">450 / vet / month</w:t>
            </w:r>
          </w:p>
        </w:tc>
        <w:tc>
          <w:tcPr/>
          <w:p>
            <w:pPr>
              <w:pStyle w:val="Compact"/>
              <w:jc w:val="left"/>
            </w:pPr>
            <w:r>
              <w:rPr>
                <w:bCs/>
                <w:b/>
              </w:rPr>
              <w:t xml:space="preserve">Nurses, technicians and reception are free</w:t>
            </w:r>
          </w:p>
        </w:tc>
      </w:tr>
      <w:tr>
        <w:tc>
          <w:tcPr/>
          <w:p>
            <w:pPr>
              <w:pStyle w:val="Compact"/>
              <w:jc w:val="left"/>
            </w:pPr>
            <w:r>
              <w:rPr>
                <w:bCs/>
                <w:b/>
              </w:rPr>
              <w:t xml:space="preserve">Compliance+</w:t>
            </w:r>
          </w:p>
        </w:tc>
        <w:tc>
          <w:tcPr/>
          <w:p>
            <w:pPr>
              <w:pStyle w:val="Compact"/>
              <w:jc w:val="left"/>
            </w:pPr>
            <w:r>
              <w:t xml:space="preserve">+600 / site / month</w:t>
            </w:r>
          </w:p>
        </w:tc>
        <w:tc>
          <w:tcPr/>
          <w:p>
            <w:pPr>
              <w:pStyle w:val="Compact"/>
              <w:jc w:val="left"/>
            </w:pPr>
            <w:r>
              <w:t xml:space="preserve">ZATCA Phase 2 clearance · MEWA evidence pack · controlled-drug register · licence-renewal calendar · Balady checklist</w:t>
            </w:r>
          </w:p>
        </w:tc>
      </w:tr>
      <w:tr>
        <w:tc>
          <w:tcPr/>
          <w:p>
            <w:pPr>
              <w:pStyle w:val="Compact"/>
              <w:jc w:val="left"/>
            </w:pPr>
            <w:r>
              <w:t xml:space="preserve">Prescribe</w:t>
            </w:r>
          </w:p>
        </w:tc>
        <w:tc>
          <w:tcPr/>
          <w:p>
            <w:pPr>
              <w:pStyle w:val="Compact"/>
              <w:jc w:val="left"/>
            </w:pPr>
            <w:r>
              <w:t xml:space="preserve">+300 / vet / month</w:t>
            </w:r>
          </w:p>
        </w:tc>
        <w:tc>
          <w:tcPr/>
          <w:p>
            <w:pPr>
              <w:pStyle w:val="Compact"/>
              <w:jc w:val="left"/>
            </w:pPr>
            <w:r>
              <w:t xml:space="preserve">Prescribing decision support, dose checking, species/formulary logic</w:t>
            </w:r>
          </w:p>
        </w:tc>
      </w:tr>
      <w:tr>
        <w:tc>
          <w:tcPr/>
          <w:p>
            <w:pPr>
              <w:pStyle w:val="Compact"/>
              <w:jc w:val="left"/>
            </w:pPr>
            <w:r>
              <w:t xml:space="preserve">Additional site</w:t>
            </w:r>
          </w:p>
        </w:tc>
        <w:tc>
          <w:tcPr/>
          <w:p>
            <w:pPr>
              <w:pStyle w:val="Compact"/>
              <w:jc w:val="left"/>
            </w:pPr>
            <w:r>
              <w:t xml:space="preserve">70% of the site fee</w:t>
            </w:r>
          </w:p>
        </w:tc>
        <w:tc>
          <w:tcPr/>
          <w:p>
            <w:pPr>
              <w:pStyle w:val="Compact"/>
              <w:jc w:val="left"/>
            </w:pPr>
            <w:r>
              <w:t xml:space="preserve">Multi-site expansion lever</w:t>
            </w:r>
          </w:p>
        </w:tc>
      </w:tr>
      <w:tr>
        <w:tc>
          <w:tcPr/>
          <w:p>
            <w:pPr>
              <w:pStyle w:val="Compact"/>
              <w:jc w:val="left"/>
            </w:pPr>
            <w:r>
              <w:t xml:space="preserve">Implementation and migration</w:t>
            </w:r>
          </w:p>
        </w:tc>
        <w:tc>
          <w:tcPr/>
          <w:p>
            <w:pPr>
              <w:pStyle w:val="Compact"/>
              <w:jc w:val="left"/>
            </w:pPr>
            <w:r>
              <w:t xml:space="preserve">5,000 – 15,000 one-off</w:t>
            </w:r>
          </w:p>
        </w:tc>
        <w:tc>
          <w:tcPr/>
          <w:p>
            <w:pPr>
              <w:pStyle w:val="Compact"/>
              <w:jc w:val="left"/>
            </w:pPr>
            <w:r>
              <w:t xml:space="preserve">Benchmarked against incumbents' reported migration fees</w:t>
            </w:r>
          </w:p>
        </w:tc>
      </w:tr>
    </w:tbl>
    <w:p>
      <w:pPr>
        <w:pStyle w:val="BodyText"/>
      </w:pPr>
      <w:r>
        <w:rPr>
          <w:bCs/>
          <w:b/>
        </w:rPr>
        <w:t xml:space="preserve">Worked reference deal — an independent three-vet single site on Core plus Compliance+:</w:t>
      </w:r>
    </w:p>
    <w:p>
      <w:pPr>
        <w:pStyle w:val="SourceCode"/>
      </w:pPr>
      <w:r>
        <w:rPr>
          <w:rStyle w:val="VerbatimChar"/>
        </w:rPr>
        <w:t xml:space="preserve">Site           750</w:t>
      </w:r>
      <w:r>
        <w:br/>
      </w:r>
      <w:r>
        <w:rPr>
          <w:rStyle w:val="VerbatimChar"/>
        </w:rPr>
        <w:t xml:space="preserve">Vets     3 ×   450  = 1,350</w:t>
      </w:r>
      <w:r>
        <w:br/>
      </w:r>
      <w:r>
        <w:rPr>
          <w:rStyle w:val="VerbatimChar"/>
        </w:rPr>
        <w:t xml:space="preserve">Compliance+    600</w:t>
      </w:r>
      <w:r>
        <w:br/>
      </w:r>
      <w:r>
        <w:rPr>
          <w:rStyle w:val="VerbatimChar"/>
        </w:rPr>
        <w:t xml:space="preserve">               ─────</w:t>
      </w:r>
      <w:r>
        <w:br/>
      </w:r>
      <w:r>
        <w:rPr>
          <w:rStyle w:val="VerbatimChar"/>
        </w:rPr>
        <w:t xml:space="preserve">             2,700 / month ex-VAT</w:t>
      </w:r>
      <w:r>
        <w:br/>
      </w:r>
      <w:r>
        <w:rPr>
          <w:rStyle w:val="VerbatimChar"/>
        </w:rPr>
        <w:t xml:space="preserve">            32,400 / year ex-VAT      (SAR 37,260 incl. 15% VAT)</w:t>
      </w:r>
      <w:r>
        <w:br/>
      </w:r>
      <w:r>
        <w:rPr>
          <w:rStyle w:val="VerbatimChar"/>
        </w:rPr>
        <w:t xml:space="preserve">Effective:     900 per vet per month</w:t>
      </w:r>
    </w:p>
    <w:p>
      <w:pPr>
        <w:pStyle w:val="FirstParagraph"/>
      </w:pPr>
      <w:r>
        <w:rPr>
          <w:bCs/>
          <w:b/>
        </w:rPr>
        <w:t xml:space="preserve">SAR 900 per vet per month sits just below the global band</w:t>
      </w:r>
      <w:r>
        <w:t xml:space="preserve"> </w:t>
      </w:r>
      <w:r>
        <w:t xml:space="preserve">— defensible in a competitive comparison while carrying compliance functionality no competitor offers. Rounded to</w:t>
      </w:r>
      <w:r>
        <w:t xml:space="preserve"> </w:t>
      </w:r>
      <w:r>
        <w:rPr>
          <w:bCs/>
          <w:b/>
        </w:rPr>
        <w:t xml:space="preserve">SAR 30,000</w:t>
      </w:r>
      <w:r>
        <w:t xml:space="preserve"> </w:t>
      </w:r>
      <w:r>
        <w:t xml:space="preserve">for modelling.</w:t>
      </w:r>
    </w:p>
    <w:p>
      <w:pPr>
        <w:pStyle w:val="BodyText"/>
      </w:pPr>
      <w:r>
        <w:rPr>
          <w:rStyle w:val="VerbatimChar"/>
          <w:bCs/>
          <w:b/>
        </w:rPr>
        <w:t xml:space="preserve">C-004</w:t>
      </w:r>
      <w:r>
        <w:rPr>
          <w:bCs/>
          <w:b/>
        </w:rPr>
        <w:t xml:space="preserve"> </w:t>
      </w:r>
      <w:r>
        <w:rPr>
          <w:bCs/>
          <w:b/>
        </w:rPr>
        <w:t xml:space="preserve">— Expansion revenue, in expected contribution order</w:t>
      </w:r>
      <w:r>
        <w:t xml:space="preserve">: added veterinarian seats ·</w:t>
      </w:r>
      <w:r>
        <w:t xml:space="preserve"> </w:t>
      </w:r>
      <w:r>
        <w:rPr>
          <w:bCs/>
          <w:b/>
        </w:rPr>
        <w:t xml:space="preserve">Compliance+ attach at renewal, driven by inspection and renewal events</w:t>
      </w:r>
      <w:r>
        <w:t xml:space="preserve"> </w:t>
      </w:r>
      <w:r>
        <w:t xml:space="preserve">· additional sites · Prescribe attach · payments take-rate (Phase 2+, not modelled) · insurance claims (§S9.6).</w:t>
      </w:r>
    </w:p>
    <w:p>
      <w:pPr>
        <w:pStyle w:val="BodyText"/>
      </w:pPr>
      <w:r>
        <w:rPr>
          <w:bCs/>
          <w:b/>
        </w:rPr>
        <w:t xml:space="preserve">Unvalidated pricing assumptions, flagged:</w:t>
      </w:r>
      <w:r>
        <w:t xml:space="preserve"> </w:t>
      </w:r>
      <w:r>
        <w:t xml:space="preserve">that a Saudi principal will pay near-global per-vet rates at all</w:t>
      </w:r>
      <w:r>
        <w:t xml:space="preserve"> </w:t>
      </w:r>
      <w:r>
        <w:rPr>
          <w:rStyle w:val="VerbatimChar"/>
        </w:rPr>
        <w:t xml:space="preserve">[U]</w:t>
      </w:r>
      <w:r>
        <w:t xml:space="preserve"> </w:t>
      </w:r>
      <w:r>
        <w:t xml:space="preserve">· that Compliance+ is separable rather than table stakes that must sit in Core · that the free-nurse-seat model holds in tech-heavy KSA clinics · that an upfront implementation fee is payable at all · discounting behaviour, annual-prepay uptake, and whether multi-site groups exist in meaningful number.</w:t>
      </w:r>
    </w:p>
    <w:bookmarkEnd w:id="132"/>
    <w:bookmarkStart w:id="133" w:name="Xfbeb7c67fc6421c7ed9da39b70cb221f3b02e78"/>
    <w:p>
      <w:pPr>
        <w:pStyle w:val="Heading2"/>
      </w:pPr>
      <w:r>
        <w:t xml:space="preserve">S9.5 Unit economics and the tension to put in front of the board</w:t>
      </w:r>
    </w:p>
    <w:p>
      <w:pPr>
        <w:pStyle w:val="FirstParagraph"/>
      </w:pPr>
      <w:r>
        <w:t xml:space="preserve">All SAR, ex-VAT.</w:t>
      </w:r>
      <w:r>
        <w:t xml:space="preserve"> </w:t>
      </w:r>
      <w:r>
        <w:rPr>
          <w:bCs/>
          <w:b/>
        </w:rPr>
        <w:t xml:space="preserve">VAT is collected and remitted, never revenue.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Annual contract value</w:t>
            </w:r>
          </w:p>
        </w:tc>
        <w:tc>
          <w:tcPr/>
          <w:p>
            <w:pPr>
              <w:pStyle w:val="Compact"/>
              <w:jc w:val="left"/>
            </w:pPr>
            <w:r>
              <w:t xml:space="preserve">30,000</w:t>
            </w:r>
          </w:p>
        </w:tc>
        <w:tc>
          <w:tcPr/>
          <w:p>
            <w:pPr>
              <w:pStyle w:val="Compact"/>
              <w:jc w:val="left"/>
            </w:pPr>
            <w:r>
              <w:t xml:space="preserve">§S9.4 arithmetic</w:t>
            </w:r>
            <w:r>
              <w:t xml:space="preserve"> </w:t>
            </w:r>
            <w:r>
              <w:rPr>
                <w:rStyle w:val="VerbatimChar"/>
              </w:rPr>
              <w:t xml:space="preserve">[HYPOTHESIS]</w:t>
            </w:r>
          </w:p>
        </w:tc>
      </w:tr>
      <w:tr>
        <w:tc>
          <w:tcPr/>
          <w:p>
            <w:pPr>
              <w:pStyle w:val="Compact"/>
              <w:jc w:val="left"/>
            </w:pPr>
            <w:r>
              <w:rPr>
                <w:bCs/>
                <w:b/>
              </w:rPr>
              <w:t xml:space="preserve">Benchmark acquisition ratio</w:t>
            </w:r>
          </w:p>
        </w:tc>
        <w:tc>
          <w:tcPr/>
          <w:p>
            <w:pPr>
              <w:pStyle w:val="Compact"/>
              <w:jc w:val="left"/>
            </w:pPr>
            <w:r>
              <w:rPr>
                <w:bCs/>
                <w:b/>
              </w:rPr>
              <w:t xml:space="preserve">USD 2.00 of sales-and-marketing per USD 1.00 of new ARR</w:t>
            </w:r>
            <w:r>
              <w:t xml:space="preserve"> </w:t>
            </w:r>
            <w:r>
              <w:t xml:space="preserve">(2024 median)</w:t>
            </w:r>
          </w:p>
        </w:tc>
        <w:tc>
          <w:tcPr/>
          <w:p>
            <w:pPr>
              <w:pStyle w:val="Compact"/>
              <w:jc w:val="left"/>
            </w:pPr>
            <w:r>
              <w:t xml:space="preserve">Sourced — Benchmarkit 2025 SaaS Performance Metrics</w:t>
            </w:r>
          </w:p>
        </w:tc>
      </w:tr>
      <w:tr>
        <w:tc>
          <w:tcPr/>
          <w:p>
            <w:pPr>
              <w:pStyle w:val="Compact"/>
              <w:jc w:val="left"/>
            </w:pPr>
            <w:r>
              <w:t xml:space="preserve">→ benchmark-implied CAC</w:t>
            </w:r>
          </w:p>
        </w:tc>
        <w:tc>
          <w:tcPr/>
          <w:p>
            <w:pPr>
              <w:pStyle w:val="Compact"/>
              <w:jc w:val="left"/>
            </w:pPr>
            <w:r>
              <w:t xml:space="preserve">2.00 × 30,000 =</w:t>
            </w:r>
            <w:r>
              <w:t xml:space="preserve"> </w:t>
            </w:r>
            <w:r>
              <w:rPr>
                <w:bCs/>
                <w:b/>
              </w:rPr>
              <w:t xml:space="preserve">SAR 60,000</w:t>
            </w:r>
          </w:p>
        </w:tc>
        <w:tc>
          <w:tcPr/>
          <w:p>
            <w:pPr>
              <w:pStyle w:val="Compact"/>
              <w:jc w:val="left"/>
            </w:pPr>
            <w:r>
              <w:t xml:space="preserve">Arithmetic</w:t>
            </w:r>
          </w:p>
        </w:tc>
      </w:tr>
      <w:tr>
        <w:tc>
          <w:tcPr/>
          <w:p>
            <w:pPr>
              <w:pStyle w:val="Compact"/>
              <w:jc w:val="left"/>
            </w:pPr>
            <w:r>
              <w:rPr>
                <w:bCs/>
                <w:b/>
              </w:rPr>
              <w:t xml:space="preserve">Target steady-state CAC</w:t>
            </w:r>
          </w:p>
        </w:tc>
        <w:tc>
          <w:tcPr/>
          <w:p>
            <w:pPr>
              <w:pStyle w:val="Compact"/>
              <w:jc w:val="left"/>
            </w:pPr>
            <w:r>
              <w:rPr>
                <w:bCs/>
                <w:b/>
              </w:rPr>
              <w:t xml:space="preserve">SAR 30,000 – 36,000</w:t>
            </w:r>
            <w:r>
              <w:t xml:space="preserve"> </w:t>
            </w:r>
            <w:r>
              <w:t xml:space="preserve">(ratio 1.0–1.2)</w:t>
            </w:r>
          </w:p>
        </w:tc>
        <w:tc>
          <w:tcPr/>
          <w:p>
            <w:pPr>
              <w:pStyle w:val="Compact"/>
              <w:jc w:val="left"/>
            </w:pPr>
            <w:r>
              <w:rPr>
                <w:rStyle w:val="VerbatimChar"/>
              </w:rPr>
              <w:t xml:space="preserve">[HYPOTHESIS]</w:t>
            </w:r>
            <w:r>
              <w:t xml:space="preserve"> </w:t>
            </w:r>
            <w:r>
              <w:t xml:space="preserve">— benchmark CAC gives ~30-month payback, which does not fund</w:t>
            </w:r>
          </w:p>
        </w:tc>
      </w:tr>
      <w:tr>
        <w:tc>
          <w:tcPr/>
          <w:p>
            <w:pPr>
              <w:pStyle w:val="Compact"/>
              <w:jc w:val="left"/>
            </w:pPr>
            <w:r>
              <w:t xml:space="preserve">Year-1 founder-led CAC</w:t>
            </w:r>
          </w:p>
        </w:tc>
        <w:tc>
          <w:tcPr/>
          <w:p>
            <w:pPr>
              <w:pStyle w:val="Compact"/>
              <w:jc w:val="left"/>
            </w:pPr>
            <w:r>
              <w:t xml:space="preserve">15,000 – 25,000</w:t>
            </w:r>
          </w:p>
        </w:tc>
        <w:tc>
          <w:tcPr/>
          <w:p>
            <w:pPr>
              <w:pStyle w:val="Compact"/>
              <w:jc w:val="left"/>
            </w:pPr>
            <w:r>
              <w:rPr>
                <w:rStyle w:val="VerbatimChar"/>
              </w:rPr>
              <w:t xml:space="preserve">[HYPOTHESIS]</w:t>
            </w:r>
            <w:r>
              <w:t xml:space="preserve"> </w:t>
            </w:r>
            <w:r>
              <w:t xml:space="preserve">— first deals are founder time and events, not paid acquisition</w:t>
            </w:r>
          </w:p>
        </w:tc>
      </w:tr>
      <w:tr>
        <w:tc>
          <w:tcPr/>
          <w:p>
            <w:pPr>
              <w:pStyle w:val="Compact"/>
              <w:jc w:val="left"/>
            </w:pPr>
            <w:r>
              <w:rPr>
                <w:bCs/>
                <w:b/>
              </w:rPr>
              <w:t xml:space="preserve">Segment warning</w:t>
            </w:r>
          </w:p>
        </w:tc>
        <w:tc>
          <w:tcPr/>
          <w:p>
            <w:pPr>
              <w:pStyle w:val="Compact"/>
              <w:jc w:val="left"/>
            </w:pPr>
            <w:r>
              <w:t xml:space="preserve">USD 10–50K ACV cohorts are</w:t>
            </w:r>
            <w:r>
              <w:t xml:space="preserve"> </w:t>
            </w:r>
            <w:r>
              <w:rPr>
                <w:bCs/>
                <w:b/>
              </w:rPr>
              <w:t xml:space="preserve">more expensive to acquire</w:t>
            </w:r>
            <w:r>
              <w:t xml:space="preserve"> </w:t>
            </w:r>
            <w:r>
              <w:t xml:space="preserve">than USD 50–100K cohorts</w:t>
            </w:r>
          </w:p>
        </w:tc>
        <w:tc>
          <w:tcPr/>
          <w:p>
            <w:pPr>
              <w:pStyle w:val="Compact"/>
              <w:jc w:val="left"/>
            </w:pPr>
            <w:r>
              <w:t xml:space="preserve">Sourced — Benchmarkit.</w:t>
            </w:r>
            <w:r>
              <w:t xml:space="preserve"> </w:t>
            </w:r>
            <w:r>
              <w:rPr>
                <w:bCs/>
                <w:b/>
              </w:rPr>
              <w:t xml:space="preserve">This ACV (≈ USD 8,000) sits below that harder band</w:t>
            </w:r>
          </w:p>
        </w:tc>
      </w:tr>
      <w:tr>
        <w:tc>
          <w:tcPr/>
          <w:p>
            <w:pPr>
              <w:pStyle w:val="Compact"/>
              <w:jc w:val="left"/>
            </w:pPr>
            <w:r>
              <w:t xml:space="preserve">Gross margin</w:t>
            </w:r>
          </w:p>
        </w:tc>
        <w:tc>
          <w:tcPr/>
          <w:p>
            <w:pPr>
              <w:pStyle w:val="Compact"/>
              <w:jc w:val="left"/>
            </w:pPr>
            <w:r>
              <w:rPr>
                <w:bCs/>
                <w:b/>
              </w:rPr>
              <w:t xml:space="preserve">75–80%</w:t>
            </w:r>
          </w:p>
        </w:tc>
        <w:tc>
          <w:tcPr/>
          <w:p>
            <w:pPr>
              <w:pStyle w:val="Compact"/>
              <w:jc w:val="left"/>
            </w:pPr>
            <w:r>
              <w:rPr>
                <w:rStyle w:val="VerbatimChar"/>
              </w:rPr>
              <w:t xml:space="preserve">[HYPOTHESIS]</w:t>
            </w:r>
            <w:r>
              <w:t xml:space="preserve"> </w:t>
            </w:r>
            <w:r>
              <w:t xml:space="preserve">— below the SaaS norm because in-Kingdom hosting and per-device invoice-certificate costs are real</w:t>
            </w:r>
          </w:p>
        </w:tc>
      </w:tr>
      <w:tr>
        <w:tc>
          <w:tcPr/>
          <w:p>
            <w:pPr>
              <w:pStyle w:val="Compact"/>
              <w:jc w:val="left"/>
            </w:pPr>
            <w:r>
              <w:t xml:space="preserve">Gross revenue retention</w:t>
            </w:r>
          </w:p>
        </w:tc>
        <w:tc>
          <w:tcPr/>
          <w:p>
            <w:pPr>
              <w:pStyle w:val="Compact"/>
              <w:jc w:val="left"/>
            </w:pPr>
            <w:r>
              <w:t xml:space="preserve">85–90%</w:t>
            </w:r>
          </w:p>
        </w:tc>
        <w:tc>
          <w:tcPr/>
          <w:p>
            <w:pPr>
              <w:pStyle w:val="Compact"/>
              <w:jc w:val="left"/>
            </w:pPr>
            <w:r>
              <w:rPr>
                <w:rStyle w:val="VerbatimChar"/>
              </w:rPr>
              <w:t xml:space="preserve">[HYPOTHESIS]</w:t>
            </w:r>
            <w:r>
              <w:t xml:space="preserve"> </w:t>
            </w:r>
            <w:r>
              <w:t xml:space="preserve">— SMB single-site vertical; retention correlates positively with ACV, and this ACV is low</w:t>
            </w:r>
          </w:p>
        </w:tc>
      </w:tr>
      <w:tr>
        <w:tc>
          <w:tcPr/>
          <w:p>
            <w:pPr>
              <w:pStyle w:val="Compact"/>
              <w:jc w:val="left"/>
            </w:pPr>
            <w:r>
              <w:t xml:space="preserve">Net revenue retention</w:t>
            </w:r>
          </w:p>
        </w:tc>
        <w:tc>
          <w:tcPr/>
          <w:p>
            <w:pPr>
              <w:pStyle w:val="Compact"/>
              <w:jc w:val="left"/>
            </w:pPr>
            <w:r>
              <w:t xml:space="preserve">105–110% vs a</w:t>
            </w:r>
            <w:r>
              <w:t xml:space="preserve"> </w:t>
            </w:r>
            <w:r>
              <w:rPr>
                <w:bCs/>
                <w:b/>
              </w:rPr>
              <w:t xml:space="preserve">101% median</w:t>
            </w:r>
          </w:p>
        </w:tc>
        <w:tc>
          <w:tcPr/>
          <w:p>
            <w:pPr>
              <w:pStyle w:val="Compact"/>
              <w:jc w:val="left"/>
            </w:pPr>
            <w:r>
              <w:rPr>
                <w:rStyle w:val="VerbatimChar"/>
              </w:rPr>
              <w:t xml:space="preserve">[HYPOTHESIS]</w:t>
            </w:r>
            <w:r>
              <w:t xml:space="preserve"> </w:t>
            </w:r>
            <w:r>
              <w:t xml:space="preserve">vs sourced median — premium claimed on seat and module expansion</w:t>
            </w:r>
          </w:p>
        </w:tc>
      </w:tr>
      <w:tr>
        <w:tc>
          <w:tcPr/>
          <w:p>
            <w:pPr>
              <w:pStyle w:val="Compact"/>
              <w:jc w:val="left"/>
            </w:pPr>
            <w:r>
              <w:t xml:space="preserve">CAC payback, margin-adjusted</w:t>
            </w:r>
          </w:p>
        </w:tc>
        <w:tc>
          <w:tcPr/>
          <w:p>
            <w:pPr>
              <w:pStyle w:val="Compact"/>
              <w:jc w:val="left"/>
            </w:pPr>
            <w:r>
              <w:t xml:space="preserve">15–18 months</w:t>
            </w:r>
          </w:p>
        </w:tc>
        <w:tc>
          <w:tcPr/>
          <w:p>
            <w:pPr>
              <w:pStyle w:val="Compact"/>
              <w:jc w:val="left"/>
            </w:pPr>
            <w:r>
              <w:t xml:space="preserve">36,000 ÷ (30,000 × 0.78 ÷ 12) = 18.5 months</w:t>
            </w:r>
          </w:p>
        </w:tc>
      </w:tr>
      <w:tr>
        <w:tc>
          <w:tcPr/>
          <w:p>
            <w:pPr>
              <w:pStyle w:val="Compact"/>
              <w:jc w:val="left"/>
            </w:pPr>
            <w:r>
              <w:t xml:space="preserve">Sales cycle</w:t>
            </w:r>
          </w:p>
        </w:tc>
        <w:tc>
          <w:tcPr/>
          <w:p>
            <w:pPr>
              <w:pStyle w:val="Compact"/>
              <w:jc w:val="left"/>
            </w:pPr>
            <w:r>
              <w:t xml:space="preserve">45–90 days single site; 4–6 months for 3+ site groups</w:t>
            </w:r>
          </w:p>
        </w:tc>
        <w:tc>
          <w:tcPr/>
          <w:p>
            <w:pPr>
              <w:pStyle w:val="Compact"/>
              <w:jc w:val="left"/>
            </w:pPr>
            <w:r>
              <w:rPr>
                <w:rStyle w:val="VerbatimChar"/>
              </w:rPr>
              <w:t xml:space="preserve">[HYPOTHESIS]</w:t>
            </w:r>
            <w:r>
              <w:t xml:space="preserve"> </w:t>
            </w:r>
            <w:r>
              <w:t xml:space="preserve">—</w:t>
            </w:r>
            <w:r>
              <w:t xml:space="preserve"> </w:t>
            </w:r>
            <w:r>
              <w:rPr>
                <w:bCs/>
                <w:b/>
              </w:rPr>
              <w:t xml:space="preserve">no KSA veterinary-specific source exists</w:t>
            </w:r>
          </w:p>
        </w:tc>
      </w:tr>
    </w:tbl>
    <w:p>
      <w:pPr>
        <w:pStyle w:val="BodyText"/>
      </w:pPr>
      <w:r>
        <w:rPr>
          <w:rStyle w:val="VerbatimChar"/>
          <w:bCs/>
          <w:b/>
        </w:rPr>
        <w:t xml:space="preserve">C-005</w:t>
      </w:r>
      <w:r>
        <w:rPr>
          <w:bCs/>
          <w:b/>
        </w:rPr>
        <w:t xml:space="preserve"> </w:t>
      </w:r>
      <w:r>
        <w:rPr>
          <w:bCs/>
          <w:b/>
        </w:rPr>
        <w:t xml:space="preserve">— The structural tension, stated plainly for the Sponsor.</w:t>
      </w:r>
      <w:r>
        <w:t xml:space="preserve"> </w:t>
      </w:r>
      <w:r>
        <w:t xml:space="preserve">The benchmark ratio implies a SAR 60,000 acquisition cost against a SAR 30,000 contract value — a 2:1 ratio and roughly 30-month payback that</w:t>
      </w:r>
      <w:r>
        <w:t xml:space="preserve"> </w:t>
      </w:r>
      <w:r>
        <w:rPr>
          <w:bCs/>
          <w:b/>
        </w:rPr>
        <w:t xml:space="preserve">does not fund</w:t>
      </w:r>
      <w:r>
        <w:t xml:space="preserve">. The model only closes if acquisition cost is held at or below ~1.2× contract value, which in a market of ~200 addressable clinics means</w:t>
      </w:r>
      <w:r>
        <w:t xml:space="preserve"> </w:t>
      </w:r>
      <w:r>
        <w:rPr>
          <w:bCs/>
          <w:b/>
        </w:rPr>
        <w:t xml:space="preserve">founder-led and channel-led acquisition, with paid demand generation playing almost no role.</w:t>
      </w:r>
    </w:p>
    <w:p>
      <w:pPr>
        <w:pStyle w:val="BlockText"/>
      </w:pPr>
      <w:r>
        <w:rPr>
          <w:bCs/>
          <w:b/>
        </w:rPr>
        <w:t xml:space="preserve">This is the same failure mode as the legacy 50,000-consumer plan, arriving from the B2B side. A concentrated market is a gift to acquisition cost. It should be exploited, not spent past.</w:t>
      </w:r>
    </w:p>
    <w:bookmarkEnd w:id="133"/>
    <w:bookmarkStart w:id="134" w:name="s96-go-to-market"/>
    <w:p>
      <w:pPr>
        <w:pStyle w:val="Heading2"/>
      </w:pPr>
      <w:r>
        <w:t xml:space="preserve">S9.6 Go-to-market</w:t>
      </w:r>
    </w:p>
    <w:p>
      <w:pPr>
        <w:pStyle w:val="FirstParagraph"/>
      </w:pPr>
      <w:r>
        <w:rPr>
          <w:rStyle w:val="VerbatimChar"/>
          <w:bCs/>
          <w:b/>
        </w:rPr>
        <w:t xml:space="preserve">C-006</w:t>
      </w:r>
      <w:r>
        <w:rPr>
          <w:bCs/>
          <w:b/>
        </w:rPr>
        <w:t xml:space="preserve"> </w:t>
      </w:r>
      <w:r>
        <w:rPr>
          <w:bCs/>
          <w:b/>
        </w:rPr>
        <w:t xml:space="preserve">— With a serviceable market of ~200 metro clinics, this is a named-account market, not a demand-generation market.</w:t>
      </w:r>
      <w:r>
        <w:t xml:space="preserve"> </w:t>
      </w:r>
      <w:r>
        <w:t xml:space="preserve">The entire addressable set fits on one spreadsheet. Every target can be physically visited.</w:t>
      </w:r>
      <w:r>
        <w:t xml:space="preserve"> </w:t>
      </w:r>
      <w:r>
        <w:rPr>
          <w:bCs/>
          <w:b/>
        </w:rPr>
        <w:t xml:space="preserve">Paid acquisition is structurally wrong here.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Channel</w:t>
            </w:r>
          </w:p>
        </w:tc>
        <w:tc>
          <w:tcPr/>
          <w:p>
            <w:pPr>
              <w:pStyle w:val="Compact"/>
              <w:jc w:val="left"/>
            </w:pPr>
            <w:r>
              <w:t xml:space="preserve">Assessment</w:t>
            </w:r>
          </w:p>
        </w:tc>
      </w:tr>
      <w:tr>
        <w:tc>
          <w:tcPr/>
          <w:p>
            <w:pPr>
              <w:pStyle w:val="Compact"/>
              <w:jc w:val="left"/>
            </w:pPr>
            <w:r>
              <w:rPr>
                <w:bCs/>
                <w:b/>
              </w:rPr>
              <w:t xml:space="preserve">Direct / founder-led</w:t>
            </w:r>
          </w:p>
        </w:tc>
        <w:tc>
          <w:tcPr/>
          <w:p>
            <w:pPr>
              <w:pStyle w:val="Compact"/>
              <w:jc w:val="left"/>
            </w:pPr>
            <w:r>
              <w:rPr>
                <w:bCs/>
                <w:b/>
              </w:rPr>
              <w:t xml:space="preserve">Primary and the only viable Year-1 motion.</w:t>
            </w:r>
            <w:r>
              <w:t xml:space="preserve"> </w:t>
            </w:r>
            <w:r>
              <w:t xml:space="preserve">Maqaleed is Jeddah-based; the Makkah region holds 20% of private establishments (210 sites), Riyadh 26%. Start Jeddah for physical proximity, then Riyadh</w:t>
            </w:r>
          </w:p>
        </w:tc>
      </w:tr>
      <w:tr>
        <w:tc>
          <w:tcPr/>
          <w:p>
            <w:pPr>
              <w:pStyle w:val="Compact"/>
              <w:jc w:val="left"/>
            </w:pPr>
            <w:r>
              <w:rPr>
                <w:bCs/>
                <w:b/>
              </w:rPr>
              <w:t xml:space="preserve">Veterinary supply and pharmaceutical wholesalers</w:t>
            </w:r>
          </w:p>
        </w:tc>
        <w:tc>
          <w:tcPr/>
          <w:p>
            <w:pPr>
              <w:pStyle w:val="Compact"/>
              <w:jc w:val="left"/>
            </w:pPr>
            <w:r>
              <w:rPr>
                <w:bCs/>
                <w:b/>
              </w:rPr>
              <w:t xml:space="preserve">Highest-leverage secondary.</w:t>
            </w:r>
            <w:r>
              <w:t xml:space="preserve"> </w:t>
            </w:r>
            <w:r>
              <w:t xml:space="preserve">811–1,366 veterinary pharmacies sit in the same regulated supply chain, called on regularly by reps who already have the principal's trust and phone number. Also the natural route to the pharmacy SKU</w:t>
            </w:r>
          </w:p>
        </w:tc>
      </w:tr>
      <w:tr>
        <w:tc>
          <w:tcPr/>
          <w:p>
            <w:pPr>
              <w:pStyle w:val="Compact"/>
              <w:jc w:val="left"/>
            </w:pPr>
            <w:r>
              <w:rPr>
                <w:bCs/>
                <w:b/>
              </w:rPr>
              <w:t xml:space="preserve">Events</w:t>
            </w:r>
          </w:p>
        </w:tc>
        <w:tc>
          <w:tcPr/>
          <w:p>
            <w:pPr>
              <w:pStyle w:val="Compact"/>
              <w:jc w:val="left"/>
            </w:pPr>
            <w:r>
              <w:t xml:space="preserve">The</w:t>
            </w:r>
            <w:r>
              <w:t xml:space="preserve"> </w:t>
            </w:r>
            <w:r>
              <w:rPr>
                <w:bCs/>
                <w:b/>
              </w:rPr>
              <w:t xml:space="preserve">Saudi Pet &amp; Veterinary Expo</w:t>
            </w:r>
            <w:r>
              <w:t xml:space="preserve">, Riyadh,</w:t>
            </w:r>
            <w:r>
              <w:t xml:space="preserve"> </w:t>
            </w:r>
            <w:r>
              <w:rPr>
                <w:bCs/>
                <w:b/>
              </w:rPr>
              <w:t xml:space="preserve">9–11 November 2026</w:t>
            </w:r>
            <w:r>
              <w:t xml:space="preserve"> </w:t>
            </w:r>
            <w:r>
              <w:t xml:space="preserve">— 15,000 visitors, 120 exhibitors, 1,500 hosted buyers.</w:t>
            </w:r>
            <w:r>
              <w:t xml:space="preserve"> </w:t>
            </w:r>
            <w:r>
              <w:rPr>
                <w:bCs/>
                <w:b/>
              </w:rPr>
              <w:t xml:space="preserve">The single densest gathering of the addressable market in the calendar, and roughly ten weeks out.</w:t>
            </w:r>
            <w:r>
              <w:t xml:space="preserve"> </w:t>
            </w:r>
            <w:r>
              <w:t xml:space="preserve">Caveat: the published visitor profile skews retail and distribution and does not explicitly confirm clinic principals as a primary segment —</w:t>
            </w:r>
            <w:r>
              <w:t xml:space="preserve"> </w:t>
            </w:r>
            <w:r>
              <w:rPr>
                <w:bCs/>
                <w:b/>
              </w:rPr>
              <w:t xml:space="preserve">validate before committing budget</w:t>
            </w:r>
          </w:p>
        </w:tc>
      </w:tr>
      <w:tr>
        <w:tc>
          <w:tcPr/>
          <w:p>
            <w:pPr>
              <w:pStyle w:val="Compact"/>
              <w:jc w:val="left"/>
            </w:pPr>
            <w:r>
              <w:rPr>
                <w:bCs/>
                <w:b/>
              </w:rPr>
              <w:t xml:space="preserve">Arabic-first content</w:t>
            </w:r>
          </w:p>
        </w:tc>
        <w:tc>
          <w:tcPr/>
          <w:p>
            <w:pPr>
              <w:pStyle w:val="Compact"/>
              <w:jc w:val="left"/>
            </w:pPr>
            <w:r>
              <w:t xml:space="preserve">Low cost, high fit.</w:t>
            </w:r>
            <w:r>
              <w:t xml:space="preserve"> </w:t>
            </w:r>
            <w:r>
              <w:rPr>
                <w:bCs/>
                <w:b/>
              </w:rPr>
              <w:t xml:space="preserve">The highest-intent search demand is compliance, not software</w:t>
            </w:r>
            <w:r>
              <w:t xml:space="preserve"> </w:t>
            </w:r>
            <w:r>
              <w:t xml:space="preserve">— ZATCA Phase 2 for clinics, the MEWA conditions, Balady requirements. Own those Arabic queries: the buyer is searching for the</w:t>
            </w:r>
            <w:r>
              <w:t xml:space="preserve"> </w:t>
            </w:r>
            <w:r>
              <w:rPr>
                <w:iCs/>
                <w:i/>
              </w:rPr>
              <w:t xml:space="preserve">problem</w:t>
            </w:r>
            <w:r>
              <w:t xml:space="preserve">, and no PMS vendor is answering in Arabic</w:t>
            </w:r>
          </w:p>
        </w:tc>
      </w:tr>
      <w:tr>
        <w:tc>
          <w:tcPr/>
          <w:p>
            <w:pPr>
              <w:pStyle w:val="Compact"/>
              <w:jc w:val="left"/>
            </w:pPr>
            <w:r>
              <w:t xml:space="preserve">Distributor / reseller</w:t>
            </w:r>
          </w:p>
        </w:tc>
        <w:tc>
          <w:tcPr/>
          <w:p>
            <w:pPr>
              <w:pStyle w:val="Compact"/>
              <w:jc w:val="left"/>
            </w:pPr>
            <w:r>
              <w:t xml:space="preserve">Not Year 1 — but note the incumbent reaches KSA through exactly this model from Dubai, which is evidence it works and evidence of what to displace</w:t>
            </w:r>
          </w:p>
        </w:tc>
      </w:tr>
    </w:tbl>
    <w:p>
      <w:pPr>
        <w:pStyle w:val="BodyText"/>
      </w:pPr>
      <w:r>
        <w:rPr>
          <w:rStyle w:val="VerbatimChar"/>
          <w:bCs/>
          <w:b/>
        </w:rPr>
        <w:t xml:space="preserve">C-007</w:t>
      </w:r>
      <w:r>
        <w:rPr>
          <w:bCs/>
          <w:b/>
        </w:rPr>
        <w:t xml:space="preserve"> </w:t>
      </w:r>
      <w:r>
        <w:rPr>
          <w:bCs/>
          <w:b/>
        </w:rPr>
        <w:t xml:space="preserve">— The first-ten-customers plan.</w:t>
      </w:r>
      <w:r>
        <w:t xml:space="preserve"> </w:t>
      </w:r>
      <w:r>
        <w:t xml:space="preserve">Objective: 10 paying design-partner clinics in 6 months; 20–25 sites by month 12.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Action</w:t>
            </w:r>
          </w:p>
        </w:tc>
      </w:tr>
      <w:tr>
        <w:tc>
          <w:tcPr/>
          <w:p>
            <w:pPr>
              <w:pStyle w:val="Compact"/>
              <w:jc w:val="left"/>
            </w:pPr>
            <w:r>
              <w:rPr>
                <w:bCs/>
                <w:b/>
              </w:rPr>
              <w:t xml:space="preserve">0 · Build the list</w:t>
            </w:r>
          </w:p>
        </w:tc>
        <w:tc>
          <w:tcPr/>
          <w:p>
            <w:pPr>
              <w:pStyle w:val="Compact"/>
              <w:jc w:val="left"/>
            </w:pPr>
            <w:r>
              <w:t xml:space="preserve">1–2</w:t>
            </w:r>
          </w:p>
        </w:tc>
        <w:tc>
          <w:tcPr/>
          <w:p>
            <w:pPr>
              <w:pStyle w:val="Compact"/>
              <w:jc w:val="left"/>
            </w:pPr>
            <w:r>
              <w:rPr>
                <w:bCs/>
                <w:b/>
              </w:rPr>
              <w:t xml:space="preserve">Enumerate the entire serviceable market by hand</w:t>
            </w:r>
            <w:r>
              <w:t xml:space="preserve"> </w:t>
            </w:r>
            <w:r>
              <w:t xml:space="preserve">— licence registers, commercial databases, maps — to 200–300 named sites</w:t>
            </w:r>
            <w:r>
              <w:t xml:space="preserve"> </w:t>
            </w:r>
            <w:r>
              <w:rPr>
                <w:bCs/>
                <w:b/>
              </w:rPr>
              <w:t xml:space="preserve">with the principal's name. The list is the asset</w:t>
            </w:r>
          </w:p>
        </w:tc>
      </w:tr>
      <w:tr>
        <w:tc>
          <w:tcPr/>
          <w:p>
            <w:pPr>
              <w:pStyle w:val="Compact"/>
              <w:jc w:val="left"/>
            </w:pPr>
            <w:r>
              <w:rPr>
                <w:bCs/>
                <w:b/>
              </w:rPr>
              <w:t xml:space="preserve">1 · Compliance-led outreach</w:t>
            </w:r>
          </w:p>
        </w:tc>
        <w:tc>
          <w:tcPr/>
          <w:p>
            <w:pPr>
              <w:pStyle w:val="Compact"/>
              <w:jc w:val="left"/>
            </w:pPr>
            <w:r>
              <w:t xml:space="preserve">3–8</w:t>
            </w:r>
          </w:p>
        </w:tc>
        <w:tc>
          <w:tcPr/>
          <w:p>
            <w:pPr>
              <w:pStyle w:val="Compact"/>
              <w:jc w:val="left"/>
            </w:pPr>
            <w:r>
              <w:t xml:space="preserve">Lead with the</w:t>
            </w:r>
            <w:r>
              <w:t xml:space="preserve"> </w:t>
            </w:r>
            <w:r>
              <w:rPr>
                <w:bCs/>
                <w:b/>
              </w:rPr>
              <w:t xml:space="preserve">ZATCA deadline that has already passed</w:t>
            </w:r>
            <w:r>
              <w:t xml:space="preserve"> </w:t>
            </w:r>
            <w:r>
              <w:t xml:space="preserve">and the MEWA conditions. Offer a free Arabic</w:t>
            </w:r>
            <w:r>
              <w:t xml:space="preserve"> </w:t>
            </w:r>
            <w:r>
              <w:rPr>
                <w:bCs/>
                <w:b/>
              </w:rPr>
              <w:t xml:space="preserve">"Clinic Compliance Readiness Check"</w:t>
            </w:r>
            <w:r>
              <w:t xml:space="preserve"> </w:t>
            </w:r>
            <w:r>
              <w:t xml:space="preserve">— ZATCA status, MEWA evidence gaps, Balady checklist.</w:t>
            </w:r>
            <w:r>
              <w:t xml:space="preserve"> </w:t>
            </w:r>
            <w:r>
              <w:rPr>
                <w:bCs/>
                <w:b/>
              </w:rPr>
              <w:t xml:space="preserve">This is a diagnostic, not a demo, and it qualifies hard</w:t>
            </w:r>
          </w:p>
        </w:tc>
      </w:tr>
      <w:tr>
        <w:tc>
          <w:tcPr/>
          <w:p>
            <w:pPr>
              <w:pStyle w:val="Compact"/>
              <w:jc w:val="left"/>
            </w:pPr>
            <w:r>
              <w:rPr>
                <w:bCs/>
                <w:b/>
              </w:rPr>
              <w:t xml:space="preserve">2 · Jeddah cohort</w:t>
            </w:r>
          </w:p>
        </w:tc>
        <w:tc>
          <w:tcPr/>
          <w:p>
            <w:pPr>
              <w:pStyle w:val="Compact"/>
              <w:jc w:val="left"/>
            </w:pPr>
            <w:r>
              <w:t xml:space="preserve">5–12</w:t>
            </w:r>
          </w:p>
        </w:tc>
        <w:tc>
          <w:tcPr/>
          <w:p>
            <w:pPr>
              <w:pStyle w:val="Compact"/>
              <w:jc w:val="left"/>
            </w:pPr>
            <w:r>
              <w:t xml:space="preserve">4–5 sites. Physical proximity means same-day onsite support, which is the whole reason a design partner tolerates early software</w:t>
            </w:r>
          </w:p>
        </w:tc>
      </w:tr>
      <w:tr>
        <w:tc>
          <w:tcPr/>
          <w:p>
            <w:pPr>
              <w:pStyle w:val="Compact"/>
              <w:jc w:val="left"/>
            </w:pPr>
            <w:r>
              <w:rPr>
                <w:bCs/>
                <w:b/>
              </w:rPr>
              <w:t xml:space="preserve">3 · Riyadh cohort</w:t>
            </w:r>
          </w:p>
        </w:tc>
        <w:tc>
          <w:tcPr/>
          <w:p>
            <w:pPr>
              <w:pStyle w:val="Compact"/>
              <w:jc w:val="left"/>
            </w:pPr>
            <w:r>
              <w:t xml:space="preserve">10–20</w:t>
            </w:r>
          </w:p>
        </w:tc>
        <w:tc>
          <w:tcPr/>
          <w:p>
            <w:pPr>
              <w:pStyle w:val="Compact"/>
              <w:jc w:val="left"/>
            </w:pPr>
            <w:r>
              <w:t xml:space="preserve">4–5 sites. Requires a named Riyadh implementation hire by month 4</w:t>
            </w:r>
          </w:p>
        </w:tc>
      </w:tr>
      <w:tr>
        <w:tc>
          <w:tcPr/>
          <w:p>
            <w:pPr>
              <w:pStyle w:val="Compact"/>
              <w:jc w:val="left"/>
            </w:pPr>
            <w:r>
              <w:rPr>
                <w:bCs/>
                <w:b/>
              </w:rPr>
              <w:t xml:space="preserve">4 · Expo</w:t>
            </w:r>
          </w:p>
        </w:tc>
        <w:tc>
          <w:tcPr/>
          <w:p>
            <w:pPr>
              <w:pStyle w:val="Compact"/>
              <w:jc w:val="left"/>
            </w:pPr>
            <w:r>
              <w:t xml:space="preserve">Nov 2026</w:t>
            </w:r>
          </w:p>
        </w:tc>
        <w:tc>
          <w:tcPr/>
          <w:p>
            <w:pPr>
              <w:pStyle w:val="Compact"/>
              <w:jc w:val="left"/>
            </w:pPr>
            <w:r>
              <w:t xml:space="preserve">Go with</w:t>
            </w:r>
            <w:r>
              <w:t xml:space="preserve"> </w:t>
            </w:r>
            <w:r>
              <w:rPr>
                <w:bCs/>
                <w:b/>
              </w:rPr>
              <w:t xml:space="preserve">10 live logos and a working cleared-invoice demo</w:t>
            </w:r>
            <w:r>
              <w:t xml:space="preserve">, not a prospectus</w:t>
            </w:r>
          </w:p>
        </w:tc>
      </w:tr>
      <w:tr>
        <w:tc>
          <w:tcPr/>
          <w:p>
            <w:pPr>
              <w:pStyle w:val="Compact"/>
              <w:jc w:val="left"/>
            </w:pPr>
            <w:r>
              <w:rPr>
                <w:bCs/>
                <w:b/>
              </w:rPr>
              <w:t xml:space="preserve">5 · Channel</w:t>
            </w:r>
          </w:p>
        </w:tc>
        <w:tc>
          <w:tcPr/>
          <w:p>
            <w:pPr>
              <w:pStyle w:val="Compact"/>
              <w:jc w:val="left"/>
            </w:pPr>
            <w:r>
              <w:t xml:space="preserve">Month 6+</w:t>
            </w:r>
          </w:p>
        </w:tc>
        <w:tc>
          <w:tcPr/>
          <w:p>
            <w:pPr>
              <w:pStyle w:val="Compact"/>
              <w:jc w:val="left"/>
            </w:pPr>
            <w:r>
              <w:t xml:space="preserve">Convert 1–2 wholesalers into referral partners on the evidence of the ten reference sites</w:t>
            </w:r>
          </w:p>
        </w:tc>
      </w:tr>
    </w:tbl>
    <w:p>
      <w:pPr>
        <w:pStyle w:val="BodyText"/>
      </w:pPr>
      <w:r>
        <w:rPr>
          <w:bCs/>
          <w:b/>
        </w:rPr>
        <w:t xml:space="preserve">Segment priority:</w:t>
      </w:r>
      <w:r>
        <w:t xml:space="preserve"> </w:t>
      </w:r>
      <w:r>
        <w:t xml:space="preserve">2–5 vet independent clinics in Riyadh and Jeddah</w:t>
      </w:r>
      <w:r>
        <w:t xml:space="preserve"> </w:t>
      </w:r>
      <w:r>
        <w:rPr>
          <w:bCs/>
          <w:b/>
        </w:rPr>
        <w:t xml:space="preserve">where the principal is also the owner</w:t>
      </w:r>
      <w:r>
        <w:t xml:space="preserve"> </w:t>
      </w:r>
      <w:r>
        <w:t xml:space="preserve">— one decision maker, no procurement, and the compliance pain lands on him personally. Deprioritise government facilities (tender-driven, long cycles) and single-vet practices (cannot support the contract value).</w:t>
      </w:r>
    </w:p>
    <w:p>
      <w:pPr>
        <w:pStyle w:val="BodyText"/>
      </w:pPr>
      <w:r>
        <w:rPr>
          <w:rStyle w:val="VerbatimChar"/>
          <w:bCs/>
          <w:b/>
        </w:rPr>
        <w:t xml:space="preserve">C-008</w:t>
      </w:r>
      <w:r>
        <w:rPr>
          <w:bCs/>
          <w:b/>
        </w:rPr>
        <w:t xml:space="preserve"> </w:t>
      </w:r>
      <w:r>
        <w:rPr>
          <w:bCs/>
          <w:b/>
        </w:rPr>
        <w:t xml:space="preserve">— The design-partner contract.</w:t>
      </w:r>
    </w:p>
    <w:p>
      <w:pPr>
        <w:pStyle w:val="BodyText"/>
      </w:pPr>
      <w:r>
        <w:rPr>
          <w:bCs/>
          <w:b/>
        </w:rPr>
        <w:t xml:space="preserve">Partner gives:</w:t>
      </w:r>
      <w:r>
        <w:t xml:space="preserve"> </w:t>
      </w:r>
      <w:r>
        <w:t xml:space="preserve">the named principal as executive sponsor, ≤ 2 hrs/week for 12 weeks · full read access to current workflow, billing and inspection history ·</w:t>
      </w:r>
      <w:r>
        <w:t xml:space="preserve"> </w:t>
      </w:r>
      <w:r>
        <w:rPr>
          <w:bCs/>
          <w:b/>
        </w:rPr>
        <w:t xml:space="preserve">production commitment by week 6</w:t>
      </w:r>
      <w:r>
        <w:t xml:space="preserve"> </w:t>
      </w:r>
      <w:r>
        <w:t xml:space="preserve">(parallel running is where design partnerships die) · a written reference and one hosted site visit · consent to use anonymised operational data as benchmark evidence.</w:t>
      </w:r>
    </w:p>
    <w:p>
      <w:pPr>
        <w:pStyle w:val="BodyText"/>
      </w:pPr>
      <w:r>
        <w:rPr>
          <w:bCs/>
          <w:b/>
        </w:rPr>
        <w:t xml:space="preserve">Partner gets:</w:t>
      </w:r>
      <w:r>
        <w:t xml:space="preserve"> </w:t>
      </w:r>
      <w:r>
        <w:t xml:space="preserve">50% off Year 1, locked for 24 months · free implementation and migration · named roadmap input with two prioritised requests per quarter · direct founder access · and</w:t>
      </w:r>
      <w:r>
        <w:t xml:space="preserve"> </w:t>
      </w:r>
      <w:r>
        <w:rPr>
          <w:bCs/>
          <w:b/>
        </w:rPr>
        <w:t xml:space="preserve">ZATCA Phase 2 compliance delivered as a contractual outcome — which is the thing worth paying for today.</w:t>
      </w:r>
    </w:p>
    <w:p>
      <w:pPr>
        <w:pStyle w:val="BodyText"/>
      </w:pPr>
      <w:r>
        <w:rPr>
          <w:bCs/>
          <w:b/>
        </w:rPr>
        <w:t xml:space="preserve">Deliberately not given:</w:t>
      </w:r>
      <w:r>
        <w:t xml:space="preserve"> </w:t>
      </w:r>
      <w:r>
        <w:t xml:space="preserve">perpetual free access, equity, exclusivity, or source escrow.</w:t>
      </w:r>
    </w:p>
    <w:bookmarkEnd w:id="134"/>
    <w:bookmarkStart w:id="135" w:name="X115b9b46b47567440abb8aaaf1ce734c8298f33"/>
    <w:p>
      <w:pPr>
        <w:pStyle w:val="Heading2"/>
      </w:pPr>
      <w:r>
        <w:t xml:space="preserve">S9.7 Willingness to pay — the value hypothesis, tested</w:t>
      </w:r>
    </w:p>
    <w:p>
      <w:pPr>
        <w:pStyle w:val="FirstParagraph"/>
      </w:pPr>
      <w:r>
        <w:rPr>
          <w:bCs/>
          <w:b/>
        </w:rPr>
        <w:t xml:space="preserve">Verdict: supported, and stronger than a practice-management pitch alone.</w:t>
      </w:r>
    </w:p>
    <w:p>
      <w:pPr>
        <w:pStyle w:val="BodyText"/>
      </w:pPr>
      <w:r>
        <w:rPr>
          <w:bCs/>
          <w:b/>
        </w:rPr>
        <w:t xml:space="preserve">Evidence for.</w:t>
      </w:r>
      <w:r>
        <w:t xml:space="preserve"> </w:t>
      </w:r>
      <w:r>
        <w:t xml:space="preserve">ZATCA Phase 2 is mandatory, technical and overdue, and a clinic principal cannot self-serve it. Dual licensing under MEWA and MOMRAH makes renewal an annual evidence-assembly exercise against two regulators, with municipal compliance explicitly a prerequisite for continuing operations. MEWA is actively extracting data from clinics — it ran an indicative-pricing survey across ~18 pet services in all 13 regions — so regulatory reporting demand is rising and a system that can answer on demand has standing value. Staffing paperwork is tightening, with contract documentation requirements and profession-specific localisation quotas already binding in adjacent clinical professions. And maintaining medical documentation is already listed among the veterinarian's core duties.</w:t>
      </w:r>
    </w:p>
    <w:p>
      <w:pPr>
        <w:pStyle w:val="BodyText"/>
      </w:pPr>
      <w:r>
        <w:rPr>
          <w:bCs/>
          <w:b/>
        </w:rPr>
        <w:t xml:space="preserve">Evidence against, and genuinely open.</w:t>
      </w:r>
      <w:r>
        <w:t xml:space="preserve"> </w:t>
      </w:r>
      <w:r>
        <w:t xml:space="preserve">No veterinary-specific localisation quota was found</w:t>
      </w:r>
      <w:r>
        <w:t xml:space="preserve"> </w:t>
      </w:r>
      <w:r>
        <w:rPr>
          <w:rStyle w:val="VerbatimChar"/>
        </w:rPr>
        <w:t xml:space="preserve">[U]</w:t>
      </w:r>
      <w:r>
        <w:t xml:space="preserve">.</w:t>
      </w:r>
      <w:r>
        <w:t xml:space="preserve"> </w:t>
      </w:r>
      <w:r>
        <w:rPr>
          <w:bCs/>
          <w:b/>
        </w:rPr>
        <w:t xml:space="preserve">The full text of MEWA's 29 conditions could not be retrieved</w:t>
      </w:r>
      <w:r>
        <w:t xml:space="preserve"> </w:t>
      </w:r>
      <w:r>
        <w:t xml:space="preserve">— the existence and count are sourced, the content is not, and this is the highest-value open item because it defines Compliance+'s actual scope.</w:t>
      </w:r>
      <w:r>
        <w:t xml:space="preserve"> </w:t>
      </w:r>
      <w:r>
        <w:rPr>
          <w:bCs/>
          <w:b/>
        </w:rPr>
        <w:t xml:space="preserve">No evidence was found that clinics currently pay anyone to solve compliance</w:t>
      </w:r>
      <w:r>
        <w:t xml:space="preserve"> </w:t>
      </w:r>
      <w:r>
        <w:t xml:space="preserve">— the burden is documented; the willingness to pay to remove it is inferred, not observed</w:t>
      </w:r>
      <w:r>
        <w:t xml:space="preserve"> </w:t>
      </w:r>
      <w:r>
        <w:rPr>
          <w:rStyle w:val="VerbatimChar"/>
        </w:rPr>
        <w:t xml:space="preserve">[U]</w:t>
      </w:r>
      <w:r>
        <w:t xml:space="preserve">. And current Saudi veterinary service pricing could not be sourced: the only itemised list found dates to 2005 and is unusable, so</w:t>
      </w:r>
      <w:r>
        <w:t xml:space="preserve"> </w:t>
      </w:r>
      <w:r>
        <w:rPr>
          <w:bCs/>
          <w:b/>
        </w:rPr>
        <w:t xml:space="preserve">clinic revenue per site is unmodelled.</w:t>
      </w:r>
    </w:p>
    <w:bookmarkEnd w:id="135"/>
    <w:bookmarkStart w:id="136" w:name="s98-insurance--horizon-not-phase-1"/>
    <w:p>
      <w:pPr>
        <w:pStyle w:val="Heading2"/>
      </w:pPr>
      <w:r>
        <w:t xml:space="preserve">S9.8 Insurance — horizon, not Phase 1</w:t>
      </w:r>
    </w:p>
    <w:p>
      <w:pPr>
        <w:pStyle w:val="FirstParagraph"/>
      </w:pPr>
      <w:r>
        <w:rPr>
          <w:bCs/>
          <w:b/>
        </w:rPr>
        <w:t xml:space="preserve">Verdict: the market exists and is regulated. As of 2026 it is real but embryonic. Correctly scoped as Phase 2+. Do not build for it in Phase 1; do preserve the data model that makes it cheap later.</w:t>
      </w:r>
    </w:p>
    <w:p>
      <w:pPr>
        <w:pStyle w:val="BodyText"/>
      </w:pPr>
      <w:r>
        <w:t xml:space="preserve">Companion-animal insurance now exists in the Kingdom: a licensed digital insurance agency has launched what is described as the only insurance product of its kind licensed by the Insurance Authority, covering cats and dogs across accident-only and accident-and-illness tiers, with</w:t>
      </w:r>
      <w:r>
        <w:t xml:space="preserve"> </w:t>
      </w:r>
      <w:r>
        <w:rPr>
          <w:bCs/>
          <w:b/>
        </w:rPr>
        <w:t xml:space="preserve">claims requiring a medical report, a photo of the pet and a vet invoice</w:t>
      </w:r>
      <w:r>
        <w:t xml:space="preserve">, submitted digitally. Complimentary microchipping and discounted partner-provider services indicate a</w:t>
      </w:r>
      <w:r>
        <w:t xml:space="preserve"> </w:t>
      </w:r>
      <w:r>
        <w:rPr>
          <w:bCs/>
          <w:b/>
        </w:rPr>
        <w:t xml:space="preserve">clinic network is already forming.</w:t>
      </w:r>
      <w:r>
        <w:t xml:space="preserve"> </w:t>
      </w:r>
      <w:r>
        <w:t xml:space="preserve">Underwriter, premiums, limits and in-force volumes are</w:t>
      </w:r>
      <w:r>
        <w:t xml:space="preserve"> </w:t>
      </w:r>
      <w:r>
        <w:rPr>
          <w:rStyle w:val="VerbatimChar"/>
        </w:rPr>
        <w:t xml:space="preserve">[EVIDENCE REQUIRED]</w:t>
      </w:r>
      <w:r>
        <w:t xml:space="preserve">.</w:t>
      </w:r>
    </w:p>
    <w:p>
      <w:pPr>
        <w:pStyle w:val="BodyText"/>
      </w:pPr>
      <w:r>
        <w:t xml:space="preserve">The regional reference market shows the structure that matters:</w:t>
      </w:r>
      <w:r>
        <w:t xml:space="preserve"> </w:t>
      </w:r>
      <w:r>
        <w:rPr>
          <w:bCs/>
          <w:b/>
        </w:rPr>
        <w:t xml:space="preserve">reimbursement is the norm and direct billing is rare</w:t>
      </w:r>
      <w:r>
        <w:t xml:space="preserve">; co-pays are typical; and the universal exclusion is</w:t>
      </w:r>
      <w:r>
        <w:t xml:space="preserve"> </w:t>
      </w:r>
      <w:r>
        <w:rPr>
          <w:bCs/>
          <w:b/>
        </w:rPr>
        <w:t xml:space="preserve">pre-existing conditions "even if only symptoms appear in the notes."</w:t>
      </w:r>
    </w:p>
    <w:p>
      <w:pPr>
        <w:pStyle w:val="BodyText"/>
      </w:pPr>
      <w:r>
        <w:rPr>
          <w:rStyle w:val="VerbatimChar"/>
          <w:bCs/>
          <w:b/>
        </w:rPr>
        <w:t xml:space="preserve">C-009</w:t>
      </w:r>
      <w:r>
        <w:rPr>
          <w:bCs/>
          <w:b/>
        </w:rPr>
        <w:t xml:space="preserve"> </w:t>
      </w:r>
      <w:r>
        <w:rPr>
          <w:bCs/>
          <w:b/>
        </w:rPr>
        <w:t xml:space="preserve">— That exclusion is the commercially important fact: the clinical record is the adjudication evidence. Whoever holds the timestamped, tamper-evident clinical history holds the thing the insurer needs.</w:t>
      </w:r>
    </w:p>
    <w:p>
      <w:pPr>
        <w:pStyle w:val="BodyText"/>
      </w:pPr>
      <w:r>
        <w:rPr>
          <w:bCs/>
          <w:b/>
        </w:rPr>
        <w:t xml:space="preserve">Preconditions, in dependency order:</w:t>
      </w:r>
      <w:r>
        <w:t xml:space="preserve"> </w:t>
      </w:r>
      <w:r>
        <w:t xml:space="preserve">an installed base of</w:t>
      </w:r>
      <w:r>
        <w:t xml:space="preserve"> </w:t>
      </w:r>
      <w:r>
        <w:rPr>
          <w:bCs/>
          <w:b/>
        </w:rPr>
        <w:t xml:space="preserve">≥ 50–75 sites</w:t>
      </w:r>
      <w:r>
        <w:t xml:space="preserve"> </w:t>
      </w:r>
      <w:r>
        <w:t xml:space="preserve">before any insurer will integrate ·</w:t>
      </w:r>
      <w:r>
        <w:t xml:space="preserve"> </w:t>
      </w:r>
      <w:r>
        <w:rPr>
          <w:bCs/>
          <w:b/>
        </w:rPr>
        <w:t xml:space="preserve">structured coded clinical data</w:t>
      </w:r>
      <w:r>
        <w:t xml:space="preserve">, because free text cannot be adjudicated against a pre-existing-condition exclusion ·</w:t>
      </w:r>
      <w:r>
        <w:t xml:space="preserve"> </w:t>
      </w:r>
      <w:r>
        <w:rPr>
          <w:bCs/>
          <w:b/>
        </w:rPr>
        <w:t xml:space="preserve">an immutable timestamped record with an audit trail</w:t>
      </w:r>
      <w:r>
        <w:t xml:space="preserve">, which establishes onset date, which is what disputes turn on ·</w:t>
      </w:r>
      <w:r>
        <w:t xml:space="preserve"> </w:t>
      </w:r>
      <w:r>
        <w:rPr>
          <w:bCs/>
          <w:b/>
        </w:rPr>
        <w:t xml:space="preserve">itemised invoices tied line-by-line to clinical events</w:t>
      </w:r>
      <w:r>
        <w:t xml:space="preserve"> </w:t>
      </w:r>
      <w:r>
        <w:t xml:space="preserve">·</w:t>
      </w:r>
      <w:r>
        <w:t xml:space="preserve"> </w:t>
      </w:r>
      <w:r>
        <w:rPr>
          <w:bCs/>
          <w:b/>
        </w:rPr>
        <w:t xml:space="preserve">microchip as the join key</w:t>
      </w:r>
      <w:r>
        <w:t xml:space="preserve"> </w:t>
      </w:r>
      <w:r>
        <w:t xml:space="preserve">between clinic record and policy · a lawful basis and consent capture for disclosing owner data to a third-party insurer · and a commercial route that today is</w:t>
      </w:r>
      <w:r>
        <w:t xml:space="preserve"> </w:t>
      </w:r>
      <w:r>
        <w:rPr>
          <w:bCs/>
          <w:b/>
        </w:rPr>
        <w:t xml:space="preserve">a market of one</w:t>
      </w:r>
      <w:r>
        <w:t xml:space="preserve">, which is concentration risk on any insurance-dependent revenue line and a further reason to keep it out of the Phase-1 business case entirely.</w:t>
      </w:r>
    </w:p>
    <w:p>
      <w:pPr>
        <w:pStyle w:val="BodyText"/>
      </w:pPr>
      <w:r>
        <w:rPr>
          <w:rStyle w:val="VerbatimChar"/>
          <w:bCs/>
          <w:b/>
        </w:rPr>
        <w:t xml:space="preserve">C-010</w:t>
      </w:r>
      <w:r>
        <w:rPr>
          <w:bCs/>
          <w:b/>
        </w:rPr>
        <w:t xml:space="preserve"> </w:t>
      </w:r>
      <w:r>
        <w:rPr>
          <w:bCs/>
          <w:b/>
        </w:rPr>
        <w:t xml:space="preserve">— Recommended Phase-1 action: none, beyond the coded problem list, the immutable record and the microchip key — all of which are good clinical-records practice regardless and cost nothing extra if decided now.</w:t>
      </w:r>
      <w:r>
        <w:t xml:space="preserve"> </w:t>
      </w:r>
      <w:r>
        <w:t xml:space="preserve">Revisit at 50+ sites.</w:t>
      </w:r>
    </w:p>
    <w:p>
      <w:r>
        <w:pict>
          <v:rect style="width:0;height:1.5pt" o:hralign="center" o:hrstd="t" o:hr="t"/>
        </w:pict>
      </w:r>
    </w:p>
    <w:bookmarkEnd w:id="136"/>
    <w:bookmarkEnd w:id="137"/>
    <w:bookmarkStart w:id="147" w:name="s10--risks-acceptance-and-ratification"/>
    <w:p>
      <w:pPr>
        <w:pStyle w:val="Heading1"/>
      </w:pPr>
      <w:r>
        <w:t xml:space="preserve">S10 · Risks, Acceptance and Ratification</w:t>
      </w:r>
    </w:p>
    <w:bookmarkStart w:id="138" w:name="Xb48a69c9771c4b62be60ade1bc5cb4a66d82836"/>
    <w:p>
      <w:pPr>
        <w:pStyle w:val="Heading2"/>
      </w:pPr>
      <w:r>
        <w:t xml:space="preserve">S10.1 The two-gate framework, re-authored under this document's authority</w:t>
      </w:r>
    </w:p>
    <w:p>
      <w:pPr>
        <w:pStyle w:val="FirstParagraph"/>
      </w:pPr>
      <w:r>
        <w:t xml:space="preserve">The two-gate framework is the estate's single most important analytical correction. Its stated derivation is</w:t>
      </w:r>
      <w:r>
        <w:t xml:space="preserve"> </w:t>
      </w:r>
      <w:r>
        <w:rPr>
          <w:rStyle w:val="VerbatimChar"/>
        </w:rPr>
        <w:t xml:space="preserve">MPP-MVC-RECON-001 V1.0</w:t>
      </w:r>
      <w:r>
        <w:t xml:space="preserve">, which cannot be produced (§S1.5).</w:t>
      </w:r>
      <w:r>
        <w:t xml:space="preserve"> </w:t>
      </w:r>
      <w:r>
        <w:rPr>
          <w:bCs/>
          <w:b/>
        </w:rPr>
        <w:t xml:space="preserve">It is therefore restated here under this document's own authority rather than cited to an unproducible parent.</w:t>
      </w:r>
    </w:p>
    <w:p>
      <w:pPr>
        <w:pStyle w:val="BodyText"/>
      </w:pPr>
      <w:r>
        <w:rPr>
          <w:rStyle w:val="VerbatimChar"/>
          <w:bCs/>
          <w:b/>
        </w:rPr>
        <w:t xml:space="preserve">A-001</w:t>
      </w:r>
      <w:r>
        <w:rPr>
          <w:bCs/>
          <w:b/>
        </w:rPr>
        <w:t xml:space="preserve"> </w:t>
      </w:r>
      <w:r>
        <w:rPr>
          <w:bCs/>
          <w:b/>
        </w:rPr>
        <w:t xml:space="preserve">— MyVetiCare readiness is measured by two distinct gate frameworks that must never be conflated.</w:t>
      </w:r>
    </w:p>
    <w:p>
      <w:pPr>
        <w:numPr>
          <w:ilvl w:val="0"/>
          <w:numId w:val="1011"/>
        </w:numPr>
        <w:pStyle w:val="Compact"/>
      </w:pPr>
      <w:r>
        <w:rPr>
          <w:bCs/>
          <w:b/>
        </w:rPr>
        <w:t xml:space="preserve">Engineering / runtime gates</w:t>
      </w:r>
      <w:r>
        <w:t xml:space="preserve"> </w:t>
      </w:r>
      <w:r>
        <w:t xml:space="preserve">measure platform build maturity.</w:t>
      </w:r>
    </w:p>
    <w:p>
      <w:pPr>
        <w:numPr>
          <w:ilvl w:val="0"/>
          <w:numId w:val="1011"/>
        </w:numPr>
        <w:pStyle w:val="Compact"/>
      </w:pPr>
      <w:r>
        <w:rPr>
          <w:bCs/>
          <w:b/>
        </w:rPr>
        <w:t xml:space="preserve">Commercial / charter gates</w:t>
      </w:r>
      <w:r>
        <w:t xml:space="preserve"> </w:t>
      </w:r>
      <w:r>
        <w:t xml:space="preserve">measure "live and public" readiness.</w:t>
      </w:r>
    </w:p>
    <w:p>
      <w:pPr>
        <w:pStyle w:val="FirstParagraph"/>
      </w:pPr>
      <w:r>
        <w:rPr>
          <w:rStyle w:val="VerbatimChar"/>
          <w:bCs/>
          <w:b/>
        </w:rPr>
        <w:t xml:space="preserve">A-002</w:t>
      </w:r>
      <w:r>
        <w:rPr>
          <w:bCs/>
          <w:b/>
        </w:rPr>
        <w:t xml:space="preserve"> </w:t>
      </w:r>
      <w:r>
        <w:rPr>
          <w:bCs/>
          <w:b/>
        </w:rPr>
        <w:t xml:space="preserve">— Neither framework may be reported as the platform's readiness. Both are reported, always, side by side.</w:t>
      </w:r>
      <w:r>
        <w:t xml:space="preserve"> </w:t>
      </w:r>
      <w:r>
        <w:t xml:space="preserve">The Control Tower's 90% / HEALTHY / Go-Live-Approved reading was produced precisely by rendering the first half and reporting it as portfolio health.</w:t>
      </w:r>
    </w:p>
    <w:p>
      <w:pPr>
        <w:pStyle w:val="BodyText"/>
      </w:pPr>
      <w:r>
        <w:rPr>
          <w:rStyle w:val="VerbatimChar"/>
          <w:bCs/>
          <w:b/>
        </w:rPr>
        <w:t xml:space="preserve">A-003</w:t>
      </w:r>
      <w:r>
        <w:rPr>
          <w:bCs/>
          <w:b/>
        </w:rPr>
        <w:t xml:space="preserve"> </w:t>
      </w:r>
      <w:r>
        <w:rPr>
          <w:bCs/>
          <w:b/>
        </w:rPr>
        <w:t xml:space="preserve">— The canonical posture statement is a single sentence and both halves are mandatory:</w:t>
      </w:r>
      <w:r>
        <w:t xml:space="preserve"> </w:t>
      </w:r>
      <w:r>
        <w:rPr>
          <w:iCs/>
          <w:i/>
        </w:rPr>
        <w:t xml:space="preserve">"engineering-mature but commercially-ungated."</w:t>
      </w:r>
    </w:p>
    <w:bookmarkEnd w:id="138"/>
    <w:bookmarkStart w:id="139" w:name="s102-acceptance--four-levels"/>
    <w:p>
      <w:pPr>
        <w:pStyle w:val="Heading2"/>
      </w:pPr>
      <w:r>
        <w:t xml:space="preserve">S10.2 Acceptance — four levels</w:t>
      </w:r>
    </w:p>
    <w:p>
      <w:pPr>
        <w:pStyle w:val="FirstParagraph"/>
      </w:pPr>
      <w:r>
        <w:t xml:space="preserve">Levels 1–3 are the estate's existing structural, behavioural and operational acceptance.</w:t>
      </w:r>
      <w:r>
        <w:t xml:space="preserve"> </w:t>
      </w:r>
      <w:r>
        <w:rPr>
          <w:bCs/>
          <w:b/>
        </w:rPr>
        <w:t xml:space="preserve">Level 4 is the one both legacy candidates lack, and the one that decides whether this document was worth writing.</w:t>
      </w:r>
    </w:p>
    <w:p>
      <w:pPr>
        <w:pStyle w:val="BodyText"/>
      </w:pPr>
      <w:r>
        <w:rPr>
          <w:rStyle w:val="VerbatimChar"/>
          <w:bCs/>
          <w:b/>
        </w:rPr>
        <w:t xml:space="preserve">A-004</w:t>
      </w:r>
      <w:r>
        <w:rPr>
          <w:bCs/>
          <w:b/>
        </w:rPr>
        <w:t xml:space="preserve"> </w:t>
      </w:r>
      <w:r>
        <w:rPr>
          <w:bCs/>
          <w:b/>
        </w:rPr>
        <w:t xml:space="preserve">— Level 4: Product Outcome Acceptance.</w:t>
      </w:r>
    </w:p>
    <w:p>
      <w:pPr>
        <w:pStyle w:val="BlockText"/>
      </w:pPr>
      <w:r>
        <w:rPr>
          <w:bCs/>
          <w:b/>
        </w:rPr>
        <w:t xml:space="preserve">A clinic principal can, without assistance and without leaving the platform, produce their current compliance position, see which obligations are unmet and why it matters, view the evidence behind each, and identify the single highest-priority action to improve it.</w:t>
      </w:r>
    </w:p>
    <w:p>
      <w:pPr>
        <w:pStyle w:val="BlockText"/>
      </w:pPr>
      <w:r>
        <w:rPr>
          <w:bCs/>
          <w:b/>
        </w:rPr>
        <w:t xml:space="preserve">An attending veterinarian, at the moment of prescribing, is shown the patient's relevant history and any species- or weight-related contraindication, and retains and is recorded as holding the decision.</w:t>
      </w:r>
    </w:p>
    <w:p>
      <w:pPr>
        <w:pStyle w:val="FirstParagraph"/>
      </w:pPr>
      <w:r>
        <w:rPr>
          <w:bCs/>
          <w:b/>
        </w:rPr>
        <w:t xml:space="preserve">If the platform passes levels 1–3 and fails level 4, it has not delivered.</w:t>
      </w:r>
      <w:r>
        <w:t xml:space="preserve"> </w:t>
      </w:r>
      <w:r>
        <w:t xml:space="preserve">This is the acceptance level that would have prevented "Go-Live Authorization: Approved" on a system running three in-memory seed accounts.</w:t>
      </w:r>
    </w:p>
    <w:bookmarkEnd w:id="139"/>
    <w:bookmarkStart w:id="143" w:name="s103-go-live-acceptance-criteria"/>
    <w:p>
      <w:pPr>
        <w:pStyle w:val="Heading2"/>
      </w:pPr>
      <w:r>
        <w:t xml:space="preserve">S10.3 Go-live acceptance criteria</w:t>
      </w:r>
    </w:p>
    <w:p>
      <w:pPr>
        <w:pStyle w:val="FirstParagraph"/>
      </w:pPr>
      <w:r>
        <w:rPr>
          <w:rStyle w:val="VerbatimChar"/>
          <w:bCs/>
          <w:b/>
        </w:rPr>
        <w:t xml:space="preserve">A-005</w:t>
      </w:r>
      <w:r>
        <w:rPr>
          <w:bCs/>
          <w:b/>
        </w:rPr>
        <w:t xml:space="preserve"> </w:t>
      </w:r>
      <w:r>
        <w:rPr>
          <w:bCs/>
          <w:b/>
        </w:rPr>
        <w:t xml:space="preserve">— A percentage readiness score is rejected as a go-live instrument.</w:t>
      </w:r>
      <w:r>
        <w:t xml:space="preserve"> </w:t>
      </w:r>
      <w:r>
        <w:rPr>
          <w:iCs/>
          <w:i/>
        </w:rPr>
        <w:t xml:space="preserve">43% pre-market</w:t>
      </w:r>
      <w:r>
        <w:t xml:space="preserve"> </w:t>
      </w:r>
      <w:r>
        <w:t xml:space="preserve">told nobody which door was locked. It is replaced by</w:t>
      </w:r>
      <w:r>
        <w:t xml:space="preserve"> </w:t>
      </w:r>
      <w:r>
        <w:rPr>
          <w:bCs/>
          <w:b/>
        </w:rPr>
        <w:t xml:space="preserve">binary P0 gates, all of which must pass, plus P1 criteria which must each be individually accepted or waived by a named person with a date.</w:t>
      </w:r>
    </w:p>
    <w:bookmarkStart w:id="140" w:name="X654c7b72a79fd7c92870149c9364cb395c31ae1"/>
    <w:p>
      <w:pPr>
        <w:pStyle w:val="Heading3"/>
      </w:pPr>
      <w:r>
        <w:t xml:space="preserve">P0 — any single failure blocks authorisation</w:t>
      </w:r>
    </w:p>
    <w:p>
      <w:pPr>
        <w:pStyle w:val="FirstParagraph"/>
      </w:pPr>
      <w:r>
        <w:rPr>
          <w:bCs/>
          <w:b/>
        </w:rPr>
        <w:t xml:space="preserve">Access and the front door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Measured</w:t>
            </w:r>
          </w:p>
        </w:tc>
      </w:tr>
      <w:tr>
        <w:tc>
          <w:tcPr/>
          <w:p>
            <w:pPr>
              <w:pStyle w:val="Compact"/>
              <w:jc w:val="left"/>
            </w:pPr>
            <w:r>
              <w:rPr>
                <w:rStyle w:val="VerbatimChar"/>
              </w:rPr>
              <w:t xml:space="preserve">A-101</w:t>
            </w:r>
          </w:p>
        </w:tc>
        <w:tc>
          <w:tcPr/>
          <w:p>
            <w:pPr>
              <w:pStyle w:val="Compact"/>
              <w:jc w:val="left"/>
            </w:pPr>
            <w:r>
              <w:rPr>
                <w:bCs/>
                <w:b/>
              </w:rPr>
              <w:t xml:space="preserve">No closed door.</w:t>
            </w:r>
            <w:r>
              <w:t xml:space="preserve"> </w:t>
            </w:r>
            <w:r>
              <w:t xml:space="preserve">A prospective principal who has never spoken to Maqaleed reaches a working provisional workspace and completes a simulated consultation, unaided, from a public page</w:t>
            </w:r>
          </w:p>
        </w:tc>
        <w:tc>
          <w:tcPr/>
          <w:p>
            <w:pPr>
              <w:pStyle w:val="Compact"/>
              <w:jc w:val="left"/>
            </w:pPr>
            <w:r>
              <w:t xml:space="preserve">5 of 5 unaided attempts</w:t>
            </w:r>
          </w:p>
        </w:tc>
      </w:tr>
      <w:tr>
        <w:tc>
          <w:tcPr/>
          <w:p>
            <w:pPr>
              <w:pStyle w:val="Compact"/>
              <w:jc w:val="left"/>
            </w:pPr>
            <w:r>
              <w:rPr>
                <w:rStyle w:val="VerbatimChar"/>
              </w:rPr>
              <w:t xml:space="preserve">A-102</w:t>
            </w:r>
          </w:p>
        </w:tc>
        <w:tc>
          <w:tcPr/>
          <w:p>
            <w:pPr>
              <w:pStyle w:val="Compact"/>
              <w:jc w:val="left"/>
            </w:pPr>
            <w:r>
              <w:rPr>
                <w:bCs/>
                <w:b/>
              </w:rPr>
              <w:t xml:space="preserve">Unaided first patient.</w:t>
            </w:r>
            <w:r>
              <w:t xml:space="preserve"> </w:t>
            </w:r>
            <w:r>
              <w:t xml:space="preserve">A principal who has never seen the product records, attests and invoices a real patient without contacting support</w:t>
            </w:r>
          </w:p>
        </w:tc>
        <w:tc>
          <w:tcPr/>
          <w:p>
            <w:pPr>
              <w:pStyle w:val="Compact"/>
              <w:jc w:val="left"/>
            </w:pPr>
            <w:r>
              <w:t xml:space="preserve">3 of 3 design-partner clinics</w:t>
            </w:r>
          </w:p>
        </w:tc>
      </w:tr>
    </w:tbl>
    <w:p>
      <w:pPr>
        <w:pStyle w:val="BodyText"/>
      </w:pPr>
      <w:r>
        <w:rPr>
          <w:bCs/>
          <w:b/>
        </w:rPr>
        <w:t xml:space="preserve">Arabic-first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Measured</w:t>
            </w:r>
          </w:p>
        </w:tc>
      </w:tr>
      <w:tr>
        <w:tc>
          <w:tcPr/>
          <w:p>
            <w:pPr>
              <w:pStyle w:val="Compact"/>
              <w:jc w:val="left"/>
            </w:pPr>
            <w:r>
              <w:rPr>
                <w:rStyle w:val="VerbatimChar"/>
              </w:rPr>
              <w:t xml:space="preserve">A-103</w:t>
            </w:r>
          </w:p>
        </w:tc>
        <w:tc>
          <w:tcPr/>
          <w:p>
            <w:pPr>
              <w:pStyle w:val="Compact"/>
              <w:jc w:val="left"/>
            </w:pPr>
            <w:r>
              <w:t xml:space="preserve">The §S4.5 bidirectional corpus renders correctly in app, print, PDF, SMS and on the ZATCA invoice, in both locales</w:t>
            </w:r>
          </w:p>
        </w:tc>
        <w:tc>
          <w:tcPr/>
          <w:p>
            <w:pPr>
              <w:pStyle w:val="Compact"/>
              <w:jc w:val="left"/>
            </w:pPr>
            <w:r>
              <w:rPr>
                <w:bCs/>
                <w:b/>
              </w:rPr>
              <w:t xml:space="preserve">Zero defects</w:t>
            </w:r>
          </w:p>
        </w:tc>
      </w:tr>
      <w:tr>
        <w:tc>
          <w:tcPr/>
          <w:p>
            <w:pPr>
              <w:pStyle w:val="Compact"/>
              <w:jc w:val="left"/>
            </w:pPr>
            <w:r>
              <w:rPr>
                <w:rStyle w:val="VerbatimChar"/>
              </w:rPr>
              <w:t xml:space="preserve">A-104</w:t>
            </w:r>
          </w:p>
        </w:tc>
        <w:tc>
          <w:tcPr/>
          <w:p>
            <w:pPr>
              <w:pStyle w:val="Compact"/>
              <w:jc w:val="left"/>
            </w:pPr>
            <w:r>
              <w:t xml:space="preserve">No Hindi-Arabic codepoints in any clinical or financial value in any output surface</w:t>
            </w:r>
          </w:p>
        </w:tc>
        <w:tc>
          <w:tcPr/>
          <w:p>
            <w:pPr>
              <w:pStyle w:val="Compact"/>
              <w:jc w:val="left"/>
            </w:pPr>
            <w:r>
              <w:t xml:space="preserve">Zero</w:t>
            </w:r>
          </w:p>
        </w:tc>
      </w:tr>
      <w:tr>
        <w:tc>
          <w:tcPr/>
          <w:p>
            <w:pPr>
              <w:pStyle w:val="Compact"/>
              <w:jc w:val="left"/>
            </w:pPr>
            <w:r>
              <w:rPr>
                <w:rStyle w:val="VerbatimChar"/>
              </w:rPr>
              <w:t xml:space="preserve">A-105</w:t>
            </w:r>
          </w:p>
        </w:tc>
        <w:tc>
          <w:tcPr/>
          <w:p>
            <w:pPr>
              <w:pStyle w:val="Compact"/>
              <w:jc w:val="left"/>
            </w:pPr>
            <w:r>
              <w:t xml:space="preserve">Every regulatory artefact carries Gregorian and Umm al-Qura dates that agree across app, PDF and message</w:t>
            </w:r>
          </w:p>
        </w:tc>
        <w:tc>
          <w:tcPr/>
          <w:p>
            <w:pPr>
              <w:pStyle w:val="Compact"/>
              <w:jc w:val="left"/>
            </w:pPr>
            <w:r>
              <w:t xml:space="preserve">100%</w:t>
            </w:r>
          </w:p>
        </w:tc>
      </w:tr>
      <w:tr>
        <w:tc>
          <w:tcPr/>
          <w:p>
            <w:pPr>
              <w:pStyle w:val="Compact"/>
              <w:jc w:val="left"/>
            </w:pPr>
            <w:r>
              <w:rPr>
                <w:rStyle w:val="VerbatimChar"/>
              </w:rPr>
              <w:t xml:space="preserve">A-106</w:t>
            </w:r>
          </w:p>
        </w:tc>
        <w:tc>
          <w:tcPr/>
          <w:p>
            <w:pPr>
              <w:pStyle w:val="Compact"/>
              <w:jc w:val="left"/>
            </w:pPr>
            <w:r>
              <w:rPr>
                <w:bCs/>
                <w:b/>
              </w:rPr>
              <w:t xml:space="preserve">Native comprehension.</w:t>
            </w:r>
            <w:r>
              <w:t xml:space="preserve"> </w:t>
            </w:r>
            <w:r>
              <w:t xml:space="preserve">A native Arabic-speaking veterinary nurse who did not author it reads back a dispensing label and a post-visit summary with zero clinical errors</w:t>
            </w:r>
          </w:p>
        </w:tc>
        <w:tc>
          <w:tcPr/>
          <w:p>
            <w:pPr>
              <w:pStyle w:val="Compact"/>
              <w:jc w:val="left"/>
            </w:pPr>
            <w:r>
              <w:t xml:space="preserve">n ≥ 10 records, 3 readers</w:t>
            </w:r>
          </w:p>
        </w:tc>
      </w:tr>
      <w:tr>
        <w:tc>
          <w:tcPr/>
          <w:p>
            <w:pPr>
              <w:pStyle w:val="Compact"/>
              <w:jc w:val="left"/>
            </w:pPr>
            <w:r>
              <w:rPr>
                <w:rStyle w:val="VerbatimChar"/>
              </w:rPr>
              <w:t xml:space="preserve">A-107</w:t>
            </w:r>
          </w:p>
        </w:tc>
        <w:tc>
          <w:tcPr/>
          <w:p>
            <w:pPr>
              <w:pStyle w:val="Compact"/>
              <w:jc w:val="left"/>
            </w:pPr>
            <w:r>
              <w:t xml:space="preserve">Mixed-script findability passes from both keyboard layouts</w:t>
            </w:r>
          </w:p>
        </w:tc>
        <w:tc>
          <w:tcPr/>
          <w:p>
            <w:pPr>
              <w:pStyle w:val="Compact"/>
              <w:jc w:val="left"/>
            </w:pPr>
            <w:r>
              <w:t xml:space="preserve">Every P0 search case</w:t>
            </w:r>
          </w:p>
        </w:tc>
      </w:tr>
      <w:tr>
        <w:tc>
          <w:tcPr/>
          <w:p>
            <w:pPr>
              <w:pStyle w:val="Compact"/>
              <w:jc w:val="left"/>
            </w:pPr>
            <w:r>
              <w:rPr>
                <w:rStyle w:val="VerbatimChar"/>
              </w:rPr>
              <w:t xml:space="preserve">A-108</w:t>
            </w:r>
          </w:p>
        </w:tc>
        <w:tc>
          <w:tcPr/>
          <w:p>
            <w:pPr>
              <w:pStyle w:val="Compact"/>
              <w:jc w:val="left"/>
            </w:pPr>
            <w:r>
              <w:t xml:space="preserve">RTL/LTR screenshot parity, with every difference on the documented exception list</w:t>
            </w:r>
          </w:p>
        </w:tc>
        <w:tc>
          <w:tcPr/>
          <w:p>
            <w:pPr>
              <w:pStyle w:val="Compact"/>
              <w:jc w:val="left"/>
            </w:pPr>
            <w:r>
              <w:t xml:space="preserve">Zero undocumented mirroring defects</w:t>
            </w:r>
          </w:p>
        </w:tc>
      </w:tr>
      <w:tr>
        <w:tc>
          <w:tcPr/>
          <w:p>
            <w:pPr>
              <w:pStyle w:val="Compact"/>
              <w:jc w:val="left"/>
            </w:pPr>
            <w:r>
              <w:rPr>
                <w:rStyle w:val="VerbatimChar"/>
              </w:rPr>
              <w:t xml:space="preserve">A-109</w:t>
            </w:r>
          </w:p>
        </w:tc>
        <w:tc>
          <w:tcPr/>
          <w:p>
            <w:pPr>
              <w:pStyle w:val="Compact"/>
              <w:jc w:val="left"/>
            </w:pPr>
            <w:r>
              <w:rPr>
                <w:bCs/>
                <w:b/>
              </w:rPr>
              <w:t xml:space="preserve">Zero open P0/P1 defects that reproduce in Arabic but not in English</w:t>
            </w:r>
          </w:p>
        </w:tc>
        <w:tc>
          <w:tcPr/>
          <w:p>
            <w:pPr>
              <w:pStyle w:val="Compact"/>
              <w:jc w:val="left"/>
            </w:pPr>
            <w:r>
              <w:t xml:space="preserve">Zero</w:t>
            </w:r>
          </w:p>
        </w:tc>
      </w:tr>
    </w:tbl>
    <w:p>
      <w:pPr>
        <w:pStyle w:val="BodyText"/>
      </w:pPr>
      <w:r>
        <w:rPr>
          <w:bCs/>
          <w:b/>
        </w:rPr>
        <w:t xml:space="preserve">Statutory duties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Measured</w:t>
            </w:r>
          </w:p>
        </w:tc>
      </w:tr>
      <w:tr>
        <w:tc>
          <w:tcPr/>
          <w:p>
            <w:pPr>
              <w:pStyle w:val="Compact"/>
              <w:jc w:val="left"/>
            </w:pPr>
            <w:r>
              <w:rPr>
                <w:rStyle w:val="VerbatimChar"/>
              </w:rPr>
              <w:t xml:space="preserve">A-110</w:t>
            </w:r>
          </w:p>
        </w:tc>
        <w:tc>
          <w:tcPr/>
          <w:p>
            <w:pPr>
              <w:pStyle w:val="Compact"/>
              <w:jc w:val="left"/>
            </w:pPr>
            <w:r>
              <w:t xml:space="preserve">The notifiable clock is visible to every user on every screen, cannot be dismissed, survives restart and offline, and discharges only on captured proof-of-report or an attested rule-out</w:t>
            </w:r>
          </w:p>
        </w:tc>
        <w:tc>
          <w:tcPr/>
          <w:p>
            <w:pPr>
              <w:pStyle w:val="Compact"/>
              <w:jc w:val="left"/>
            </w:pPr>
            <w:r>
              <w:t xml:space="preserve">Verified through a full offline→online cycle</w:t>
            </w:r>
          </w:p>
        </w:tc>
      </w:tr>
      <w:tr>
        <w:tc>
          <w:tcPr/>
          <w:p>
            <w:pPr>
              <w:pStyle w:val="Compact"/>
              <w:jc w:val="left"/>
            </w:pPr>
            <w:r>
              <w:rPr>
                <w:rStyle w:val="VerbatimChar"/>
              </w:rPr>
              <w:t xml:space="preserve">A-111</w:t>
            </w:r>
          </w:p>
        </w:tc>
        <w:tc>
          <w:tcPr/>
          <w:p>
            <w:pPr>
              <w:pStyle w:val="Compact"/>
              <w:jc w:val="left"/>
            </w:pPr>
            <w:r>
              <w:t xml:space="preserve">A generated notifiable report contains owner name and address in Arabic, and case closure is blocked while the report is outstanding</w:t>
            </w:r>
          </w:p>
        </w:tc>
        <w:tc>
          <w:tcPr/>
          <w:p>
            <w:pPr>
              <w:pStyle w:val="Compact"/>
              <w:jc w:val="left"/>
            </w:pPr>
            <w:r>
              <w:t xml:space="preserve">Zero cases closable with an undischarged clock</w:t>
            </w:r>
          </w:p>
        </w:tc>
      </w:tr>
      <w:tr>
        <w:tc>
          <w:tcPr/>
          <w:p>
            <w:pPr>
              <w:pStyle w:val="Compact"/>
              <w:jc w:val="left"/>
            </w:pPr>
            <w:r>
              <w:rPr>
                <w:rStyle w:val="VerbatimChar"/>
              </w:rPr>
              <w:t xml:space="preserve">A-112</w:t>
            </w:r>
          </w:p>
        </w:tc>
        <w:tc>
          <w:tcPr/>
          <w:p>
            <w:pPr>
              <w:pStyle w:val="Compact"/>
              <w:jc w:val="left"/>
            </w:pPr>
            <w:r>
              <w:rPr>
                <w:bCs/>
                <w:b/>
              </w:rPr>
              <w:t xml:space="preserve">Remote prescribing of restricted classes without a recorded physical examination is impossible through every entry point</w:t>
            </w:r>
          </w:p>
        </w:tc>
        <w:tc>
          <w:tcPr/>
          <w:p>
            <w:pPr>
              <w:pStyle w:val="Compact"/>
              <w:jc w:val="left"/>
            </w:pPr>
            <w:r>
              <w:t xml:space="preserve">Attempted adversarially through ≥ 6 distinct paths</w:t>
            </w:r>
          </w:p>
        </w:tc>
      </w:tr>
      <w:tr>
        <w:tc>
          <w:tcPr/>
          <w:p>
            <w:pPr>
              <w:pStyle w:val="Compact"/>
              <w:jc w:val="left"/>
            </w:pPr>
            <w:r>
              <w:rPr>
                <w:rStyle w:val="VerbatimChar"/>
              </w:rPr>
              <w:t xml:space="preserve">A-113</w:t>
            </w:r>
          </w:p>
        </w:tc>
        <w:tc>
          <w:tcPr/>
          <w:p>
            <w:pPr>
              <w:pStyle w:val="Compact"/>
              <w:jc w:val="left"/>
            </w:pPr>
            <w:r>
              <w:t xml:space="preserve">A remote encounter cannot open without a named contactable in-date escalation provider, and cannot be attested without a recorded escalation route</w:t>
            </w:r>
          </w:p>
        </w:tc>
        <w:tc>
          <w:tcPr/>
          <w:p>
            <w:pPr>
              <w:pStyle w:val="Compact"/>
              <w:jc w:val="left"/>
            </w:pPr>
            <w:r>
              <w:t xml:space="preserve">100%</w:t>
            </w:r>
          </w:p>
        </w:tc>
      </w:tr>
      <w:tr>
        <w:tc>
          <w:tcPr/>
          <w:p>
            <w:pPr>
              <w:pStyle w:val="Compact"/>
              <w:jc w:val="left"/>
            </w:pPr>
            <w:r>
              <w:rPr>
                <w:rStyle w:val="VerbatimChar"/>
              </w:rPr>
              <w:t xml:space="preserve">A-114</w:t>
            </w:r>
          </w:p>
        </w:tc>
        <w:tc>
          <w:tcPr/>
          <w:p>
            <w:pPr>
              <w:pStyle w:val="Compact"/>
              <w:jc w:val="left"/>
            </w:pPr>
            <w:r>
              <w:rPr>
                <w:bCs/>
                <w:b/>
              </w:rPr>
              <w:t xml:space="preserve">Every attested record and every prescription carries a named practitioner with a licence verified in-date</w:t>
            </w:r>
            <w:r>
              <w:rPr>
                <w:bCs/>
                <w:b/>
              </w:rPr>
              <w:t xml:space="preserve"> </w:t>
            </w:r>
            <w:r>
              <w:rPr>
                <w:iCs/>
                <w:i/>
                <w:bCs/>
                <w:b/>
              </w:rPr>
              <w:t xml:space="preserve">at the moment of attestation</w:t>
            </w:r>
          </w:p>
        </w:tc>
        <w:tc>
          <w:tcPr/>
          <w:p>
            <w:pPr>
              <w:pStyle w:val="Compact"/>
              <w:jc w:val="left"/>
            </w:pPr>
            <w:r>
              <w:t xml:space="preserve">Zero records without one</w:t>
            </w:r>
          </w:p>
        </w:tc>
      </w:tr>
    </w:tbl>
    <w:p>
      <w:pPr>
        <w:pStyle w:val="BodyText"/>
      </w:pPr>
      <w:r>
        <w:rPr>
          <w:bCs/>
          <w:b/>
        </w:rPr>
        <w:t xml:space="preserve">ZATCA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Measured</w:t>
            </w:r>
          </w:p>
        </w:tc>
      </w:tr>
      <w:tr>
        <w:tc>
          <w:tcPr/>
          <w:p>
            <w:pPr>
              <w:pStyle w:val="Compact"/>
              <w:jc w:val="left"/>
            </w:pPr>
            <w:r>
              <w:rPr>
                <w:rStyle w:val="VerbatimChar"/>
              </w:rPr>
              <w:t xml:space="preserve">A-115</w:t>
            </w:r>
          </w:p>
        </w:tc>
        <w:tc>
          <w:tcPr/>
          <w:p>
            <w:pPr>
              <w:pStyle w:val="Compact"/>
              <w:jc w:val="left"/>
            </w:pPr>
            <w:r>
              <w:t xml:space="preserve">Reception issues a compliant simplified invoice with correct QR contents within</w:t>
            </w:r>
            <w:r>
              <w:t xml:space="preserve"> </w:t>
            </w:r>
            <w:r>
              <w:rPr>
                <w:bCs/>
                <w:b/>
              </w:rPr>
              <w:t xml:space="preserve">5 seconds</w:t>
            </w:r>
            <w:r>
              <w:t xml:space="preserve"> </w:t>
            </w:r>
            <w:r>
              <w:t xml:space="preserve">of tapping payment, at p95, on the clinic's real network</w:t>
            </w:r>
          </w:p>
        </w:tc>
        <w:tc>
          <w:tcPr/>
          <w:p>
            <w:pPr>
              <w:pStyle w:val="Compact"/>
              <w:jc w:val="left"/>
            </w:pPr>
            <w:r>
              <w:t xml:space="preserve">100 consecutive transactions</w:t>
            </w:r>
          </w:p>
        </w:tc>
      </w:tr>
      <w:tr>
        <w:tc>
          <w:tcPr/>
          <w:p>
            <w:pPr>
              <w:pStyle w:val="Compact"/>
              <w:jc w:val="left"/>
            </w:pPr>
            <w:r>
              <w:rPr>
                <w:rStyle w:val="VerbatimChar"/>
              </w:rPr>
              <w:t xml:space="preserve">A-116</w:t>
            </w:r>
          </w:p>
        </w:tc>
        <w:tc>
          <w:tcPr/>
          <w:p>
            <w:pPr>
              <w:pStyle w:val="Compact"/>
              <w:jc w:val="left"/>
            </w:pPr>
            <w:r>
              <w:t xml:space="preserve">Across 200 invoices spanning ≥ 3 devices and ≥ 2 offline periods, counter and hash chains are unbroken and unforked, and every simplified invoice reports within 24 hours</w:t>
            </w:r>
          </w:p>
        </w:tc>
        <w:tc>
          <w:tcPr/>
          <w:p>
            <w:pPr>
              <w:pStyle w:val="Compact"/>
              <w:jc w:val="left"/>
            </w:pPr>
            <w:r>
              <w:rPr>
                <w:bCs/>
                <w:b/>
              </w:rPr>
              <w:t xml:space="preserve">Zero exceptions</w:t>
            </w:r>
          </w:p>
        </w:tc>
      </w:tr>
      <w:tr>
        <w:tc>
          <w:tcPr/>
          <w:p>
            <w:pPr>
              <w:pStyle w:val="Compact"/>
              <w:jc w:val="left"/>
            </w:pPr>
            <w:r>
              <w:rPr>
                <w:rStyle w:val="VerbatimChar"/>
              </w:rPr>
              <w:t xml:space="preserve">A-117</w:t>
            </w:r>
          </w:p>
        </w:tc>
        <w:tc>
          <w:tcPr/>
          <w:p>
            <w:pPr>
              <w:pStyle w:val="Compact"/>
              <w:jc w:val="left"/>
            </w:pPr>
            <w:r>
              <w:rPr>
                <w:bCs/>
                <w:b/>
              </w:rPr>
              <w:t xml:space="preserve">When clearance is unavailable, it is impossible to produce anything a customer could mistake for a tax invoice</w:t>
            </w:r>
          </w:p>
        </w:tc>
        <w:tc>
          <w:tcPr/>
          <w:p>
            <w:pPr>
              <w:pStyle w:val="Compact"/>
              <w:jc w:val="left"/>
            </w:pPr>
            <w:r>
              <w:t xml:space="preserve">Adversarial test</w:t>
            </w:r>
          </w:p>
        </w:tc>
      </w:tr>
    </w:tbl>
    <w:p>
      <w:pPr>
        <w:pStyle w:val="BodyText"/>
      </w:pPr>
      <w:r>
        <w:rPr>
          <w:bCs/>
          <w:b/>
        </w:rPr>
        <w:t xml:space="preserve">The principal's journey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Measured</w:t>
            </w:r>
          </w:p>
        </w:tc>
      </w:tr>
      <w:tr>
        <w:tc>
          <w:tcPr/>
          <w:p>
            <w:pPr>
              <w:pStyle w:val="Compact"/>
              <w:jc w:val="left"/>
            </w:pPr>
            <w:r>
              <w:rPr>
                <w:rStyle w:val="VerbatimChar"/>
              </w:rPr>
              <w:t xml:space="preserve">A-118</w:t>
            </w:r>
          </w:p>
        </w:tc>
        <w:tc>
          <w:tcPr/>
          <w:p>
            <w:pPr>
              <w:pStyle w:val="Compact"/>
              <w:jc w:val="left"/>
            </w:pPr>
            <w:r>
              <w:t xml:space="preserve">A principal, on a phone, with no notice and no help, produces a complete bilingual evidence pack in</w:t>
            </w:r>
            <w:r>
              <w:t xml:space="preserve"> </w:t>
            </w:r>
            <w:r>
              <w:rPr>
                <w:bCs/>
                <w:b/>
              </w:rPr>
              <w:t xml:space="preserve">≤ 10 minutes</w:t>
            </w:r>
            <w:r>
              <w:t xml:space="preserve">, and a targeted answer to a single inspector question in</w:t>
            </w:r>
            <w:r>
              <w:t xml:space="preserve"> </w:t>
            </w:r>
            <w:r>
              <w:rPr>
                <w:bCs/>
                <w:b/>
              </w:rPr>
              <w:t xml:space="preserve">≤ 60 seconds</w:t>
            </w:r>
          </w:p>
        </w:tc>
        <w:tc>
          <w:tcPr/>
          <w:p>
            <w:pPr>
              <w:pStyle w:val="Compact"/>
              <w:jc w:val="left"/>
            </w:pPr>
            <w:r>
              <w:t xml:space="preserve">3 principals × 3 unannounced runs</w:t>
            </w:r>
          </w:p>
        </w:tc>
      </w:tr>
      <w:tr>
        <w:tc>
          <w:tcPr/>
          <w:p>
            <w:pPr>
              <w:pStyle w:val="Compact"/>
              <w:jc w:val="left"/>
            </w:pPr>
            <w:r>
              <w:rPr>
                <w:rStyle w:val="VerbatimChar"/>
              </w:rPr>
              <w:t xml:space="preserve">A-119</w:t>
            </w:r>
          </w:p>
        </w:tc>
        <w:tc>
          <w:tcPr/>
          <w:p>
            <w:pPr>
              <w:pStyle w:val="Compact"/>
              <w:jc w:val="left"/>
            </w:pPr>
            <w:r>
              <w:rPr>
                <w:bCs/>
                <w:b/>
              </w:rPr>
              <w:t xml:space="preserve">Where records are incomplete, the pack names the gap</w:t>
            </w:r>
          </w:p>
        </w:tc>
        <w:tc>
          <w:tcPr/>
          <w:p>
            <w:pPr>
              <w:pStyle w:val="Compact"/>
              <w:jc w:val="left"/>
            </w:pPr>
            <w:r>
              <w:t xml:space="preserve">Adversarial audit finds zero silent omissions</w:t>
            </w:r>
          </w:p>
        </w:tc>
      </w:tr>
      <w:tr>
        <w:tc>
          <w:tcPr/>
          <w:p>
            <w:pPr>
              <w:pStyle w:val="Compact"/>
              <w:jc w:val="left"/>
            </w:pPr>
            <w:r>
              <w:rPr>
                <w:rStyle w:val="VerbatimChar"/>
              </w:rPr>
              <w:t xml:space="preserve">A-120</w:t>
            </w:r>
          </w:p>
        </w:tc>
        <w:tc>
          <w:tcPr/>
          <w:p>
            <w:pPr>
              <w:pStyle w:val="Compact"/>
              <w:jc w:val="left"/>
            </w:pPr>
            <w:r>
              <w:rPr>
                <w:bCs/>
                <w:b/>
              </w:rPr>
              <w:t xml:space="preserve">Migrated data is never dressed as clinical record</w:t>
            </w:r>
            <w:r>
              <w:t xml:space="preserve"> </w:t>
            </w:r>
            <w:r>
              <w:t xml:space="preserve">— every imported field visibly marked imported and unverified everywhere it appears, including in the evidence pack</w:t>
            </w:r>
          </w:p>
        </w:tc>
        <w:tc>
          <w:tcPr/>
          <w:p>
            <w:pPr>
              <w:pStyle w:val="Compact"/>
              <w:jc w:val="left"/>
            </w:pPr>
            <w:r>
              <w:t xml:space="preserve">Zero leakage</w:t>
            </w:r>
          </w:p>
        </w:tc>
      </w:tr>
    </w:tbl>
    <w:p>
      <w:pPr>
        <w:pStyle w:val="BodyText"/>
      </w:pPr>
      <w:r>
        <w:rPr>
          <w:bCs/>
          <w:b/>
        </w:rPr>
        <w:t xml:space="preserve">In-consult and degraded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Measured</w:t>
            </w:r>
          </w:p>
        </w:tc>
      </w:tr>
      <w:tr>
        <w:tc>
          <w:tcPr/>
          <w:p>
            <w:pPr>
              <w:pStyle w:val="Compact"/>
              <w:jc w:val="left"/>
            </w:pPr>
            <w:r>
              <w:rPr>
                <w:rStyle w:val="VerbatimChar"/>
              </w:rPr>
              <w:t xml:space="preserve">A-121</w:t>
            </w:r>
          </w:p>
        </w:tc>
        <w:tc>
          <w:tcPr/>
          <w:p>
            <w:pPr>
              <w:pStyle w:val="Compact"/>
              <w:jc w:val="left"/>
            </w:pPr>
            <w:r>
              <w:rPr>
                <w:bCs/>
                <w:b/>
              </w:rPr>
              <w:t xml:space="preserve">Gloved test.</w:t>
            </w:r>
            <w:r>
              <w:t xml:space="preserve"> </w:t>
            </w:r>
            <w:r>
              <w:t xml:space="preserve">A vet in nitrile gloves, standing, one-handed, completes weight capture, examination entry, a dose calculation and a photo attachment with zero mis-taps causing data loss</w:t>
            </w:r>
          </w:p>
        </w:tc>
        <w:tc>
          <w:tcPr/>
          <w:p>
            <w:pPr>
              <w:pStyle w:val="Compact"/>
              <w:jc w:val="left"/>
            </w:pPr>
            <w:r>
              <w:t xml:space="preserve">10 vets × 3 consults</w:t>
            </w:r>
          </w:p>
        </w:tc>
      </w:tr>
      <w:tr>
        <w:tc>
          <w:tcPr/>
          <w:p>
            <w:pPr>
              <w:pStyle w:val="Compact"/>
              <w:jc w:val="left"/>
            </w:pPr>
            <w:r>
              <w:rPr>
                <w:rStyle w:val="VerbatimChar"/>
              </w:rPr>
              <w:t xml:space="preserve">A-122</w:t>
            </w:r>
          </w:p>
        </w:tc>
        <w:tc>
          <w:tcPr/>
          <w:p>
            <w:pPr>
              <w:pStyle w:val="Compact"/>
              <w:jc w:val="left"/>
            </w:pPr>
            <w:r>
              <w:t xml:space="preserve">Kill the app, lock the device, drop the network, switch device, drain the battery — mid-encounter, at 12 random points</w:t>
            </w:r>
          </w:p>
        </w:tc>
        <w:tc>
          <w:tcPr/>
          <w:p>
            <w:pPr>
              <w:pStyle w:val="Compact"/>
              <w:jc w:val="left"/>
            </w:pPr>
            <w:r>
              <w:rPr>
                <w:bCs/>
                <w:b/>
              </w:rPr>
              <w:t xml:space="preserve">Zero data loss, 12 of 12</w:t>
            </w:r>
          </w:p>
        </w:tc>
      </w:tr>
      <w:tr>
        <w:tc>
          <w:tcPr/>
          <w:p>
            <w:pPr>
              <w:pStyle w:val="Compact"/>
              <w:jc w:val="left"/>
            </w:pPr>
            <w:r>
              <w:rPr>
                <w:rStyle w:val="VerbatimChar"/>
              </w:rPr>
              <w:t xml:space="preserve">A-123</w:t>
            </w:r>
          </w:p>
        </w:tc>
        <w:tc>
          <w:tcPr/>
          <w:p>
            <w:pPr>
              <w:pStyle w:val="Compact"/>
              <w:jc w:val="left"/>
            </w:pPr>
            <w:r>
              <w:t xml:space="preserve">No inactivity or re-auth path terminates a session in a way that loses draft work</w:t>
            </w:r>
          </w:p>
        </w:tc>
        <w:tc>
          <w:tcPr/>
          <w:p>
            <w:pPr>
              <w:pStyle w:val="Compact"/>
              <w:jc w:val="left"/>
            </w:pPr>
            <w:r>
              <w:t xml:space="preserve">100%</w:t>
            </w:r>
          </w:p>
        </w:tc>
      </w:tr>
      <w:tr>
        <w:tc>
          <w:tcPr/>
          <w:p>
            <w:pPr>
              <w:pStyle w:val="Compact"/>
              <w:jc w:val="left"/>
            </w:pPr>
            <w:r>
              <w:rPr>
                <w:rStyle w:val="VerbatimChar"/>
              </w:rPr>
              <w:t xml:space="preserve">A-124</w:t>
            </w:r>
          </w:p>
        </w:tc>
        <w:tc>
          <w:tcPr/>
          <w:p>
            <w:pPr>
              <w:pStyle w:val="Compact"/>
              <w:jc w:val="left"/>
            </w:pPr>
            <w:r>
              <w:rPr>
                <w:bCs/>
                <w:b/>
              </w:rPr>
              <w:t xml:space="preserve">Chaos day.</w:t>
            </w:r>
            <w:r>
              <w:t xml:space="preserve"> </w:t>
            </w:r>
            <w:r>
              <w:t xml:space="preserve">A full clinic day with randomised connectivity loss totalling ≥ 90 minutes: every degraded-tier capability works, every statutory clock reports honestly, reconciliation produces</w:t>
            </w:r>
            <w:r>
              <w:t xml:space="preserve"> </w:t>
            </w:r>
            <w:r>
              <w:rPr>
                <w:bCs/>
                <w:b/>
              </w:rPr>
              <w:t xml:space="preserve">zero silent merges and zero stock discrepancies</w:t>
            </w:r>
          </w:p>
        </w:tc>
        <w:tc>
          <w:tcPr/>
          <w:p>
            <w:pPr>
              <w:pStyle w:val="Compact"/>
              <w:jc w:val="left"/>
            </w:pPr>
            <w:r>
              <w:t xml:space="preserve">Pass/fail</w:t>
            </w:r>
          </w:p>
        </w:tc>
      </w:tr>
      <w:tr>
        <w:tc>
          <w:tcPr/>
          <w:p>
            <w:pPr>
              <w:pStyle w:val="Compact"/>
              <w:jc w:val="left"/>
            </w:pPr>
            <w:r>
              <w:rPr>
                <w:rStyle w:val="VerbatimChar"/>
              </w:rPr>
              <w:t xml:space="preserve">A-125</w:t>
            </w:r>
          </w:p>
        </w:tc>
        <w:tc>
          <w:tcPr/>
          <w:p>
            <w:pPr>
              <w:pStyle w:val="Compact"/>
              <w:jc w:val="left"/>
            </w:pPr>
            <w:r>
              <w:t xml:space="preserve">Break-glass delivers critical history in ≤ 30 s with a recorded reason; the principal is notified within 60 s; access expires at 60 min; the event appears in the evidence pack</w:t>
            </w:r>
          </w:p>
        </w:tc>
        <w:tc>
          <w:tcPr/>
          <w:p>
            <w:pPr>
              <w:pStyle w:val="Compact"/>
              <w:jc w:val="left"/>
            </w:pPr>
            <w:r>
              <w:t xml:space="preserve">100%</w:t>
            </w:r>
          </w:p>
        </w:tc>
      </w:tr>
      <w:tr>
        <w:tc>
          <w:tcPr/>
          <w:p>
            <w:pPr>
              <w:pStyle w:val="Compact"/>
              <w:jc w:val="left"/>
            </w:pPr>
            <w:r>
              <w:rPr>
                <w:rStyle w:val="VerbatimChar"/>
              </w:rPr>
              <w:t xml:space="preserve">A-126</w:t>
            </w:r>
          </w:p>
        </w:tc>
        <w:tc>
          <w:tcPr/>
          <w:p>
            <w:pPr>
              <w:pStyle w:val="Compact"/>
              <w:jc w:val="left"/>
            </w:pPr>
            <w:r>
              <w:t xml:space="preserve">Check-in to consult-room-ready in ≤ 45 s with four people waiting, including correct disambiguation of same-named patients</w:t>
            </w:r>
          </w:p>
        </w:tc>
        <w:tc>
          <w:tcPr/>
          <w:p>
            <w:pPr>
              <w:pStyle w:val="Compact"/>
              <w:jc w:val="left"/>
            </w:pPr>
            <w:r>
              <w:t xml:space="preserve">20 observed transactions</w:t>
            </w:r>
          </w:p>
        </w:tc>
      </w:tr>
    </w:tbl>
    <w:p>
      <w:pPr>
        <w:pStyle w:val="BodyText"/>
      </w:pPr>
      <w:r>
        <w:rPr>
          <w:bCs/>
          <w:b/>
        </w:rPr>
        <w:t xml:space="preserve">Decision support</w:t>
      </w:r>
      <w:r>
        <w:t xml:space="preserve"> </w:t>
      </w:r>
      <w:r>
        <w:t xml:space="preserve">— the anti-vacuity gates.</w:t>
      </w:r>
      <w:r>
        <w:t xml:space="preserve"> </w:t>
      </w:r>
      <w:r>
        <w:rPr>
          <w:bCs/>
          <w:b/>
        </w:rPr>
        <w:t xml:space="preserve">A nil return is a FAIL, not a PASS. Any criterion evaluating over an empty result set is scored FAIL.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Measured</w:t>
            </w:r>
          </w:p>
        </w:tc>
      </w:tr>
      <w:tr>
        <w:tc>
          <w:tcPr/>
          <w:p>
            <w:pPr>
              <w:pStyle w:val="Compact"/>
              <w:jc w:val="left"/>
            </w:pPr>
            <w:r>
              <w:rPr>
                <w:rStyle w:val="VerbatimChar"/>
              </w:rPr>
              <w:t xml:space="preserve">A-127</w:t>
            </w:r>
          </w:p>
        </w:tc>
        <w:tc>
          <w:tcPr/>
          <w:p>
            <w:pPr>
              <w:pStyle w:val="Compact"/>
              <w:jc w:val="left"/>
            </w:pPr>
            <w:r>
              <w:t xml:space="preserve">Over a trailing 30 days the assist log contains</w:t>
            </w:r>
            <w:r>
              <w:t xml:space="preserve"> </w:t>
            </w:r>
            <w:r>
              <w:rPr>
                <w:bCs/>
                <w:b/>
              </w:rPr>
              <w:t xml:space="preserve">≥ 500 events across ≥ 3 capabilities in ≥ 2 live clinics</w:t>
            </w:r>
            <w:r>
              <w:t xml:space="preserve">, each with a resolvable version and outcome</w:t>
            </w:r>
          </w:p>
        </w:tc>
        <w:tc>
          <w:tcPr/>
          <w:p>
            <w:pPr>
              <w:pStyle w:val="Compact"/>
              <w:jc w:val="left"/>
            </w:pPr>
            <w:r>
              <w:rPr>
                <w:bCs/>
                <w:b/>
              </w:rPr>
              <w:t xml:space="preserve">Volume precondition — fails if the flag is off</w:t>
            </w:r>
          </w:p>
        </w:tc>
      </w:tr>
      <w:tr>
        <w:tc>
          <w:tcPr/>
          <w:p>
            <w:pPr>
              <w:pStyle w:val="Compact"/>
              <w:jc w:val="left"/>
            </w:pPr>
            <w:r>
              <w:rPr>
                <w:rStyle w:val="VerbatimChar"/>
              </w:rPr>
              <w:t xml:space="preserve">A-128</w:t>
            </w:r>
          </w:p>
        </w:tc>
        <w:tc>
          <w:tcPr/>
          <w:p>
            <w:pPr>
              <w:pStyle w:val="Compact"/>
              <w:jc w:val="left"/>
            </w:pPr>
            <w:r>
              <w:t xml:space="preserve">100% of prescriptions at enabled clinics carry either a completed check with a resolvable reference version and entry IDs, or an explicit</w:t>
            </w:r>
            <w:r>
              <w:t xml:space="preserve"> </w:t>
            </w:r>
            <w:r>
              <w:rPr>
                <w:rStyle w:val="VerbatimChar"/>
              </w:rPr>
              <w:t xml:space="preserve">checks_performed: NONE</w:t>
            </w:r>
            <w:r>
              <w:t xml:space="preserve"> </w:t>
            </w:r>
            <w:r>
              <w:t xml:space="preserve">with a named reason</w:t>
            </w:r>
          </w:p>
        </w:tc>
        <w:tc>
          <w:tcPr/>
          <w:p>
            <w:pPr>
              <w:pStyle w:val="Compact"/>
              <w:jc w:val="left"/>
            </w:pPr>
            <w:r>
              <w:t xml:space="preserve">Zero ambiguous check states</w:t>
            </w:r>
          </w:p>
        </w:tc>
      </w:tr>
      <w:tr>
        <w:tc>
          <w:tcPr/>
          <w:p>
            <w:pPr>
              <w:pStyle w:val="Compact"/>
              <w:jc w:val="left"/>
            </w:pPr>
            <w:r>
              <w:rPr>
                <w:rStyle w:val="VerbatimChar"/>
              </w:rPr>
              <w:t xml:space="preserve">A-129</w:t>
            </w:r>
          </w:p>
        </w:tc>
        <w:tc>
          <w:tcPr/>
          <w:p>
            <w:pPr>
              <w:pStyle w:val="Compact"/>
              <w:jc w:val="left"/>
            </w:pPr>
            <w:r>
              <w:t xml:space="preserve">100% of clinical acts carry a valid Decision Authority Record naming a natural person with a licence number and validity flag;</w:t>
            </w:r>
            <w:r>
              <w:t xml:space="preserve"> </w:t>
            </w:r>
            <w:r>
              <w:rPr>
                <w:bCs/>
                <w:b/>
              </w:rPr>
              <w:t xml:space="preserve">zero acts attributable to a service account</w:t>
            </w:r>
            <w:r>
              <w:t xml:space="preserve">; and the constraints are verified by schema inspection, not by absence of violations</w:t>
            </w:r>
          </w:p>
        </w:tc>
        <w:tc>
          <w:tcPr/>
          <w:p>
            <w:pPr>
              <w:pStyle w:val="Compact"/>
              <w:jc w:val="left"/>
            </w:pPr>
            <w:r>
              <w:t xml:space="preserve">Zero</w:t>
            </w:r>
          </w:p>
        </w:tc>
      </w:tr>
      <w:tr>
        <w:tc>
          <w:tcPr/>
          <w:p>
            <w:pPr>
              <w:pStyle w:val="Compact"/>
              <w:jc w:val="left"/>
            </w:pPr>
            <w:r>
              <w:rPr>
                <w:rStyle w:val="VerbatimChar"/>
              </w:rPr>
              <w:t xml:space="preserve">A-130</w:t>
            </w:r>
          </w:p>
        </w:tc>
        <w:tc>
          <w:tcPr/>
          <w:p>
            <w:pPr>
              <w:pStyle w:val="Compact"/>
              <w:jc w:val="left"/>
            </w:pPr>
            <w:r>
              <w:t xml:space="preserve">Human review of ≥ 5% random plus 100% of mandatory categories, ≥ 100 events, finds</w:t>
            </w:r>
            <w:r>
              <w:t xml:space="preserve"> </w:t>
            </w:r>
            <w:r>
              <w:rPr>
                <w:bCs/>
                <w:b/>
              </w:rPr>
              <w:t xml:space="preserve">zero</w:t>
            </w:r>
            <w:r>
              <w:t xml:space="preserve"> </w:t>
            </w:r>
            <w:r>
              <w:t xml:space="preserve">claims untraceable to the cited entry,</w:t>
            </w:r>
            <w:r>
              <w:t xml:space="preserve"> </w:t>
            </w:r>
            <w:r>
              <w:rPr>
                <w:bCs/>
                <w:b/>
              </w:rPr>
              <w:t xml:space="preserve">zero</w:t>
            </w:r>
            <w:r>
              <w:t xml:space="preserve"> </w:t>
            </w:r>
            <w:r>
              <w:t xml:space="preserve">findings produced where the reference was silent,</w:t>
            </w:r>
            <w:r>
              <w:t xml:space="preserve"> </w:t>
            </w:r>
            <w:r>
              <w:rPr>
                <w:bCs/>
                <w:b/>
              </w:rPr>
              <w:t xml:space="preserve">zero</w:t>
            </w:r>
            <w:r>
              <w:t xml:space="preserve"> </w:t>
            </w:r>
            <w:r>
              <w:t xml:space="preserve">hallucinated spans,</w:t>
            </w:r>
            <w:r>
              <w:t xml:space="preserve"> </w:t>
            </w:r>
            <w:r>
              <w:rPr>
                <w:bCs/>
                <w:b/>
              </w:rPr>
              <w:t xml:space="preserve">zero</w:t>
            </w:r>
            <w:r>
              <w:t xml:space="preserve"> </w:t>
            </w:r>
            <w:r>
              <w:t xml:space="preserve">prohibited conclusions</w:t>
            </w:r>
          </w:p>
        </w:tc>
        <w:tc>
          <w:tcPr/>
          <w:p>
            <w:pPr>
              <w:pStyle w:val="Compact"/>
              <w:jc w:val="left"/>
            </w:pPr>
            <w:r>
              <w:t xml:space="preserve">Independent reviewer sign-off</w:t>
            </w:r>
          </w:p>
        </w:tc>
      </w:tr>
      <w:tr>
        <w:tc>
          <w:tcPr/>
          <w:p>
            <w:pPr>
              <w:pStyle w:val="Compact"/>
              <w:jc w:val="left"/>
            </w:pPr>
            <w:r>
              <w:rPr>
                <w:rStyle w:val="VerbatimChar"/>
              </w:rPr>
              <w:t xml:space="preserve">A-131</w:t>
            </w:r>
          </w:p>
        </w:tc>
        <w:tc>
          <w:tcPr/>
          <w:p>
            <w:pPr>
              <w:pStyle w:val="Compact"/>
              <w:jc w:val="left"/>
            </w:pPr>
            <w:r>
              <w:t xml:space="preserve">The reconstruction test passes</w:t>
            </w:r>
            <w:r>
              <w:t xml:space="preserve"> </w:t>
            </w:r>
            <w:r>
              <w:rPr>
                <w:bCs/>
                <w:b/>
              </w:rPr>
              <w:t xml:space="preserve">20/20</w:t>
            </w:r>
            <w:r>
              <w:t xml:space="preserve"> </w:t>
            </w:r>
            <w:r>
              <w:t xml:space="preserve">on decisions at least 6 months old</w:t>
            </w:r>
          </w:p>
        </w:tc>
        <w:tc>
          <w:tcPr/>
          <w:p>
            <w:pPr>
              <w:pStyle w:val="Compact"/>
              <w:jc w:val="left"/>
            </w:pPr>
            <w:r>
              <w:t xml:space="preserve">Automated</w:t>
            </w:r>
          </w:p>
        </w:tc>
      </w:tr>
      <w:tr>
        <w:tc>
          <w:tcPr/>
          <w:p>
            <w:pPr>
              <w:pStyle w:val="Compact"/>
              <w:jc w:val="left"/>
            </w:pPr>
            <w:r>
              <w:rPr>
                <w:rStyle w:val="VerbatimChar"/>
              </w:rPr>
              <w:t xml:space="preserve">A-132</w:t>
            </w:r>
          </w:p>
        </w:tc>
        <w:tc>
          <w:tcPr/>
          <w:p>
            <w:pPr>
              <w:pStyle w:val="Compact"/>
              <w:jc w:val="left"/>
            </w:pPr>
            <w:r>
              <w:t xml:space="preserve">Kill-switch drill executed in production: one capability disabled clinic-wide, degraded mode observed,</w:t>
            </w:r>
            <w:r>
              <w:t xml:space="preserve"> </w:t>
            </w:r>
            <w:r>
              <w:rPr>
                <w:bCs/>
                <w:b/>
              </w:rPr>
              <w:t xml:space="preserve">zero blocked prescriptions</w:t>
            </w:r>
            <w:r>
              <w:t xml:space="preserve">, correct stamping on 100% of affected records, re-enablement under two-person approval</w:t>
            </w:r>
          </w:p>
        </w:tc>
        <w:tc>
          <w:tcPr/>
          <w:p>
            <w:pPr>
              <w:pStyle w:val="Compact"/>
              <w:jc w:val="left"/>
            </w:pPr>
            <w:r>
              <w:t xml:space="preserve">Drill evidence</w:t>
            </w:r>
          </w:p>
        </w:tc>
      </w:tr>
      <w:tr>
        <w:tc>
          <w:tcPr/>
          <w:p>
            <w:pPr>
              <w:pStyle w:val="Compact"/>
              <w:jc w:val="left"/>
            </w:pPr>
            <w:r>
              <w:rPr>
                <w:rStyle w:val="VerbatimChar"/>
              </w:rPr>
              <w:t xml:space="preserve">A-133</w:t>
            </w:r>
          </w:p>
        </w:tc>
        <w:tc>
          <w:tcPr/>
          <w:p>
            <w:pPr>
              <w:pStyle w:val="Compact"/>
              <w:jc w:val="left"/>
            </w:pPr>
            <w:r>
              <w:t xml:space="preserve">Plane-isolation CI test is a required check, green on the deployed commit, and</w:t>
            </w:r>
            <w:r>
              <w:t xml:space="preserve"> </w:t>
            </w:r>
            <w:r>
              <w:rPr>
                <w:bCs/>
                <w:b/>
              </w:rPr>
              <w:t xml:space="preserve">demonstrably failing when a prohibited import is introduced</w:t>
            </w:r>
            <w:r>
              <w:t xml:space="preserve"> </w:t>
            </w:r>
            <w:r>
              <w:t xml:space="preserve">(negative control executed)</w:t>
            </w:r>
          </w:p>
        </w:tc>
        <w:tc>
          <w:tcPr/>
          <w:p>
            <w:pPr>
              <w:pStyle w:val="Compact"/>
              <w:jc w:val="left"/>
            </w:pPr>
            <w:r>
              <w:t xml:space="preserve">CI evidence</w:t>
            </w:r>
          </w:p>
        </w:tc>
      </w:tr>
      <w:tr>
        <w:tc>
          <w:tcPr/>
          <w:p>
            <w:pPr>
              <w:pStyle w:val="Compact"/>
              <w:jc w:val="left"/>
            </w:pPr>
            <w:r>
              <w:rPr>
                <w:rStyle w:val="VerbatimChar"/>
              </w:rPr>
              <w:t xml:space="preserve">A-134</w:t>
            </w:r>
          </w:p>
        </w:tc>
        <w:tc>
          <w:tcPr/>
          <w:p>
            <w:pPr>
              <w:pStyle w:val="Compact"/>
              <w:jc w:val="left"/>
            </w:pPr>
            <w:r>
              <w:rPr>
                <w:bCs/>
                <w:b/>
              </w:rPr>
              <w:t xml:space="preserve">Override is demonstrably available and used</w:t>
            </w:r>
            <w:r>
              <w:t xml:space="preserve">: ≥ 1 recorded override per enabled clinical capability.</w:t>
            </w:r>
            <w:r>
              <w:t xml:space="preserve"> </w:t>
            </w:r>
            <w:r>
              <w:rPr>
                <w:bCs/>
                <w:b/>
              </w:rPr>
              <w:t xml:space="preserve">A capability with a 0% override rate over ≥ 100 shown findings is escalated for alert-fatigue review before sign-off</w:t>
            </w:r>
          </w:p>
        </w:tc>
        <w:tc>
          <w:tcPr/>
          <w:p>
            <w:pPr>
              <w:pStyle w:val="Compact"/>
              <w:jc w:val="left"/>
            </w:pPr>
            <w:r>
              <w:rPr>
                <w:bCs/>
                <w:b/>
              </w:rPr>
              <w:t xml:space="preserve">Zero overrides is a finding, not a success</w:t>
            </w:r>
          </w:p>
        </w:tc>
      </w:tr>
    </w:tbl>
    <w:p>
      <w:pPr>
        <w:pStyle w:val="BodyText"/>
      </w:pPr>
      <w:r>
        <w:rPr>
          <w:bCs/>
          <w:b/>
        </w:rPr>
        <w:t xml:space="preserve">Adoption integrity — the anti-43% instrument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Measured</w:t>
            </w:r>
          </w:p>
        </w:tc>
      </w:tr>
      <w:tr>
        <w:tc>
          <w:tcPr/>
          <w:p>
            <w:pPr>
              <w:pStyle w:val="Compact"/>
              <w:jc w:val="left"/>
            </w:pPr>
            <w:r>
              <w:rPr>
                <w:rStyle w:val="VerbatimChar"/>
              </w:rPr>
              <w:t xml:space="preserve">A-135</w:t>
            </w:r>
          </w:p>
        </w:tc>
        <w:tc>
          <w:tcPr/>
          <w:p>
            <w:pPr>
              <w:pStyle w:val="Compact"/>
              <w:jc w:val="left"/>
            </w:pPr>
            <w:r>
              <w:rPr>
                <w:bCs/>
                <w:b/>
              </w:rPr>
              <w:t xml:space="preserve">At day 14 of a design-partner deployment, ≥ 95% of that clinic's consultations for the preceding 7 days exist as attested records.</w:t>
            </w:r>
            <w:r>
              <w:t xml:space="preserve"> </w:t>
            </w:r>
            <w:r>
              <w:t xml:space="preserve">If the paper book is still authoritative, the product has not shipped, whatever the feature list says</w:t>
            </w:r>
          </w:p>
        </w:tc>
        <w:tc>
          <w:tcPr/>
          <w:p>
            <w:pPr>
              <w:pStyle w:val="Compact"/>
              <w:jc w:val="left"/>
            </w:pPr>
            <w:r>
              <w:t xml:space="preserve">Per clinic</w:t>
            </w:r>
          </w:p>
        </w:tc>
      </w:tr>
      <w:tr>
        <w:tc>
          <w:tcPr/>
          <w:p>
            <w:pPr>
              <w:pStyle w:val="Compact"/>
              <w:jc w:val="left"/>
            </w:pPr>
            <w:r>
              <w:rPr>
                <w:rStyle w:val="VerbatimChar"/>
              </w:rPr>
              <w:t xml:space="preserve">A-136</w:t>
            </w:r>
          </w:p>
        </w:tc>
        <w:tc>
          <w:tcPr/>
          <w:p>
            <w:pPr>
              <w:pStyle w:val="Compact"/>
              <w:jc w:val="left"/>
            </w:pPr>
            <w:r>
              <w:t xml:space="preserve">At day 14, &lt; 5% of encounters older than 24 hours are unattested</w:t>
            </w:r>
          </w:p>
        </w:tc>
        <w:tc>
          <w:tcPr/>
          <w:p>
            <w:pPr>
              <w:pStyle w:val="Compact"/>
              <w:jc w:val="left"/>
            </w:pPr>
            <w:r>
              <w:t xml:space="preserve">Per clinic</w:t>
            </w:r>
          </w:p>
        </w:tc>
      </w:tr>
      <w:tr>
        <w:tc>
          <w:tcPr/>
          <w:p>
            <w:pPr>
              <w:pStyle w:val="Compact"/>
              <w:jc w:val="left"/>
            </w:pPr>
            <w:r>
              <w:rPr>
                <w:rStyle w:val="VerbatimChar"/>
              </w:rPr>
              <w:t xml:space="preserve">A-137</w:t>
            </w:r>
          </w:p>
        </w:tc>
        <w:tc>
          <w:tcPr/>
          <w:p>
            <w:pPr>
              <w:pStyle w:val="Compact"/>
              <w:jc w:val="left"/>
            </w:pPr>
            <w:r>
              <w:t xml:space="preserve">≤ 1 support contact per clinic-week after day 14.</w:t>
            </w:r>
            <w:r>
              <w:t xml:space="preserve"> </w:t>
            </w:r>
            <w:r>
              <w:rPr>
                <w:bCs/>
                <w:b/>
              </w:rPr>
              <w:t xml:space="preserve">A higher rate is a UX defect, not a support-staffing question</w:t>
            </w:r>
          </w:p>
        </w:tc>
        <w:tc>
          <w:tcPr/>
          <w:p>
            <w:pPr>
              <w:pStyle w:val="Compact"/>
              <w:jc w:val="left"/>
            </w:pPr>
            <w:r>
              <w:t xml:space="preserve">Rolling</w:t>
            </w:r>
          </w:p>
        </w:tc>
      </w:tr>
    </w:tbl>
    <w:bookmarkEnd w:id="140"/>
    <w:bookmarkStart w:id="141" w:name="X89bb1215dcaf7955ec1d5200bedeba4e6b49f31"/>
    <w:p>
      <w:pPr>
        <w:pStyle w:val="Heading3"/>
      </w:pPr>
      <w:r>
        <w:t xml:space="preserve">P1 — accepted or waived individually, named owner, dated</w:t>
      </w:r>
    </w:p>
    <w:p>
      <w:pPr>
        <w:pStyle w:val="FirstParagraph"/>
      </w:pPr>
      <w:r>
        <w:t xml:space="preserve">Post-visit summary comprehension ≥ 90% (n ≥ 30) · owner record view readable without an account on a mid-range Android in ≤ 10 s · just-in-time history capture ≤ 4 min median · duplicate-patient rate &lt; 2% at day 30 · reminder delivery ≥ 90% with every failure visible at reception ·</w:t>
      </w:r>
      <w:r>
        <w:t xml:space="preserve"> </w:t>
      </w:r>
      <w:r>
        <w:rPr>
          <w:bCs/>
          <w:b/>
        </w:rPr>
        <w:t xml:space="preserve">WCAG 2.1 AA passing in both directions, with the RTL audit performed by an Arabic-speaking auditor</w:t>
      </w:r>
      <w:r>
        <w:t xml:space="preserve"> </w:t>
      </w:r>
      <w:r>
        <w:t xml:space="preserve">· zero re-keying anywhere between dispense and invoice.</w:t>
      </w:r>
    </w:p>
    <w:bookmarkEnd w:id="141"/>
    <w:bookmarkStart w:id="142" w:name="Xa777204c49f6baf249aaab8a8042623af71a36d"/>
    <w:p>
      <w:pPr>
        <w:pStyle w:val="Heading3"/>
      </w:pPr>
      <w:r>
        <w:t xml:space="preserve">Method rules that make the criteria mean something</w:t>
      </w:r>
    </w:p>
    <w:p>
      <w:pPr>
        <w:pStyle w:val="FirstParagraph"/>
      </w:pPr>
      <w:r>
        <w:rPr>
          <w:rStyle w:val="VerbatimChar"/>
          <w:bCs/>
          <w:b/>
        </w:rPr>
        <w:t xml:space="preserve">A-006</w:t>
      </w:r>
      <w:r>
        <w:t xml:space="preserve"> </w:t>
      </w:r>
      <w:r>
        <w:t xml:space="preserve">—</w:t>
      </w:r>
      <w:r>
        <w:t xml:space="preserve"> </w:t>
      </w:r>
      <w:r>
        <w:rPr>
          <w:bCs/>
          <w:b/>
        </w:rPr>
        <w:t xml:space="preserve">No criterion is satisfied by a demo.</w:t>
      </w:r>
      <w:r>
        <w:t xml:space="preserve"> </w:t>
      </w:r>
      <w:r>
        <w:t xml:space="preserve">All P0 criteria are measured on production hardware, in a real clinic, by the clinic's own staff, on the clinic's own connection.</w:t>
      </w:r>
      <w:r>
        <w:t xml:space="preserve"> </w:t>
      </w:r>
      <w:r>
        <w:rPr>
          <w:bCs/>
          <w:b/>
        </w:rPr>
        <w:t xml:space="preserve">Arabic is tested by Arabic speakers</w:t>
      </w:r>
      <w:r>
        <w:t xml:space="preserve">, including at least one veterinary Arabic speaker — English-speaking QA passing an Arabic screen is not evidence.</w:t>
      </w:r>
      <w:r>
        <w:t xml:space="preserve"> </w:t>
      </w:r>
      <w:r>
        <w:rPr>
          <w:bCs/>
          <w:b/>
        </w:rPr>
        <w:t xml:space="preserve">Adversarial testing is mandatory</w:t>
      </w:r>
      <w:r>
        <w:t xml:space="preserve"> </w:t>
      </w:r>
      <w:r>
        <w:t xml:space="preserve">for</w:t>
      </w:r>
      <w:r>
        <w:t xml:space="preserve"> </w:t>
      </w:r>
      <w:r>
        <w:rPr>
          <w:rStyle w:val="VerbatimChar"/>
        </w:rPr>
        <w:t xml:space="preserve">A-112</w:t>
      </w:r>
      <w:r>
        <w:t xml:space="preserve">,</w:t>
      </w:r>
      <w:r>
        <w:t xml:space="preserve"> </w:t>
      </w:r>
      <w:r>
        <w:rPr>
          <w:rStyle w:val="VerbatimChar"/>
        </w:rPr>
        <w:t xml:space="preserve">A-117</w:t>
      </w:r>
      <w:r>
        <w:t xml:space="preserve">,</w:t>
      </w:r>
      <w:r>
        <w:t xml:space="preserve"> </w:t>
      </w:r>
      <w:r>
        <w:rPr>
          <w:rStyle w:val="VerbatimChar"/>
        </w:rPr>
        <w:t xml:space="preserve">A-119</w:t>
      </w:r>
      <w:r>
        <w:t xml:space="preserve"> </w:t>
      </w:r>
      <w:r>
        <w:t xml:space="preserve">and</w:t>
      </w:r>
      <w:r>
        <w:t xml:space="preserve"> </w:t>
      </w:r>
      <w:r>
        <w:rPr>
          <w:rStyle w:val="VerbatimChar"/>
        </w:rPr>
        <w:t xml:space="preserve">A-120</w:t>
      </w:r>
      <w:r>
        <w:t xml:space="preserve">: someone is paid to try to get a false artefact out of the system.</w:t>
      </w:r>
      <w:r>
        <w:t xml:space="preserve"> </w:t>
      </w:r>
      <w:r>
        <w:rPr>
          <w:bCs/>
          <w:b/>
        </w:rPr>
        <w:t xml:space="preserve">And a go-live authorisation records who accepted each waived P1 and on what date</w:t>
      </w:r>
      <w:r>
        <w:t xml:space="preserve"> </w:t>
      </w:r>
      <w:r>
        <w:t xml:space="preserve">— nobody should ever again discover a systemic gap after authorisation without a name attached to it.</w:t>
      </w:r>
    </w:p>
    <w:bookmarkEnd w:id="142"/>
    <w:bookmarkEnd w:id="143"/>
    <w:bookmarkStart w:id="144" w:name="Xbba1d75d8a833591b6aa01767a78c190cb24f28"/>
    <w:p>
      <w:pPr>
        <w:pStyle w:val="Heading2"/>
      </w:pPr>
      <w:r>
        <w:t xml:space="preserve">S10.4 Risk register — including the risks that actually materialised</w:t>
      </w:r>
    </w:p>
    <w:p>
      <w:pPr>
        <w:pStyle w:val="FirstParagraph"/>
      </w:pPr>
      <w:r>
        <w:t xml:space="preserve">The legacy register listed scalability, integration failure, migration, breach, regulatory change, vet adoption, competition, cash flow, pharmacy resistance, logistics, quality and trust.</w:t>
      </w:r>
      <w:r>
        <w:t xml:space="preserve"> </w:t>
      </w:r>
      <w:r>
        <w:rPr>
          <w:bCs/>
          <w:b/>
        </w:rPr>
        <w:t xml:space="preserve">Not one of the risks that actually stopped this venture appeared in it.</w:t>
      </w:r>
      <w:r>
        <w:t xml:space="preserve"> </w:t>
      </w:r>
      <w:r>
        <w:t xml:space="preserve">This register begins with those.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Realised before?</w:t>
            </w:r>
          </w:p>
        </w:tc>
        <w:tc>
          <w:tcPr/>
          <w:p>
            <w:pPr>
              <w:pStyle w:val="Compact"/>
              <w:jc w:val="left"/>
            </w:pPr>
            <w:r>
              <w:t xml:space="preserve">Mitigation in this document</w:t>
            </w:r>
          </w:p>
        </w:tc>
      </w:tr>
      <w:tr>
        <w:tc>
          <w:tcPr/>
          <w:p>
            <w:pPr>
              <w:pStyle w:val="Compact"/>
              <w:jc w:val="left"/>
            </w:pPr>
            <w:r>
              <w:rPr>
                <w:rStyle w:val="VerbatimChar"/>
              </w:rPr>
              <w:t xml:space="preserve">RK-01</w:t>
            </w:r>
          </w:p>
        </w:tc>
        <w:tc>
          <w:tcPr/>
          <w:p>
            <w:pPr>
              <w:pStyle w:val="Compact"/>
              <w:jc w:val="left"/>
            </w:pPr>
            <w:r>
              <w:rPr>
                <w:bCs/>
                <w:b/>
              </w:rPr>
              <w:t xml:space="preserve">No persistence layer</w:t>
            </w:r>
            <w:r>
              <w:t xml:space="preserve"> </w:t>
            </w:r>
            <w:r>
              <w:t xml:space="preserve">— records lost on restart</w:t>
            </w:r>
          </w:p>
        </w:tc>
        <w:tc>
          <w:tcPr/>
          <w:p>
            <w:pPr>
              <w:pStyle w:val="Compact"/>
              <w:jc w:val="left"/>
            </w:pPr>
            <w:r>
              <w:rPr>
                <w:bCs/>
                <w:b/>
              </w:rPr>
              <w:t xml:space="preserve">Yes.</w:t>
            </w:r>
            <w:r>
              <w:t xml:space="preserve"> </w:t>
            </w:r>
            <w:r>
              <w:t xml:space="preserve">In-memory user store, never replaced</w:t>
            </w:r>
          </w:p>
        </w:tc>
        <w:tc>
          <w:tcPr/>
          <w:p>
            <w:pPr>
              <w:pStyle w:val="Compact"/>
              <w:jc w:val="left"/>
            </w:pPr>
            <w:r>
              <w:t xml:space="preserve">§S8.1 persistence is the first engineering deliverable, not a later dependency</w:t>
            </w:r>
          </w:p>
        </w:tc>
      </w:tr>
      <w:tr>
        <w:tc>
          <w:tcPr/>
          <w:p>
            <w:pPr>
              <w:pStyle w:val="Compact"/>
              <w:jc w:val="left"/>
            </w:pPr>
            <w:r>
              <w:rPr>
                <w:rStyle w:val="VerbatimChar"/>
              </w:rPr>
              <w:t xml:space="preserve">RK-02</w:t>
            </w:r>
          </w:p>
        </w:tc>
        <w:tc>
          <w:tcPr/>
          <w:p>
            <w:pPr>
              <w:pStyle w:val="Compact"/>
              <w:jc w:val="left"/>
            </w:pPr>
            <w:r>
              <w:rPr>
                <w:bCs/>
                <w:b/>
              </w:rPr>
              <w:t xml:space="preserve">Cloud identity / organisation-migration failure</w:t>
            </w:r>
            <w:r>
              <w:t xml:space="preserve"> </w:t>
            </w:r>
            <w:r>
              <w:t xml:space="preserve">stranding the project</w:t>
            </w:r>
          </w:p>
        </w:tc>
        <w:tc>
          <w:tcPr/>
          <w:p>
            <w:pPr>
              <w:pStyle w:val="Compact"/>
              <w:jc w:val="left"/>
            </w:pPr>
            <w:r>
              <w:rPr>
                <w:bCs/>
                <w:b/>
              </w:rPr>
              <w:t xml:space="preserve">Yes.</w:t>
            </w:r>
            <w:r>
              <w:t xml:space="preserve"> </w:t>
            </w:r>
            <w:r>
              <w:t xml:space="preserve">Expired principal, project in an un-migrated org</w:t>
            </w:r>
          </w:p>
        </w:tc>
        <w:tc>
          <w:tcPr/>
          <w:p>
            <w:pPr>
              <w:pStyle w:val="Compact"/>
              <w:jc w:val="left"/>
            </w:pPr>
            <w:r>
              <w:t xml:space="preserve">Infrastructure-as-code with a single state; identity recovery is a named gap (</w:t>
            </w:r>
            <w:r>
              <w:rPr>
                <w:rStyle w:val="VerbatimChar"/>
              </w:rPr>
              <w:t xml:space="preserve">ENG-01</w:t>
            </w:r>
            <w:r>
              <w:t xml:space="preserve">) and is explicitly</w:t>
            </w:r>
            <w:r>
              <w:t xml:space="preserve"> </w:t>
            </w:r>
            <w:r>
              <w:rPr>
                <w:bCs/>
                <w:b/>
              </w:rPr>
              <w:t xml:space="preserve">not</w:t>
            </w:r>
            <w:r>
              <w:t xml:space="preserve"> </w:t>
            </w:r>
            <w:r>
              <w:t xml:space="preserve">an authoring precondition</w:t>
            </w:r>
          </w:p>
        </w:tc>
      </w:tr>
      <w:tr>
        <w:tc>
          <w:tcPr/>
          <w:p>
            <w:pPr>
              <w:pStyle w:val="Compact"/>
              <w:jc w:val="left"/>
            </w:pPr>
            <w:r>
              <w:rPr>
                <w:rStyle w:val="VerbatimChar"/>
              </w:rPr>
              <w:t xml:space="preserve">RK-03</w:t>
            </w:r>
          </w:p>
        </w:tc>
        <w:tc>
          <w:tcPr/>
          <w:p>
            <w:pPr>
              <w:pStyle w:val="Compact"/>
              <w:jc w:val="left"/>
            </w:pPr>
            <w:r>
              <w:rPr>
                <w:bCs/>
                <w:b/>
              </w:rPr>
              <w:t xml:space="preserve">Billing suspension</w:t>
            </w:r>
            <w:r>
              <w:t xml:space="preserve"> </w:t>
            </w:r>
            <w:r>
              <w:t xml:space="preserve">silently disabling the runtime</w:t>
            </w:r>
          </w:p>
        </w:tc>
        <w:tc>
          <w:tcPr/>
          <w:p>
            <w:pPr>
              <w:pStyle w:val="Compact"/>
              <w:jc w:val="left"/>
            </w:pPr>
            <w:r>
              <w:rPr>
                <w:bCs/>
                <w:b/>
              </w:rPr>
              <w:t xml:space="preserve">Yes</w:t>
            </w:r>
          </w:p>
        </w:tc>
        <w:tc>
          <w:tcPr/>
          <w:p>
            <w:pPr>
              <w:pStyle w:val="Compact"/>
              <w:jc w:val="left"/>
            </w:pPr>
            <w:r>
              <w:t xml:space="preserve">Billing state is a monitored operational fact with alerting, not an assumption</w:t>
            </w:r>
          </w:p>
        </w:tc>
      </w:tr>
      <w:tr>
        <w:tc>
          <w:tcPr/>
          <w:p>
            <w:pPr>
              <w:pStyle w:val="Compact"/>
              <w:jc w:val="left"/>
            </w:pPr>
            <w:r>
              <w:rPr>
                <w:rStyle w:val="VerbatimChar"/>
              </w:rPr>
              <w:t xml:space="preserve">RK-04</w:t>
            </w:r>
          </w:p>
        </w:tc>
        <w:tc>
          <w:tcPr/>
          <w:p>
            <w:pPr>
              <w:pStyle w:val="Compact"/>
              <w:jc w:val="left"/>
            </w:pPr>
            <w:r>
              <w:rPr>
                <w:bCs/>
                <w:b/>
              </w:rPr>
              <w:t xml:space="preserve">Single-founder bandwidth</w:t>
            </w:r>
          </w:p>
        </w:tc>
        <w:tc>
          <w:tcPr/>
          <w:p>
            <w:pPr>
              <w:pStyle w:val="Compact"/>
              <w:jc w:val="left"/>
            </w:pPr>
            <w:r>
              <w:rPr>
                <w:bCs/>
                <w:b/>
              </w:rPr>
              <w:t xml:space="preserve">Yes.</w:t>
            </w:r>
            <w:r>
              <w:t xml:space="preserve"> </w:t>
            </w:r>
            <w:r>
              <w:t xml:space="preserve">The explicit basis of the D-2 deferral</w:t>
            </w:r>
          </w:p>
        </w:tc>
        <w:tc>
          <w:tcPr/>
          <w:p>
            <w:pPr>
              <w:pStyle w:val="Compact"/>
              <w:jc w:val="left"/>
            </w:pPr>
            <w:r>
              <w:t xml:space="preserve">Sequencing in §S1.6; named-account go-to-market sized to founder capacity (§S9.6);</w:t>
            </w:r>
            <w:r>
              <w:t xml:space="preserve"> </w:t>
            </w:r>
            <w:r>
              <w:rPr>
                <w:bCs/>
                <w:b/>
              </w:rPr>
              <w:t xml:space="preserve">no criterion in §S10.3 requires the founder to be present</w:t>
            </w:r>
          </w:p>
        </w:tc>
      </w:tr>
      <w:tr>
        <w:tc>
          <w:tcPr/>
          <w:p>
            <w:pPr>
              <w:pStyle w:val="Compact"/>
              <w:jc w:val="left"/>
            </w:pPr>
            <w:r>
              <w:rPr>
                <w:rStyle w:val="VerbatimChar"/>
              </w:rPr>
              <w:t xml:space="preserve">RK-05</w:t>
            </w:r>
          </w:p>
        </w:tc>
        <w:tc>
          <w:tcPr/>
          <w:p>
            <w:pPr>
              <w:pStyle w:val="Compact"/>
              <w:jc w:val="left"/>
            </w:pPr>
            <w:r>
              <w:rPr>
                <w:bCs/>
                <w:b/>
              </w:rPr>
              <w:t xml:space="preserve">Regulatory</w:t>
            </w:r>
            <w:r>
              <w:rPr>
                <w:bCs/>
                <w:b/>
              </w:rPr>
              <w:t xml:space="preserve"> </w:t>
            </w:r>
            <w:r>
              <w:rPr>
                <w:iCs/>
                <w:i/>
                <w:bCs/>
                <w:b/>
              </w:rPr>
              <w:t xml:space="preserve">absence</w:t>
            </w:r>
            <w:r>
              <w:rPr>
                <w:bCs/>
                <w:b/>
              </w:rPr>
              <w:t xml:space="preserve">, not regulatory change</w:t>
            </w:r>
            <w:r>
              <w:t xml:space="preserve"> </w:t>
            </w:r>
            <w:r>
              <w:t xml:space="preserve">— the veterinary telemedicine framework does not exist to change</w:t>
            </w:r>
          </w:p>
        </w:tc>
        <w:tc>
          <w:tcPr/>
          <w:p>
            <w:pPr>
              <w:pStyle w:val="Compact"/>
              <w:jc w:val="left"/>
            </w:pPr>
            <w:r>
              <w:rPr>
                <w:bCs/>
                <w:b/>
              </w:rPr>
              <w:t xml:space="preserve">Yes.</w:t>
            </w:r>
            <w:r>
              <w:t xml:space="preserve"> </w:t>
            </w:r>
            <w:r>
              <w:t xml:space="preserve">Carried as an open item for months</w:t>
            </w:r>
          </w:p>
        </w:tc>
        <w:tc>
          <w:tcPr/>
          <w:p>
            <w:pPr>
              <w:pStyle w:val="Compact"/>
              <w:jc w:val="left"/>
            </w:pPr>
            <w:r>
              <w:t xml:space="preserve">§S6.2 records it as</w:t>
            </w:r>
            <w:r>
              <w:t xml:space="preserve"> </w:t>
            </w:r>
            <w:r>
              <w:rPr>
                <w:rStyle w:val="VerbatimChar"/>
              </w:rPr>
              <w:t xml:space="preserve">SILENT-UNRESOLVED</w:t>
            </w:r>
            <w:r>
              <w:t xml:space="preserve">, makes it precondition</w:t>
            </w:r>
            <w:r>
              <w:t xml:space="preserve"> </w:t>
            </w:r>
            <w:r>
              <w:rPr>
                <w:rStyle w:val="VerbatimChar"/>
              </w:rPr>
              <w:t xml:space="preserve">P2</w:t>
            </w:r>
            <w:r>
              <w:t xml:space="preserve">, and ships the RCVS-derived floor regardless</w:t>
            </w:r>
          </w:p>
        </w:tc>
      </w:tr>
      <w:tr>
        <w:tc>
          <w:tcPr/>
          <w:p>
            <w:pPr>
              <w:pStyle w:val="Compact"/>
              <w:jc w:val="left"/>
            </w:pPr>
            <w:r>
              <w:rPr>
                <w:rStyle w:val="VerbatimChar"/>
              </w:rPr>
              <w:t xml:space="preserve">RK-06</w:t>
            </w:r>
          </w:p>
        </w:tc>
        <w:tc>
          <w:tcPr/>
          <w:p>
            <w:pPr>
              <w:pStyle w:val="Compact"/>
              <w:jc w:val="left"/>
            </w:pPr>
            <w:r>
              <w:rPr>
                <w:bCs/>
                <w:b/>
              </w:rPr>
              <w:t xml:space="preserve">Brand and identity fragmentation</w:t>
            </w:r>
          </w:p>
        </w:tc>
        <w:tc>
          <w:tcPr/>
          <w:p>
            <w:pPr>
              <w:pStyle w:val="Compact"/>
              <w:jc w:val="left"/>
            </w:pPr>
            <w:r>
              <w:rPr>
                <w:bCs/>
                <w:b/>
              </w:rPr>
              <w:t xml:space="preserve">Yes.</w:t>
            </w:r>
            <w:r>
              <w:t xml:space="preserve"> </w:t>
            </w:r>
            <w:r>
              <w:t xml:space="preserve">Four surfaces, three spellings, unresolved for four months</w:t>
            </w:r>
          </w:p>
        </w:tc>
        <w:tc>
          <w:tcPr/>
          <w:p>
            <w:pPr>
              <w:pStyle w:val="Compact"/>
              <w:jc w:val="left"/>
            </w:pPr>
            <w:r>
              <w:t xml:space="preserve">Closed by</w:t>
            </w:r>
            <w:r>
              <w:t xml:space="preserve"> </w:t>
            </w:r>
            <w:r>
              <w:rPr>
                <w:rStyle w:val="VerbatimChar"/>
              </w:rPr>
              <w:t xml:space="preserve">DL-MBRD-ACT-002</w:t>
            </w:r>
            <w:r>
              <w:t xml:space="preserve">; §S1.1 records the lineage;</w:t>
            </w:r>
            <w:r>
              <w:t xml:space="preserve"> </w:t>
            </w:r>
            <w:r>
              <w:rPr>
                <w:bCs/>
                <w:b/>
              </w:rPr>
              <w:t xml:space="preserve">legacy identifiers are protected as intentional, not renamed</w:t>
            </w:r>
          </w:p>
        </w:tc>
      </w:tr>
      <w:tr>
        <w:tc>
          <w:tcPr/>
          <w:p>
            <w:pPr>
              <w:pStyle w:val="Compact"/>
              <w:jc w:val="left"/>
            </w:pPr>
            <w:r>
              <w:rPr>
                <w:rStyle w:val="VerbatimChar"/>
              </w:rPr>
              <w:t xml:space="preserve">RK-07</w:t>
            </w:r>
          </w:p>
        </w:tc>
        <w:tc>
          <w:tcPr/>
          <w:p>
            <w:pPr>
              <w:pStyle w:val="Compact"/>
              <w:jc w:val="left"/>
            </w:pPr>
            <w:r>
              <w:rPr>
                <w:bCs/>
                <w:b/>
              </w:rPr>
              <w:t xml:space="preserve">Requirements continuity never completed while identity continuity was governed</w:t>
            </w:r>
          </w:p>
        </w:tc>
        <w:tc>
          <w:tcPr/>
          <w:p>
            <w:pPr>
              <w:pStyle w:val="Compact"/>
              <w:jc w:val="left"/>
            </w:pPr>
            <w:r>
              <w:rPr>
                <w:bCs/>
                <w:b/>
              </w:rPr>
              <w:t xml:space="preserve">Yes.</w:t>
            </w:r>
            <w:r>
              <w:t xml:space="preserve"> </w:t>
            </w:r>
            <w:r>
              <w:t xml:space="preserve">The precise diagnosis of the whole estate defect</w:t>
            </w:r>
          </w:p>
        </w:tc>
        <w:tc>
          <w:tcPr/>
          <w:p>
            <w:pPr>
              <w:pStyle w:val="Compact"/>
              <w:jc w:val="left"/>
            </w:pPr>
            <w:r>
              <w:t xml:space="preserve">Annex A performs the bridge; §S1.5 records the custody exception</w:t>
            </w:r>
          </w:p>
        </w:tc>
      </w:tr>
      <w:tr>
        <w:tc>
          <w:tcPr/>
          <w:p>
            <w:pPr>
              <w:pStyle w:val="Compact"/>
              <w:jc w:val="left"/>
            </w:pPr>
            <w:r>
              <w:rPr>
                <w:rStyle w:val="VerbatimChar"/>
              </w:rPr>
              <w:t xml:space="preserve">RK-08</w:t>
            </w:r>
          </w:p>
        </w:tc>
        <w:tc>
          <w:tcPr/>
          <w:p>
            <w:pPr>
              <w:pStyle w:val="Compact"/>
              <w:jc w:val="left"/>
            </w:pPr>
            <w:r>
              <w:rPr>
                <w:bCs/>
                <w:b/>
              </w:rPr>
              <w:t xml:space="preserve">Reporting surfaces diverging from evidence surfaces</w:t>
            </w:r>
          </w:p>
        </w:tc>
        <w:tc>
          <w:tcPr/>
          <w:p>
            <w:pPr>
              <w:pStyle w:val="Compact"/>
              <w:jc w:val="left"/>
            </w:pPr>
            <w:r>
              <w:rPr>
                <w:bCs/>
                <w:b/>
              </w:rPr>
              <w:t xml:space="preserve">Yes.</w:t>
            </w:r>
            <w:r>
              <w:t xml:space="preserve"> </w:t>
            </w:r>
            <w:r>
              <w:t xml:space="preserve">90%/HEALTHY/Go-Live-Approved against 0% requirement completion</w:t>
            </w:r>
          </w:p>
        </w:tc>
        <w:tc>
          <w:tcPr/>
          <w:p>
            <w:pPr>
              <w:pStyle w:val="Compact"/>
              <w:jc w:val="left"/>
            </w:pPr>
            <w:r>
              <w:t xml:space="preserve">§S10.1 mandates both frameworks reported side by side; §S10.3 replaces the percentage instrument entirely</w:t>
            </w:r>
          </w:p>
        </w:tc>
      </w:tr>
      <w:tr>
        <w:tc>
          <w:tcPr/>
          <w:p>
            <w:pPr>
              <w:pStyle w:val="Compact"/>
              <w:jc w:val="left"/>
            </w:pPr>
            <w:r>
              <w:rPr>
                <w:rStyle w:val="VerbatimChar"/>
              </w:rPr>
              <w:t xml:space="preserve">RK-09</w:t>
            </w:r>
          </w:p>
        </w:tc>
        <w:tc>
          <w:tcPr/>
          <w:p>
            <w:pPr>
              <w:pStyle w:val="Compact"/>
              <w:jc w:val="left"/>
            </w:pPr>
            <w:r>
              <w:t xml:space="preserve">Reference-data licence unobtainable on acceptable terms</w:t>
            </w:r>
          </w:p>
        </w:tc>
        <w:tc>
          <w:tcPr/>
          <w:p>
            <w:pPr>
              <w:pStyle w:val="Compact"/>
              <w:jc w:val="left"/>
            </w:pPr>
            <w:r>
              <w:t xml:space="preserve">Not yet</w:t>
            </w:r>
          </w:p>
        </w:tc>
        <w:tc>
          <w:tcPr/>
          <w:p>
            <w:pPr>
              <w:pStyle w:val="Compact"/>
              <w:jc w:val="left"/>
            </w:pPr>
            <w:r>
              <w:rPr>
                <w:rStyle w:val="VerbatimChar"/>
              </w:rPr>
              <w:t xml:space="preserve">D-009</w:t>
            </w:r>
            <w:r>
              <w:t xml:space="preserve">: if no embedding licence is secured,</w:t>
            </w:r>
            <w:r>
              <w:t xml:space="preserve"> </w:t>
            </w:r>
            <w:r>
              <w:rPr>
                <w:rStyle w:val="VerbatimChar"/>
              </w:rPr>
              <w:t xml:space="preserve">D-103</w:t>
            </w:r>
            <w:r>
              <w:t xml:space="preserve"> </w:t>
            </w:r>
            <w:r>
              <w:t xml:space="preserve">and</w:t>
            </w:r>
            <w:r>
              <w:t xml:space="preserve"> </w:t>
            </w:r>
            <w:r>
              <w:rPr>
                <w:rStyle w:val="VerbatimChar"/>
              </w:rPr>
              <w:t xml:space="preserve">D-104</w:t>
            </w:r>
            <w:r>
              <w:t xml:space="preserve"> </w:t>
            </w:r>
            <w:r>
              <w:t xml:space="preserve">do not ship.</w:t>
            </w:r>
            <w:r>
              <w:t xml:space="preserve"> </w:t>
            </w:r>
            <w:r>
              <w:rPr>
                <w:bCs/>
                <w:b/>
              </w:rPr>
              <w:t xml:space="preserve">No in-house fallback is permitted</w:t>
            </w:r>
          </w:p>
        </w:tc>
      </w:tr>
      <w:tr>
        <w:tc>
          <w:tcPr/>
          <w:p>
            <w:pPr>
              <w:pStyle w:val="Compact"/>
              <w:jc w:val="left"/>
            </w:pPr>
            <w:r>
              <w:rPr>
                <w:rStyle w:val="VerbatimChar"/>
              </w:rPr>
              <w:t xml:space="preserve">RK-10</w:t>
            </w:r>
          </w:p>
        </w:tc>
        <w:tc>
          <w:tcPr/>
          <w:p>
            <w:pPr>
              <w:pStyle w:val="Compact"/>
              <w:jc w:val="left"/>
            </w:pPr>
            <w:r>
              <w:t xml:space="preserve">Clinics will not pay near-global rates</w:t>
            </w:r>
          </w:p>
        </w:tc>
        <w:tc>
          <w:tcPr/>
          <w:p>
            <w:pPr>
              <w:pStyle w:val="Compact"/>
              <w:jc w:val="left"/>
            </w:pPr>
            <w:r>
              <w:t xml:space="preserve">Not yet</w:t>
            </w:r>
          </w:p>
        </w:tc>
        <w:tc>
          <w:tcPr/>
          <w:p>
            <w:pPr>
              <w:pStyle w:val="Compact"/>
              <w:jc w:val="left"/>
            </w:pPr>
            <w:r>
              <w:rPr>
                <w:rStyle w:val="VerbatimChar"/>
              </w:rPr>
              <w:t xml:space="preserve">[HYPOTHESIS]</w:t>
            </w:r>
            <w:r>
              <w:t xml:space="preserve">; validation is gap</w:t>
            </w:r>
            <w:r>
              <w:t xml:space="preserve"> </w:t>
            </w:r>
            <w:r>
              <w:rPr>
                <w:rStyle w:val="VerbatimChar"/>
              </w:rPr>
              <w:t xml:space="preserve">MKT-02</w:t>
            </w:r>
            <w:r>
              <w:t xml:space="preserve">, closable in ~3 weeks</w:t>
            </w:r>
          </w:p>
        </w:tc>
      </w:tr>
      <w:tr>
        <w:tc>
          <w:tcPr/>
          <w:p>
            <w:pPr>
              <w:pStyle w:val="Compact"/>
              <w:jc w:val="left"/>
            </w:pPr>
            <w:r>
              <w:rPr>
                <w:rStyle w:val="VerbatimChar"/>
              </w:rPr>
              <w:t xml:space="preserve">RK-11</w:t>
            </w:r>
          </w:p>
        </w:tc>
        <w:tc>
          <w:tcPr/>
          <w:p>
            <w:pPr>
              <w:pStyle w:val="Compact"/>
              <w:jc w:val="left"/>
            </w:pPr>
            <w:r>
              <w:t xml:space="preserve">Cross-tenant exposure</w:t>
            </w:r>
          </w:p>
        </w:tc>
        <w:tc>
          <w:tcPr/>
          <w:p>
            <w:pPr>
              <w:pStyle w:val="Compact"/>
              <w:jc w:val="left"/>
            </w:pPr>
            <w:r>
              <w:rPr>
                <w:bCs/>
                <w:b/>
              </w:rPr>
              <w:t xml:space="preserve">Precedent exists in the estate</w:t>
            </w:r>
          </w:p>
        </w:tc>
        <w:tc>
          <w:tcPr/>
          <w:p>
            <w:pPr>
              <w:pStyle w:val="Compact"/>
              <w:jc w:val="left"/>
            </w:pPr>
            <w:r>
              <w:t xml:space="preserve">Four independent layers (§S8.2), six continuous tests, and the removal of standing human write access</w:t>
            </w:r>
          </w:p>
        </w:tc>
      </w:tr>
      <w:tr>
        <w:tc>
          <w:tcPr/>
          <w:p>
            <w:pPr>
              <w:pStyle w:val="Compact"/>
              <w:jc w:val="left"/>
            </w:pPr>
            <w:r>
              <w:rPr>
                <w:rStyle w:val="VerbatimChar"/>
              </w:rPr>
              <w:t xml:space="preserve">RK-12</w:t>
            </w:r>
          </w:p>
        </w:tc>
        <w:tc>
          <w:tcPr/>
          <w:p>
            <w:pPr>
              <w:pStyle w:val="Compact"/>
              <w:jc w:val="left"/>
            </w:pPr>
            <w:r>
              <w:t xml:space="preserve">ZATCA certificate expiry stopping the clinic taking money</w:t>
            </w:r>
          </w:p>
        </w:tc>
        <w:tc>
          <w:tcPr/>
          <w:p>
            <w:pPr>
              <w:pStyle w:val="Compact"/>
              <w:jc w:val="left"/>
            </w:pPr>
            <w:r>
              <w:t xml:space="preserve">Not yet</w:t>
            </w:r>
          </w:p>
        </w:tc>
        <w:tc>
          <w:tcPr/>
          <w:p>
            <w:pPr>
              <w:pStyle w:val="Compact"/>
              <w:jc w:val="left"/>
            </w:pPr>
            <w:r>
              <w:t xml:space="preserve">Renewal at T-30 with escalation at T-7; certificate state on the compliance view</w:t>
            </w:r>
          </w:p>
        </w:tc>
      </w:tr>
      <w:tr>
        <w:tc>
          <w:tcPr/>
          <w:p>
            <w:pPr>
              <w:pStyle w:val="Compact"/>
              <w:jc w:val="left"/>
            </w:pPr>
            <w:r>
              <w:rPr>
                <w:rStyle w:val="VerbatimChar"/>
              </w:rPr>
              <w:t xml:space="preserve">RK-13</w:t>
            </w:r>
          </w:p>
        </w:tc>
        <w:tc>
          <w:tcPr/>
          <w:p>
            <w:pPr>
              <w:pStyle w:val="Compact"/>
              <w:jc w:val="left"/>
            </w:pPr>
            <w:r>
              <w:t xml:space="preserve">Alert fatigue turning safety features into noise</w:t>
            </w:r>
          </w:p>
        </w:tc>
        <w:tc>
          <w:tcPr/>
          <w:p>
            <w:pPr>
              <w:pStyle w:val="Compact"/>
              <w:jc w:val="left"/>
            </w:pPr>
            <w:r>
              <w:t xml:space="preserve">Not yet</w:t>
            </w:r>
          </w:p>
        </w:tc>
        <w:tc>
          <w:tcPr/>
          <w:p>
            <w:pPr>
              <w:pStyle w:val="Compact"/>
              <w:jc w:val="left"/>
            </w:pPr>
            <w:r>
              <w:t xml:space="preserve">Major-severity only in Phase 1; drift monitors on override rate and dwell time; a hard clinician-adjudicated false-positive bar</w:t>
            </w:r>
          </w:p>
        </w:tc>
      </w:tr>
      <w:tr>
        <w:tc>
          <w:tcPr/>
          <w:p>
            <w:pPr>
              <w:pStyle w:val="Compact"/>
              <w:jc w:val="left"/>
            </w:pPr>
            <w:r>
              <w:rPr>
                <w:rStyle w:val="VerbatimChar"/>
              </w:rPr>
              <w:t xml:space="preserve">RK-14</w:t>
            </w:r>
          </w:p>
        </w:tc>
        <w:tc>
          <w:tcPr/>
          <w:p>
            <w:pPr>
              <w:pStyle w:val="Compact"/>
              <w:jc w:val="left"/>
            </w:pPr>
            <w:r>
              <w:t xml:space="preserve">A pack handed to an inspector that hides a gap</w:t>
            </w:r>
          </w:p>
        </w:tc>
        <w:tc>
          <w:tcPr/>
          <w:p>
            <w:pPr>
              <w:pStyle w:val="Compact"/>
              <w:jc w:val="left"/>
            </w:pPr>
            <w:r>
              <w:t xml:space="preserve">Not yet</w:t>
            </w:r>
          </w:p>
        </w:tc>
        <w:tc>
          <w:tcPr/>
          <w:p>
            <w:pPr>
              <w:pStyle w:val="Compact"/>
              <w:jc w:val="left"/>
            </w:pPr>
            <w:r>
              <w:rPr>
                <w:rStyle w:val="VerbatimChar"/>
              </w:rPr>
              <w:t xml:space="preserve">A-119</w:t>
            </w:r>
            <w:r>
              <w:t xml:space="preserve"> </w:t>
            </w:r>
            <w:r>
              <w:t xml:space="preserve">adversarial audit;</w:t>
            </w:r>
            <w:r>
              <w:t xml:space="preserve"> </w:t>
            </w:r>
            <w:r>
              <w:rPr>
                <w:bCs/>
                <w:b/>
              </w:rPr>
              <w:t xml:space="preserve">honest-gap rendering is a P0</w:t>
            </w:r>
          </w:p>
        </w:tc>
      </w:tr>
      <w:tr>
        <w:tc>
          <w:tcPr/>
          <w:p>
            <w:pPr>
              <w:pStyle w:val="Compact"/>
              <w:jc w:val="left"/>
            </w:pPr>
            <w:r>
              <w:rPr>
                <w:rStyle w:val="VerbatimChar"/>
              </w:rPr>
              <w:t xml:space="preserve">RK-15</w:t>
            </w:r>
          </w:p>
        </w:tc>
        <w:tc>
          <w:tcPr/>
          <w:p>
            <w:pPr>
              <w:pStyle w:val="Compact"/>
              <w:jc w:val="left"/>
            </w:pPr>
            <w:r>
              <w:t xml:space="preserve">Full-region loss with no second KSA region</w:t>
            </w:r>
          </w:p>
        </w:tc>
        <w:tc>
          <w:tcPr/>
          <w:p>
            <w:pPr>
              <w:pStyle w:val="Compact"/>
              <w:jc w:val="left"/>
            </w:pPr>
            <w:r>
              <w:t xml:space="preserve">Not yet</w:t>
            </w:r>
          </w:p>
        </w:tc>
        <w:tc>
          <w:tcPr/>
          <w:p>
            <w:pPr>
              <w:pStyle w:val="Compact"/>
              <w:jc w:val="left"/>
            </w:pPr>
            <w:r>
              <w:t xml:space="preserve">Disclosed in the data processing agreement (§S8.6) rather than published as an unmeetable number</w:t>
            </w:r>
          </w:p>
        </w:tc>
      </w:tr>
    </w:tbl>
    <w:bookmarkEnd w:id="144"/>
    <w:bookmarkStart w:id="145" w:name="s105-traceability"/>
    <w:p>
      <w:pPr>
        <w:pStyle w:val="Heading2"/>
      </w:pPr>
      <w:r>
        <w:t xml:space="preserve">S10.5 Traceability</w:t>
      </w:r>
    </w:p>
    <w:p>
      <w:pPr>
        <w:pStyle w:val="FirstParagraph"/>
      </w:pPr>
      <w:r>
        <w:rPr>
          <w:rStyle w:val="VerbatimChar"/>
          <w:bCs/>
          <w:b/>
        </w:rPr>
        <w:t xml:space="preserve">A-007</w:t>
      </w:r>
      <w:r>
        <w:rPr>
          <w:bCs/>
          <w:b/>
        </w:rPr>
        <w:t xml:space="preserve"> </w:t>
      </w:r>
      <w:r>
        <w:rPr>
          <w:bCs/>
          <w:b/>
        </w:rPr>
        <w:t xml:space="preserve">— Every requirement carries one row: Surface ↔ Decision Support ↔ Data ↔ Engineering ↔ Acceptance ↔ Authority.</w:t>
      </w:r>
      <w:r>
        <w:t xml:space="preserve"> </w:t>
      </w:r>
      <w:r>
        <w:t xml:space="preserve">A requirement with an empty cell in any column is not a requirement; it is a wish.</w:t>
      </w:r>
      <w:r>
        <w:t xml:space="preserve"> </w:t>
      </w:r>
      <w:r>
        <w:rPr>
          <w:bCs/>
          <w:b/>
        </w:rPr>
        <w:t xml:space="preserve">This is the mechanism that makes</w:t>
      </w:r>
      <w:r>
        <w:rPr>
          <w:bCs/>
          <w:b/>
        </w:rPr>
        <w:t xml:space="preserve"> </w:t>
      </w:r>
      <w:r>
        <w:rPr>
          <w:rStyle w:val="VerbatimChar"/>
          <w:bCs/>
          <w:b/>
        </w:rPr>
        <w:t xml:space="preserve">FR-08 | AI symptom checker | Medium | 2</w:t>
      </w:r>
      <w:r>
        <w:rPr>
          <w:bCs/>
          <w:b/>
        </w:rPr>
        <w:t xml:space="preserve"> </w:t>
      </w:r>
      <w:r>
        <w:rPr>
          <w:bCs/>
          <w:b/>
        </w:rPr>
        <w:t xml:space="preserve">structurally impossible to write again.</w:t>
      </w:r>
    </w:p>
    <w:p>
      <w:pPr>
        <w:pStyle w:val="BodyText"/>
      </w:pPr>
      <w:r>
        <w:t xml:space="preserve">Worked example: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Requirement</w:t>
            </w:r>
          </w:p>
        </w:tc>
        <w:tc>
          <w:tcPr/>
          <w:p>
            <w:pPr>
              <w:pStyle w:val="Compact"/>
              <w:jc w:val="left"/>
            </w:pPr>
            <w:r>
              <w:t xml:space="preserve">Surface</w:t>
            </w:r>
          </w:p>
        </w:tc>
        <w:tc>
          <w:tcPr/>
          <w:p>
            <w:pPr>
              <w:pStyle w:val="Compact"/>
              <w:jc w:val="left"/>
            </w:pPr>
            <w:r>
              <w:t xml:space="preserve">Decision support</w:t>
            </w:r>
          </w:p>
        </w:tc>
        <w:tc>
          <w:tcPr/>
          <w:p>
            <w:pPr>
              <w:pStyle w:val="Compact"/>
              <w:jc w:val="left"/>
            </w:pPr>
            <w:r>
              <w:t xml:space="preserve">Data</w:t>
            </w:r>
          </w:p>
        </w:tc>
        <w:tc>
          <w:tcPr/>
          <w:p>
            <w:pPr>
              <w:pStyle w:val="Compact"/>
              <w:jc w:val="left"/>
            </w:pPr>
            <w:r>
              <w:t xml:space="preserve">Engineering</w:t>
            </w:r>
          </w:p>
        </w:tc>
        <w:tc>
          <w:tcPr/>
          <w:p>
            <w:pPr>
              <w:pStyle w:val="Compact"/>
              <w:jc w:val="left"/>
            </w:pPr>
            <w:r>
              <w:t xml:space="preserve">Acceptance</w:t>
            </w:r>
          </w:p>
        </w:tc>
        <w:tc>
          <w:tcPr/>
          <w:p>
            <w:pPr>
              <w:pStyle w:val="Compact"/>
              <w:jc w:val="left"/>
            </w:pPr>
            <w:r>
              <w:t xml:space="preserve">Authority</w:t>
            </w:r>
          </w:p>
        </w:tc>
      </w:tr>
      <w:tr>
        <w:tc>
          <w:tcPr/>
          <w:p>
            <w:pPr>
              <w:pStyle w:val="Compact"/>
              <w:jc w:val="left"/>
            </w:pPr>
            <w:r>
              <w:t xml:space="preserve">Notifiable-disease duty</w:t>
            </w:r>
          </w:p>
        </w:tc>
        <w:tc>
          <w:tcPr/>
          <w:p>
            <w:pPr>
              <w:pStyle w:val="Compact"/>
              <w:jc w:val="left"/>
            </w:pPr>
            <w:r>
              <w:rPr>
                <w:rStyle w:val="VerbatimChar"/>
              </w:rPr>
              <w:t xml:space="preserve">X-024</w:t>
            </w:r>
            <w:r>
              <w:t xml:space="preserve">–</w:t>
            </w:r>
            <w:r>
              <w:rPr>
                <w:rStyle w:val="VerbatimChar"/>
              </w:rPr>
              <w:t xml:space="preserve">X-029</w:t>
            </w:r>
          </w:p>
        </w:tc>
        <w:tc>
          <w:tcPr/>
          <w:p>
            <w:pPr>
              <w:pStyle w:val="Compact"/>
              <w:jc w:val="left"/>
            </w:pPr>
            <w:r>
              <w:rPr>
                <w:rStyle w:val="VerbatimChar"/>
              </w:rPr>
              <w:t xml:space="preserve">D-102</w:t>
            </w:r>
          </w:p>
        </w:tc>
        <w:tc>
          <w:tcPr/>
          <w:p>
            <w:pPr>
              <w:pStyle w:val="Compact"/>
              <w:jc w:val="left"/>
            </w:pPr>
            <w:r>
              <w:rPr>
                <w:rStyle w:val="VerbatimChar"/>
              </w:rPr>
              <w:t xml:space="preserve">NotifiableDiseaseReport</w:t>
            </w:r>
            <w:r>
              <w:t xml:space="preserve">,</w:t>
            </w:r>
            <w:r>
              <w:t xml:space="preserve"> </w:t>
            </w:r>
            <w:r>
              <w:rPr>
                <w:rStyle w:val="VerbatimChar"/>
              </w:rPr>
              <w:t xml:space="preserve">ProblemListEntry</w:t>
            </w:r>
            <w:r>
              <w:t xml:space="preserve">,</w:t>
            </w:r>
            <w:r>
              <w:t xml:space="preserve"> </w:t>
            </w:r>
            <w:r>
              <w:rPr>
                <w:rStyle w:val="VerbatimChar"/>
              </w:rPr>
              <w:t xml:space="preserve">M-007</w:t>
            </w:r>
          </w:p>
        </w:tc>
        <w:tc>
          <w:tcPr/>
          <w:p>
            <w:pPr>
              <w:pStyle w:val="Compact"/>
              <w:jc w:val="left"/>
            </w:pPr>
            <w:r>
              <w:rPr>
                <w:rStyle w:val="VerbatimChar"/>
              </w:rPr>
              <w:t xml:space="preserve">E-104</w:t>
            </w:r>
          </w:p>
        </w:tc>
        <w:tc>
          <w:tcPr/>
          <w:p>
            <w:pPr>
              <w:pStyle w:val="Compact"/>
              <w:jc w:val="left"/>
            </w:pPr>
            <w:r>
              <w:rPr>
                <w:rStyle w:val="VerbatimChar"/>
              </w:rPr>
              <w:t xml:space="preserve">A-110</w:t>
            </w:r>
            <w:r>
              <w:t xml:space="preserve">,</w:t>
            </w:r>
            <w:r>
              <w:t xml:space="preserve"> </w:t>
            </w:r>
            <w:r>
              <w:rPr>
                <w:rStyle w:val="VerbatimChar"/>
              </w:rPr>
              <w:t xml:space="preserve">A-111</w:t>
            </w:r>
          </w:p>
        </w:tc>
        <w:tc>
          <w:tcPr/>
          <w:p>
            <w:pPr>
              <w:pStyle w:val="Compact"/>
              <w:jc w:val="left"/>
            </w:pPr>
            <w:r>
              <w:rPr>
                <w:rStyle w:val="VerbatimChar"/>
              </w:rPr>
              <w:t xml:space="preserve">R-119</w:t>
            </w:r>
            <w:r>
              <w:t xml:space="preserve">–</w:t>
            </w:r>
            <w:r>
              <w:rPr>
                <w:rStyle w:val="VerbatimChar"/>
              </w:rPr>
              <w:t xml:space="preserve">R-121</w:t>
            </w:r>
            <w:r>
              <w:t xml:space="preserve"> </w:t>
            </w:r>
            <w:r>
              <w:t xml:space="preserve">(Weqaa / MEWA)</w:t>
            </w:r>
          </w:p>
        </w:tc>
      </w:tr>
      <w:tr>
        <w:tc>
          <w:tcPr/>
          <w:p>
            <w:pPr>
              <w:pStyle w:val="Compact"/>
              <w:jc w:val="left"/>
            </w:pPr>
            <w:r>
              <w:t xml:space="preserve">Remote prescribing constraint</w:t>
            </w:r>
          </w:p>
        </w:tc>
        <w:tc>
          <w:tcPr/>
          <w:p>
            <w:pPr>
              <w:pStyle w:val="Compact"/>
              <w:jc w:val="left"/>
            </w:pPr>
            <w:r>
              <w:rPr>
                <w:rStyle w:val="VerbatimChar"/>
              </w:rPr>
              <w:t xml:space="preserve">X-049</w:t>
            </w:r>
          </w:p>
        </w:tc>
        <w:tc>
          <w:tcPr/>
          <w:p>
            <w:pPr>
              <w:pStyle w:val="Compact"/>
              <w:jc w:val="left"/>
            </w:pPr>
            <w:r>
              <w:t xml:space="preserve">—</w:t>
            </w:r>
          </w:p>
        </w:tc>
        <w:tc>
          <w:tcPr/>
          <w:p>
            <w:pPr>
              <w:pStyle w:val="Compact"/>
              <w:jc w:val="left"/>
            </w:pPr>
            <w:r>
              <w:rPr>
                <w:rStyle w:val="VerbatimChar"/>
              </w:rPr>
              <w:t xml:space="preserve">PrescribingGate</w:t>
            </w:r>
            <w:r>
              <w:t xml:space="preserve">,</w:t>
            </w:r>
            <w:r>
              <w:t xml:space="preserve"> </w:t>
            </w:r>
            <w:r>
              <w:rPr>
                <w:rStyle w:val="VerbatimChar"/>
              </w:rPr>
              <w:t xml:space="preserve">ClinicalPolicy</w:t>
            </w:r>
            <w:r>
              <w:t xml:space="preserve">,</w:t>
            </w:r>
            <w:r>
              <w:t xml:space="preserve"> </w:t>
            </w:r>
            <w:r>
              <w:rPr>
                <w:rStyle w:val="VerbatimChar"/>
              </w:rPr>
              <w:t xml:space="preserve">Encounter.physical_examination_performed</w:t>
            </w:r>
          </w:p>
        </w:tc>
        <w:tc>
          <w:tcPr/>
          <w:p>
            <w:pPr>
              <w:pStyle w:val="Compact"/>
              <w:jc w:val="left"/>
            </w:pPr>
            <w:r>
              <w:rPr>
                <w:rStyle w:val="VerbatimChar"/>
              </w:rPr>
              <w:t xml:space="preserve">E-014</w:t>
            </w:r>
            <w:r>
              <w:t xml:space="preserve"> </w:t>
            </w:r>
            <w:r>
              <w:t xml:space="preserve">gate 2</w:t>
            </w:r>
          </w:p>
        </w:tc>
        <w:tc>
          <w:tcPr/>
          <w:p>
            <w:pPr>
              <w:pStyle w:val="Compact"/>
              <w:jc w:val="left"/>
            </w:pPr>
            <w:r>
              <w:rPr>
                <w:rStyle w:val="VerbatimChar"/>
              </w:rPr>
              <w:t xml:space="preserve">A-112</w:t>
            </w:r>
          </w:p>
        </w:tc>
        <w:tc>
          <w:tcPr/>
          <w:p>
            <w:pPr>
              <w:pStyle w:val="Compact"/>
              <w:jc w:val="left"/>
            </w:pPr>
            <w:r>
              <w:rPr>
                <w:rStyle w:val="VerbatimChar"/>
              </w:rPr>
              <w:t xml:space="preserve">R-110</w:t>
            </w:r>
            <w:r>
              <w:t xml:space="preserve">,</w:t>
            </w:r>
            <w:r>
              <w:t xml:space="preserve"> </w:t>
            </w:r>
            <w:r>
              <w:rPr>
                <w:rStyle w:val="VerbatimChar"/>
              </w:rPr>
              <w:t xml:space="preserve">R-111</w:t>
            </w:r>
            <w:r>
              <w:t xml:space="preserve"> </w:t>
            </w:r>
            <w:r>
              <w:t xml:space="preserve">(design floor)</w:t>
            </w:r>
          </w:p>
        </w:tc>
      </w:tr>
      <w:tr>
        <w:tc>
          <w:tcPr/>
          <w:p>
            <w:pPr>
              <w:pStyle w:val="Compact"/>
              <w:jc w:val="left"/>
            </w:pPr>
            <w:r>
              <w:t xml:space="preserve">Compliance position</w:t>
            </w:r>
          </w:p>
        </w:tc>
        <w:tc>
          <w:tcPr/>
          <w:p>
            <w:pPr>
              <w:pStyle w:val="Compact"/>
              <w:jc w:val="left"/>
            </w:pPr>
            <w:r>
              <w:rPr>
                <w:rStyle w:val="VerbatimChar"/>
              </w:rPr>
              <w:t xml:space="preserve">X-030</w:t>
            </w:r>
            <w:r>
              <w:t xml:space="preserve">–</w:t>
            </w:r>
            <w:r>
              <w:rPr>
                <w:rStyle w:val="VerbatimChar"/>
              </w:rPr>
              <w:t xml:space="preserve">X-035</w:t>
            </w:r>
          </w:p>
        </w:tc>
        <w:tc>
          <w:tcPr/>
          <w:p>
            <w:pPr>
              <w:pStyle w:val="Compact"/>
              <w:jc w:val="left"/>
            </w:pPr>
            <w:r>
              <w:rPr>
                <w:rStyle w:val="VerbatimChar"/>
              </w:rPr>
              <w:t xml:space="preserve">D-101</w:t>
            </w:r>
          </w:p>
        </w:tc>
        <w:tc>
          <w:tcPr/>
          <w:p>
            <w:pPr>
              <w:pStyle w:val="Compact"/>
              <w:jc w:val="left"/>
            </w:pPr>
            <w:r>
              <w:rPr>
                <w:rStyle w:val="VerbatimChar"/>
              </w:rPr>
              <w:t xml:space="preserve">Licence</w:t>
            </w:r>
            <w:r>
              <w:t xml:space="preserve">,</w:t>
            </w:r>
            <w:r>
              <w:t xml:space="preserve"> </w:t>
            </w:r>
            <w:r>
              <w:rPr>
                <w:rStyle w:val="VerbatimChar"/>
              </w:rPr>
              <w:t xml:space="preserve">LicenceGate</w:t>
            </w:r>
            <w:r>
              <w:t xml:space="preserve">,</w:t>
            </w:r>
            <w:r>
              <w:t xml:space="preserve"> </w:t>
            </w:r>
            <w:r>
              <w:rPr>
                <w:rStyle w:val="VerbatimChar"/>
              </w:rPr>
              <w:t xml:space="preserve">RetentionPolicy</w:t>
            </w:r>
          </w:p>
        </w:tc>
        <w:tc>
          <w:tcPr/>
          <w:p>
            <w:pPr>
              <w:pStyle w:val="Compact"/>
              <w:jc w:val="left"/>
            </w:pPr>
            <w:r>
              <w:rPr>
                <w:rStyle w:val="VerbatimChar"/>
              </w:rPr>
              <w:t xml:space="preserve">E-003</w:t>
            </w:r>
          </w:p>
        </w:tc>
        <w:tc>
          <w:tcPr/>
          <w:p>
            <w:pPr>
              <w:pStyle w:val="Compact"/>
              <w:jc w:val="left"/>
            </w:pPr>
            <w:r>
              <w:rPr>
                <w:rStyle w:val="VerbatimChar"/>
              </w:rPr>
              <w:t xml:space="preserve">A-118</w:t>
            </w:r>
            <w:r>
              <w:t xml:space="preserve">,</w:t>
            </w:r>
            <w:r>
              <w:t xml:space="preserve"> </w:t>
            </w:r>
            <w:r>
              <w:rPr>
                <w:rStyle w:val="VerbatimChar"/>
              </w:rPr>
              <w:t xml:space="preserve">A-119</w:t>
            </w:r>
          </w:p>
        </w:tc>
        <w:tc>
          <w:tcPr/>
          <w:p>
            <w:pPr>
              <w:pStyle w:val="Compact"/>
              <w:jc w:val="left"/>
            </w:pPr>
            <w:r>
              <w:rPr>
                <w:rStyle w:val="VerbatimChar"/>
              </w:rPr>
              <w:t xml:space="preserve">R-101</w:t>
            </w:r>
            <w:r>
              <w:t xml:space="preserve">–</w:t>
            </w:r>
            <w:r>
              <w:rPr>
                <w:rStyle w:val="VerbatimChar"/>
              </w:rPr>
              <w:t xml:space="preserve">R-108</w:t>
            </w:r>
          </w:p>
        </w:tc>
      </w:tr>
      <w:tr>
        <w:tc>
          <w:tcPr/>
          <w:p>
            <w:pPr>
              <w:pStyle w:val="Compact"/>
              <w:jc w:val="left"/>
            </w:pPr>
            <w:r>
              <w:t xml:space="preserve">Cleared invoicing</w:t>
            </w:r>
          </w:p>
        </w:tc>
        <w:tc>
          <w:tcPr/>
          <w:p>
            <w:pPr>
              <w:pStyle w:val="Compact"/>
              <w:jc w:val="left"/>
            </w:pPr>
            <w:r>
              <w:rPr>
                <w:rStyle w:val="VerbatimChar"/>
              </w:rPr>
              <w:t xml:space="preserve">X-036</w:t>
            </w:r>
            <w:r>
              <w:t xml:space="preserve">–</w:t>
            </w:r>
            <w:r>
              <w:rPr>
                <w:rStyle w:val="VerbatimChar"/>
              </w:rPr>
              <w:t xml:space="preserve">X-041</w:t>
            </w:r>
          </w:p>
        </w:tc>
        <w:tc>
          <w:tcPr/>
          <w:p>
            <w:pPr>
              <w:pStyle w:val="Compact"/>
              <w:jc w:val="left"/>
            </w:pPr>
            <w:r>
              <w:t xml:space="preserve">—</w:t>
            </w:r>
          </w:p>
        </w:tc>
        <w:tc>
          <w:tcPr/>
          <w:p>
            <w:pPr>
              <w:pStyle w:val="Compact"/>
              <w:jc w:val="left"/>
            </w:pPr>
            <w:r>
              <w:rPr>
                <w:rStyle w:val="VerbatimChar"/>
              </w:rPr>
              <w:t xml:space="preserve">EGSUnit</w:t>
            </w:r>
            <w:r>
              <w:t xml:space="preserve">,</w:t>
            </w:r>
            <w:r>
              <w:t xml:space="preserve"> </w:t>
            </w:r>
            <w:r>
              <w:rPr>
                <w:rStyle w:val="VerbatimChar"/>
              </w:rPr>
              <w:t xml:space="preserve">Invoice</w:t>
            </w:r>
            <w:r>
              <w:t xml:space="preserve">,</w:t>
            </w:r>
            <w:r>
              <w:t xml:space="preserve"> </w:t>
            </w:r>
            <w:r>
              <w:rPr>
                <w:rStyle w:val="VerbatimChar"/>
              </w:rPr>
              <w:t xml:space="preserve">InvoiceSubmission</w:t>
            </w:r>
          </w:p>
        </w:tc>
        <w:tc>
          <w:tcPr/>
          <w:p>
            <w:pPr>
              <w:pStyle w:val="Compact"/>
              <w:jc w:val="left"/>
            </w:pPr>
            <w:r>
              <w:rPr>
                <w:rStyle w:val="VerbatimChar"/>
              </w:rPr>
              <w:t xml:space="preserve">E-007</w:t>
            </w:r>
            <w:r>
              <w:t xml:space="preserve">–</w:t>
            </w:r>
            <w:r>
              <w:rPr>
                <w:rStyle w:val="VerbatimChar"/>
              </w:rPr>
              <w:t xml:space="preserve">E-012</w:t>
            </w:r>
          </w:p>
        </w:tc>
        <w:tc>
          <w:tcPr/>
          <w:p>
            <w:pPr>
              <w:pStyle w:val="Compact"/>
              <w:jc w:val="left"/>
            </w:pPr>
            <w:r>
              <w:rPr>
                <w:rStyle w:val="VerbatimChar"/>
              </w:rPr>
              <w:t xml:space="preserve">A-115</w:t>
            </w:r>
            <w:r>
              <w:t xml:space="preserve">–</w:t>
            </w:r>
            <w:r>
              <w:rPr>
                <w:rStyle w:val="VerbatimChar"/>
              </w:rPr>
              <w:t xml:space="preserve">A-117</w:t>
            </w:r>
          </w:p>
        </w:tc>
        <w:tc>
          <w:tcPr/>
          <w:p>
            <w:pPr>
              <w:pStyle w:val="Compact"/>
              <w:jc w:val="left"/>
            </w:pPr>
            <w:r>
              <w:t xml:space="preserve">ZATCA Phase 2</w:t>
            </w:r>
          </w:p>
        </w:tc>
      </w:tr>
    </w:tbl>
    <w:bookmarkEnd w:id="145"/>
    <w:bookmarkStart w:id="146" w:name="s106-ratification-posture"/>
    <w:p>
      <w:pPr>
        <w:pStyle w:val="Heading2"/>
      </w:pPr>
      <w:r>
        <w:t xml:space="preserve">S10.6 Ratification posture</w:t>
      </w:r>
    </w:p>
    <w:p>
      <w:pPr>
        <w:pStyle w:val="FirstParagraph"/>
      </w:pPr>
      <w:r>
        <w:rPr>
          <w:rStyle w:val="VerbatimChar"/>
          <w:bCs/>
          <w:b/>
        </w:rPr>
        <w:t xml:space="preserve">A-008</w:t>
      </w:r>
      <w:r>
        <w:rPr>
          <w:bCs/>
          <w:b/>
        </w:rPr>
        <w:t xml:space="preserve"> </w:t>
      </w:r>
      <w:r>
        <w:rPr>
          <w:bCs/>
          <w:b/>
        </w:rPr>
        <w:t xml:space="preserve">— This document does not change the platform's constitutional state.</w:t>
      </w:r>
      <w:r>
        <w:t xml:space="preserve"> </w:t>
      </w:r>
      <w:r>
        <w:t xml:space="preserve">MyVetiCare remains</w:t>
      </w:r>
      <w:r>
        <w:t xml:space="preserve"> </w:t>
      </w:r>
      <w:r>
        <w:rPr>
          <w:rStyle w:val="VerbatimChar"/>
        </w:rPr>
        <w:t xml:space="preserve">SPECIFIED — NOT AUTHORIZED</w:t>
      </w:r>
      <w:r>
        <w:t xml:space="preserve"> </w:t>
      </w:r>
      <w:r>
        <w:t xml:space="preserve">and remains deferred out of Phase 1 by</w:t>
      </w:r>
      <w:r>
        <w:t xml:space="preserve"> </w:t>
      </w:r>
      <w:r>
        <w:rPr>
          <w:rStyle w:val="VerbatimChar"/>
        </w:rPr>
        <w:t xml:space="preserve">DL-P1-SCOPE-001</w:t>
      </w:r>
      <w:r>
        <w:t xml:space="preserve">.</w:t>
      </w:r>
      <w:r>
        <w:t xml:space="preserve"> </w:t>
      </w:r>
      <w:r>
        <w:rPr>
          <w:bCs/>
          <w:b/>
        </w:rPr>
        <w:t xml:space="preserve">This draft authorises no build.</w:t>
      </w:r>
    </w:p>
    <w:p>
      <w:pPr>
        <w:pStyle w:val="BodyText"/>
      </w:pPr>
      <w:r>
        <w:rPr>
          <w:rStyle w:val="VerbatimChar"/>
          <w:bCs/>
          <w:b/>
        </w:rPr>
        <w:t xml:space="preserve">A-009</w:t>
      </w:r>
      <w:r>
        <w:rPr>
          <w:bCs/>
          <w:b/>
        </w:rPr>
        <w:t xml:space="preserve"> </w:t>
      </w:r>
      <w:r>
        <w:rPr>
          <w:bCs/>
          <w:b/>
        </w:rPr>
        <w:t xml:space="preserve">— On Sponsor approval, and only after preconditions</w:t>
      </w:r>
      <w:r>
        <w:rPr>
          <w:bCs/>
          <w:b/>
        </w:rPr>
        <w:t xml:space="preserve"> </w:t>
      </w:r>
      <w:r>
        <w:rPr>
          <w:rStyle w:val="VerbatimChar"/>
          <w:bCs/>
          <w:b/>
        </w:rPr>
        <w:t xml:space="preserve">P1</w:t>
      </w:r>
      <w:r>
        <w:rPr>
          <w:bCs/>
          <w:b/>
        </w:rPr>
        <w:t xml:space="preserve">–</w:t>
      </w:r>
      <w:r>
        <w:rPr>
          <w:rStyle w:val="VerbatimChar"/>
          <w:bCs/>
          <w:b/>
        </w:rPr>
        <w:t xml:space="preserve">P3</w:t>
      </w:r>
      <w:r>
        <w:rPr>
          <w:bCs/>
          <w:b/>
        </w:rPr>
        <w:t xml:space="preserve"> </w:t>
      </w:r>
      <w:r>
        <w:rPr>
          <w:bCs/>
          <w:b/>
        </w:rPr>
        <w:t xml:space="preserve">are discharged, this instrument becomes the authoritative product requirements baseline for MyVetiCare.</w:t>
      </w:r>
      <w:r>
        <w:t xml:space="preserve"> </w:t>
      </w:r>
      <w:r>
        <w:t xml:space="preserve">Constitutional documents remain governing constraints above it. Sources are classified as:</w:t>
      </w:r>
      <w:r>
        <w:t xml:space="preserve"> </w:t>
      </w:r>
      <w:r>
        <w:rPr>
          <w:bCs/>
          <w:b/>
        </w:rPr>
        <w:t xml:space="preserve">ABSORBED</w:t>
      </w:r>
      <w:r>
        <w:t xml:space="preserve"> </w:t>
      </w:r>
      <w:r>
        <w:t xml:space="preserve">(Annex A</w:t>
      </w:r>
      <w:r>
        <w:t xml:space="preserve"> </w:t>
      </w:r>
      <w:r>
        <w:rPr>
          <w:rStyle w:val="VerbatimChar"/>
        </w:rPr>
        <w:t xml:space="preserve">RETAIN</w:t>
      </w:r>
      <w:r>
        <w:t xml:space="preserve">/</w:t>
      </w:r>
      <w:r>
        <w:rPr>
          <w:rStyle w:val="VerbatimChar"/>
        </w:rPr>
        <w:t xml:space="preserve">MODIFY</w:t>
      </w:r>
      <w:r>
        <w:t xml:space="preserve"> </w:t>
      </w:r>
      <w:r>
        <w:t xml:space="preserve">rows) ·</w:t>
      </w:r>
      <w:r>
        <w:t xml:space="preserve"> </w:t>
      </w:r>
      <w:r>
        <w:rPr>
          <w:bCs/>
          <w:b/>
        </w:rPr>
        <w:t xml:space="preserve">REFERENCED</w:t>
      </w:r>
      <w:r>
        <w:t xml:space="preserve"> </w:t>
      </w:r>
      <w:r>
        <w:t xml:space="preserve">(constitutional and brand instruments) ·</w:t>
      </w:r>
      <w:r>
        <w:t xml:space="preserve"> </w:t>
      </w:r>
      <w:r>
        <w:rPr>
          <w:bCs/>
          <w:b/>
        </w:rPr>
        <w:t xml:space="preserve">SUPERSEDED FOR PRODUCT REQUIREMENTS</w:t>
      </w:r>
      <w:r>
        <w:t xml:space="preserve"> </w:t>
      </w:r>
      <w:r>
        <w:t xml:space="preserve">(both legacy BRD candidates) ·</w:t>
      </w:r>
      <w:r>
        <w:t xml:space="preserve"> </w:t>
      </w:r>
      <w:r>
        <w:rPr>
          <w:bCs/>
          <w:b/>
        </w:rPr>
        <w:t xml:space="preserve">HISTORICAL</w:t>
      </w:r>
      <w:r>
        <w:t xml:space="preserve"> </w:t>
      </w:r>
      <w:r>
        <w:t xml:space="preserve">(sealed V1.0 instruments).</w:t>
      </w:r>
    </w:p>
    <w:p>
      <w:pPr>
        <w:pStyle w:val="BodyText"/>
      </w:pPr>
      <w:r>
        <w:rPr>
          <w:rStyle w:val="VerbatimChar"/>
          <w:bCs/>
          <w:b/>
        </w:rPr>
        <w:t xml:space="preserve">A-010</w:t>
      </w:r>
      <w:r>
        <w:rPr>
          <w:bCs/>
          <w:b/>
        </w:rPr>
        <w:t xml:space="preserve"> </w:t>
      </w:r>
      <w:r>
        <w:rPr>
          <w:bCs/>
          <w:b/>
        </w:rPr>
        <w:t xml:space="preserve">— Requirements in this document are timeless.</w:t>
      </w:r>
      <w:r>
        <w:t xml:space="preserve"> </w:t>
      </w:r>
      <w:r>
        <w:t xml:space="preserve">Current implementation state — what is deployed, what is stranded, what the gates read today — belongs in the companion</w:t>
      </w:r>
      <w:r>
        <w:t xml:space="preserve"> </w:t>
      </w:r>
      <w:r>
        <w:rPr>
          <w:rStyle w:val="VerbatimChar"/>
        </w:rPr>
        <w:t xml:space="preserve">MVC-BRD-001 IMPLEMENTATION BASELINE</w:t>
      </w:r>
      <w:r>
        <w:t xml:space="preserve"> </w:t>
      </w:r>
      <w:r>
        <w:t xml:space="preserve">and must never be folded back into this body.</w:t>
      </w:r>
    </w:p>
    <w:p>
      <w:r>
        <w:pict>
          <v:rect style="width:0;height:1.5pt" o:hralign="center" o:hrstd="t" o:hr="t"/>
        </w:pict>
      </w:r>
    </w:p>
    <w:bookmarkEnd w:id="146"/>
    <w:bookmarkEnd w:id="147"/>
    <w:bookmarkStart w:id="152" w:name="X74968afb30a3ed2464111dee31eb19f13933982"/>
    <w:p>
      <w:pPr>
        <w:pStyle w:val="Heading1"/>
      </w:pPr>
      <w:r>
        <w:t xml:space="preserve">Annex A · Legacy Requirements Disposition Register</w:t>
      </w:r>
    </w:p>
    <w:p>
      <w:pPr>
        <w:pStyle w:val="FirstParagraph"/>
      </w:pPr>
      <w:r>
        <w:rPr>
          <w:bCs/>
          <w:b/>
        </w:rPr>
        <w:t xml:space="preserve">The bridge instrument.</w:t>
      </w:r>
      <w:r>
        <w:t xml:space="preserve"> </w:t>
      </w:r>
      <w:r>
        <w:t xml:space="preserve">Every requirement in</w:t>
      </w:r>
      <w:r>
        <w:t xml:space="preserve"> </w:t>
      </w:r>
      <w:r>
        <w:rPr>
          <w:rStyle w:val="VerbatimChar"/>
        </w:rPr>
        <w:t xml:space="preserve">PetCare KSA BRD v1.0</w:t>
      </w:r>
      <w:r>
        <w:t xml:space="preserve"> </w:t>
      </w:r>
      <w:r>
        <w:t xml:space="preserve">(SHA</w:t>
      </w:r>
      <w:r>
        <w:t xml:space="preserve"> </w:t>
      </w:r>
      <w:r>
        <w:rPr>
          <w:rStyle w:val="VerbatimChar"/>
        </w:rPr>
        <w:t xml:space="preserve">5450f783…</w:t>
      </w:r>
      <w:r>
        <w:t xml:space="preserve">), the confirmed ancestral document, receives an explicit disposition.</w:t>
      </w:r>
      <w:r>
        <w:t xml:space="preserve"> </w:t>
      </w:r>
      <w:r>
        <w:rPr>
          <w:bCs/>
          <w:b/>
        </w:rPr>
        <w:t xml:space="preserve">Nothing is silently inherited and nothing useful is silently discarded.</w:t>
      </w:r>
    </w:p>
    <w:p>
      <w:pPr>
        <w:pStyle w:val="BodyText"/>
      </w:pPr>
      <w:r>
        <w:rPr>
          <w:bCs/>
          <w:b/>
        </w:rPr>
        <w:t xml:space="preserve">Dispositions:</w:t>
      </w:r>
      <w:r>
        <w:t xml:space="preserve"> </w:t>
      </w:r>
      <w:r>
        <w:rPr>
          <w:rStyle w:val="VerbatimChar"/>
        </w:rPr>
        <w:t xml:space="preserve">RETAIN</w:t>
      </w:r>
      <w:r>
        <w:t xml:space="preserve"> </w:t>
      </w:r>
      <w:r>
        <w:t xml:space="preserve">— carried substantially as-is ·</w:t>
      </w:r>
      <w:r>
        <w:t xml:space="preserve"> </w:t>
      </w:r>
      <w:r>
        <w:rPr>
          <w:rStyle w:val="VerbatimChar"/>
        </w:rPr>
        <w:t xml:space="preserve">MODIFY</w:t>
      </w:r>
      <w:r>
        <w:t xml:space="preserve"> </w:t>
      </w:r>
      <w:r>
        <w:t xml:space="preserve">— carried with a stated change ·</w:t>
      </w:r>
      <w:r>
        <w:t xml:space="preserve"> </w:t>
      </w:r>
      <w:r>
        <w:rPr>
          <w:rStyle w:val="VerbatimChar"/>
        </w:rPr>
        <w:t xml:space="preserve">FENCE</w:t>
      </w:r>
      <w:r>
        <w:t xml:space="preserve"> </w:t>
      </w:r>
      <w:r>
        <w:t xml:space="preserve">— real, but excluded from Phase 1 by the scope lock ·</w:t>
      </w:r>
      <w:r>
        <w:t xml:space="preserve"> </w:t>
      </w:r>
      <w:r>
        <w:rPr>
          <w:rStyle w:val="VerbatimChar"/>
        </w:rPr>
        <w:t xml:space="preserve">DEFER</w:t>
      </w:r>
      <w:r>
        <w:t xml:space="preserve"> </w:t>
      </w:r>
      <w:r>
        <w:t xml:space="preserve">— real, sequenced to a later phase ·</w:t>
      </w:r>
      <w:r>
        <w:t xml:space="preserve"> </w:t>
      </w:r>
      <w:r>
        <w:rPr>
          <w:rStyle w:val="VerbatimChar"/>
        </w:rPr>
        <w:t xml:space="preserve">REJECT</w:t>
      </w:r>
      <w:r>
        <w:t xml:space="preserve"> </w:t>
      </w:r>
      <w:r>
        <w:t xml:space="preserve">— not carried, with a reason.</w:t>
      </w:r>
    </w:p>
    <w:bookmarkStart w:id="148" w:name="a1-functional-requirements"/>
    <w:p>
      <w:pPr>
        <w:pStyle w:val="Heading2"/>
      </w:pPr>
      <w:r>
        <w:t xml:space="preserve">A.1 Functional requirements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Legacy</w:t>
            </w:r>
          </w:p>
        </w:tc>
        <w:tc>
          <w:tcPr/>
          <w:p>
            <w:pPr>
              <w:pStyle w:val="Compact"/>
              <w:jc w:val="left"/>
            </w:pPr>
            <w:r>
              <w:t xml:space="preserve">Requirement</w:t>
            </w:r>
          </w:p>
        </w:tc>
        <w:tc>
          <w:tcPr/>
          <w:p>
            <w:pPr>
              <w:pStyle w:val="Compact"/>
              <w:jc w:val="left"/>
            </w:pPr>
            <w:r>
              <w:t xml:space="preserve">Disposition</w:t>
            </w:r>
          </w:p>
        </w:tc>
        <w:tc>
          <w:tcPr/>
          <w:p>
            <w:pPr>
              <w:pStyle w:val="Compact"/>
              <w:jc w:val="left"/>
            </w:pPr>
            <w:r>
              <w:t xml:space="preserve">Where it lands / why</w:t>
            </w:r>
          </w:p>
        </w:tc>
      </w:tr>
      <w:tr>
        <w:tc>
          <w:tcPr/>
          <w:p>
            <w:pPr>
              <w:pStyle w:val="Compact"/>
              <w:jc w:val="left"/>
            </w:pPr>
            <w:r>
              <w:t xml:space="preserve">FR-01</w:t>
            </w:r>
          </w:p>
        </w:tc>
        <w:tc>
          <w:tcPr/>
          <w:p>
            <w:pPr>
              <w:pStyle w:val="Compact"/>
              <w:jc w:val="left"/>
            </w:pPr>
            <w:r>
              <w:t xml:space="preserve">Multi-role user accounts</w:t>
            </w:r>
          </w:p>
        </w:tc>
        <w:tc>
          <w:tcPr/>
          <w:p>
            <w:pPr>
              <w:pStyle w:val="Compact"/>
              <w:jc w:val="left"/>
            </w:pPr>
            <w:r>
              <w:rPr>
                <w:bCs/>
                <w:b/>
              </w:rPr>
              <w:t xml:space="preserve">MODIFY</w:t>
            </w:r>
          </w:p>
        </w:tc>
        <w:tc>
          <w:tcPr/>
          <w:p>
            <w:pPr>
              <w:pStyle w:val="Compact"/>
              <w:jc w:val="left"/>
            </w:pPr>
            <w:r>
              <w:t xml:space="preserve">Split into</w:t>
            </w:r>
            <w:r>
              <w:t xml:space="preserve"> </w:t>
            </w:r>
            <w:r>
              <w:rPr>
                <w:rStyle w:val="VerbatimChar"/>
              </w:rPr>
              <w:t xml:space="preserve">StaffMember</w:t>
            </w:r>
            <w:r>
              <w:t xml:space="preserve"> </w:t>
            </w:r>
            <w:r>
              <w:t xml:space="preserve">and</w:t>
            </w:r>
            <w:r>
              <w:t xml:space="preserve"> </w:t>
            </w:r>
            <w:r>
              <w:rPr>
                <w:rStyle w:val="VerbatimChar"/>
              </w:rPr>
              <w:t xml:space="preserve">Practitioner</w:t>
            </w:r>
            <w:r>
              <w:t xml:space="preserve"> </w:t>
            </w:r>
            <w:r>
              <w:t xml:space="preserve">(§S7.3) — a receptionist must never be able to sign a clinical note. Roles are site-scoped</w:t>
            </w:r>
          </w:p>
        </w:tc>
      </w:tr>
      <w:tr>
        <w:tc>
          <w:tcPr/>
          <w:p>
            <w:pPr>
              <w:pStyle w:val="Compact"/>
              <w:jc w:val="left"/>
            </w:pPr>
            <w:r>
              <w:t xml:space="preserve">FR-02</w:t>
            </w:r>
          </w:p>
        </w:tc>
        <w:tc>
          <w:tcPr/>
          <w:p>
            <w:pPr>
              <w:pStyle w:val="Compact"/>
              <w:jc w:val="left"/>
            </w:pPr>
            <w:r>
              <w:t xml:space="preserve">Comprehensive pet profiles</w:t>
            </w:r>
          </w:p>
        </w:tc>
        <w:tc>
          <w:tcPr/>
          <w:p>
            <w:pPr>
              <w:pStyle w:val="Compact"/>
              <w:jc w:val="left"/>
            </w:pPr>
            <w:r>
              <w:rPr>
                <w:bCs/>
                <w:b/>
              </w:rPr>
              <w:t xml:space="preserve">MODIFY</w:t>
            </w:r>
          </w:p>
        </w:tc>
        <w:tc>
          <w:tcPr/>
          <w:p>
            <w:pPr>
              <w:pStyle w:val="Compact"/>
              <w:jc w:val="left"/>
            </w:pPr>
            <w:r>
              <w:rPr>
                <w:rStyle w:val="VerbatimChar"/>
              </w:rPr>
              <w:t xml:space="preserve">Patient</w:t>
            </w:r>
            <w:r>
              <w:t xml:space="preserve"> </w:t>
            </w:r>
            <w:r>
              <w:t xml:space="preserve">(§S7.3),</w:t>
            </w:r>
            <w:r>
              <w:t xml:space="preserve"> </w:t>
            </w:r>
            <w:r>
              <w:rPr>
                <w:bCs/>
                <w:b/>
              </w:rPr>
              <w:t xml:space="preserve">minus</w:t>
            </w:r>
            <w:r>
              <w:rPr>
                <w:bCs/>
                <w:b/>
              </w:rPr>
              <w:t xml:space="preserve"> </w:t>
            </w:r>
            <w:r>
              <w:rPr>
                <w:rStyle w:val="VerbatimChar"/>
                <w:bCs/>
                <w:b/>
              </w:rPr>
              <w:t xml:space="preserve">health_score</w:t>
            </w:r>
            <w:r>
              <w:t xml:space="preserve"> </w:t>
            </w:r>
            <w:r>
              <w:t xml:space="preserve">(</w:t>
            </w:r>
            <w:r>
              <w:rPr>
                <w:rStyle w:val="VerbatimChar"/>
              </w:rPr>
              <w:t xml:space="preserve">M-005</w:t>
            </w:r>
            <w:r>
              <w:t xml:space="preserve">), plus microchip as a first-class identifier</w:t>
            </w:r>
          </w:p>
        </w:tc>
      </w:tr>
      <w:tr>
        <w:tc>
          <w:tcPr/>
          <w:p>
            <w:pPr>
              <w:pStyle w:val="Compact"/>
              <w:jc w:val="left"/>
            </w:pPr>
            <w:r>
              <w:t xml:space="preserve">FR-03</w:t>
            </w:r>
          </w:p>
        </w:tc>
        <w:tc>
          <w:tcPr/>
          <w:p>
            <w:pPr>
              <w:pStyle w:val="Compact"/>
              <w:jc w:val="left"/>
            </w:pPr>
            <w:r>
              <w:t xml:space="preserve">Family/shared access with permission controls</w:t>
            </w:r>
          </w:p>
        </w:tc>
        <w:tc>
          <w:tcPr/>
          <w:p>
            <w:pPr>
              <w:pStyle w:val="Compact"/>
              <w:jc w:val="left"/>
            </w:pPr>
            <w:r>
              <w:rPr>
                <w:bCs/>
                <w:b/>
              </w:rPr>
              <w:t xml:space="preserve">MODIFY</w:t>
            </w:r>
          </w:p>
        </w:tc>
        <w:tc>
          <w:tcPr/>
          <w:p>
            <w:pPr>
              <w:pStyle w:val="Compact"/>
              <w:jc w:val="left"/>
            </w:pPr>
            <w:r>
              <w:rPr>
                <w:rStyle w:val="VerbatimChar"/>
              </w:rPr>
              <w:t xml:space="preserve">OwnerLink</w:t>
            </w:r>
            <w:r>
              <w:t xml:space="preserve"> </w:t>
            </w:r>
            <w:r>
              <w:t xml:space="preserve">with roles and effective dates (§S7.3);</w:t>
            </w:r>
            <w:r>
              <w:t xml:space="preserve"> </w:t>
            </w:r>
            <w:r>
              <w:rPr>
                <w:bCs/>
                <w:b/>
              </w:rPr>
              <w:t xml:space="preserve">consent never transfers across an ownership change</w:t>
            </w:r>
            <w:r>
              <w:t xml:space="preserve"> </w:t>
            </w:r>
            <w:r>
              <w:t xml:space="preserve">(</w:t>
            </w:r>
            <w:r>
              <w:rPr>
                <w:rStyle w:val="VerbatimChar"/>
              </w:rPr>
              <w:t xml:space="preserve">M-004</w:t>
            </w:r>
            <w:r>
              <w:t xml:space="preserve">)</w:t>
            </w:r>
          </w:p>
        </w:tc>
      </w:tr>
      <w:tr>
        <w:tc>
          <w:tcPr/>
          <w:p>
            <w:pPr>
              <w:pStyle w:val="Compact"/>
              <w:jc w:val="left"/>
            </w:pPr>
            <w:r>
              <w:t xml:space="preserve">FR-04</w:t>
            </w:r>
          </w:p>
        </w:tc>
        <w:tc>
          <w:tcPr/>
          <w:p>
            <w:pPr>
              <w:pStyle w:val="Compact"/>
              <w:jc w:val="left"/>
            </w:pPr>
            <w:r>
              <w:t xml:space="preserve">KYC for controlled medication purchases</w:t>
            </w:r>
          </w:p>
        </w:tc>
        <w:tc>
          <w:tcPr/>
          <w:p>
            <w:pPr>
              <w:pStyle w:val="Compact"/>
              <w:jc w:val="left"/>
            </w:pPr>
            <w:r>
              <w:rPr>
                <w:bCs/>
                <w:b/>
              </w:rPr>
              <w:t xml:space="preserve">MODIFY</w:t>
            </w:r>
          </w:p>
        </w:tc>
        <w:tc>
          <w:tcPr/>
          <w:p>
            <w:pPr>
              <w:pStyle w:val="Compact"/>
              <w:jc w:val="left"/>
            </w:pPr>
            <w:r>
              <w:t xml:space="preserve">Reframed from purchaser KYC to</w:t>
            </w:r>
            <w:r>
              <w:t xml:space="preserve"> </w:t>
            </w:r>
            <w:r>
              <w:rPr>
                <w:bCs/>
                <w:b/>
              </w:rPr>
              <w:t xml:space="preserve">prescriber authority</w:t>
            </w:r>
            <w:r>
              <w:t xml:space="preserve"> </w:t>
            </w:r>
            <w:r>
              <w:t xml:space="preserve">— the control that matters is</w:t>
            </w:r>
            <w:r>
              <w:t xml:space="preserve"> </w:t>
            </w:r>
            <w:r>
              <w:rPr>
                <w:rStyle w:val="VerbatimChar"/>
              </w:rPr>
              <w:t xml:space="preserve">R-112</w:t>
            </w:r>
            <w:r>
              <w:t xml:space="preserve">/</w:t>
            </w:r>
            <w:r>
              <w:rPr>
                <w:rStyle w:val="VerbatimChar"/>
              </w:rPr>
              <w:t xml:space="preserve">R-114</w:t>
            </w:r>
            <w:r>
              <w:t xml:space="preserve">, not consumer identity verification</w:t>
            </w:r>
          </w:p>
        </w:tc>
      </w:tr>
      <w:tr>
        <w:tc>
          <w:tcPr/>
          <w:p>
            <w:pPr>
              <w:pStyle w:val="Compact"/>
              <w:jc w:val="left"/>
            </w:pPr>
            <w:r>
              <w:t xml:space="preserve">FR-05</w:t>
            </w:r>
          </w:p>
        </w:tc>
        <w:tc>
          <w:tcPr/>
          <w:p>
            <w:pPr>
              <w:pStyle w:val="Compact"/>
              <w:jc w:val="left"/>
            </w:pPr>
            <w:r>
              <w:t xml:space="preserve">"SFDA-compliant vet registration and verification"</w:t>
            </w:r>
          </w:p>
        </w:tc>
        <w:tc>
          <w:tcPr/>
          <w:p>
            <w:pPr>
              <w:pStyle w:val="Compact"/>
              <w:jc w:val="left"/>
            </w:pPr>
            <w:r>
              <w:rPr>
                <w:bCs/>
                <w:b/>
              </w:rPr>
              <w:t xml:space="preserve">MODIFY — regulator corrected</w:t>
            </w:r>
          </w:p>
        </w:tc>
        <w:tc>
          <w:tcPr/>
          <w:p>
            <w:pPr>
              <w:pStyle w:val="Compact"/>
              <w:jc w:val="left"/>
            </w:pPr>
            <w:r>
              <w:rPr>
                <w:bCs/>
                <w:b/>
              </w:rPr>
              <w:t xml:space="preserve">MEWA/Nama, not SFDA</w:t>
            </w:r>
            <w:r>
              <w:t xml:space="preserve"> </w:t>
            </w:r>
            <w:r>
              <w:t xml:space="preserve">(§S6.1). Becomes</w:t>
            </w:r>
            <w:r>
              <w:t xml:space="preserve"> </w:t>
            </w:r>
            <w:r>
              <w:rPr>
                <w:rStyle w:val="VerbatimChar"/>
              </w:rPr>
              <w:t xml:space="preserve">R-101</w:t>
            </w:r>
            <w:r>
              <w:t xml:space="preserve"> </w:t>
            </w:r>
            <w:r>
              <w:t xml:space="preserve">with the verification ladder</w:t>
            </w:r>
            <w:r>
              <w:t xml:space="preserve"> </w:t>
            </w:r>
            <w:r>
              <w:rPr>
                <w:rStyle w:val="VerbatimChar"/>
              </w:rPr>
              <w:t xml:space="preserve">X-007</w:t>
            </w:r>
          </w:p>
        </w:tc>
      </w:tr>
      <w:tr>
        <w:tc>
          <w:tcPr/>
          <w:p>
            <w:pPr>
              <w:pStyle w:val="Compact"/>
              <w:jc w:val="left"/>
            </w:pPr>
            <w:r>
              <w:t xml:space="preserve">FR-06</w:t>
            </w:r>
          </w:p>
        </w:tc>
        <w:tc>
          <w:tcPr/>
          <w:p>
            <w:pPr>
              <w:pStyle w:val="Compact"/>
              <w:jc w:val="left"/>
            </w:pPr>
            <w:r>
              <w:t xml:space="preserve">HD video consultations with screen sharing</w:t>
            </w:r>
          </w:p>
        </w:tc>
        <w:tc>
          <w:tcPr/>
          <w:p>
            <w:pPr>
              <w:pStyle w:val="Compact"/>
              <w:jc w:val="left"/>
            </w:pPr>
            <w:r>
              <w:rPr>
                <w:bCs/>
                <w:b/>
              </w:rPr>
              <w:t xml:space="preserve">FENCE → constrained modality</w:t>
            </w:r>
          </w:p>
        </w:tc>
        <w:tc>
          <w:tcPr/>
          <w:p>
            <w:pPr>
              <w:pStyle w:val="Compact"/>
              <w:jc w:val="left"/>
            </w:pPr>
            <w:r>
              <w:t xml:space="preserve">Video is not the product (§S2.2). It exists under</w:t>
            </w:r>
            <w:r>
              <w:t xml:space="preserve"> </w:t>
            </w:r>
            <w:r>
              <w:rPr>
                <w:rStyle w:val="VerbatimChar"/>
              </w:rPr>
              <w:t xml:space="preserve">X-047</w:t>
            </w:r>
            <w:r>
              <w:t xml:space="preserve">–</w:t>
            </w:r>
            <w:r>
              <w:rPr>
                <w:rStyle w:val="VerbatimChar"/>
              </w:rPr>
              <w:t xml:space="preserve">X-051</w:t>
            </w:r>
            <w:r>
              <w:t xml:space="preserve"> </w:t>
            </w:r>
            <w:r>
              <w:t xml:space="preserve">with hard prescribing gates, via a managed residency-committed vendor (</w:t>
            </w:r>
            <w:r>
              <w:rPr>
                <w:rStyle w:val="VerbatimChar"/>
              </w:rPr>
              <w:t xml:space="preserve">E-112</w:t>
            </w:r>
            <w:r>
              <w:t xml:space="preserve">)</w:t>
            </w:r>
          </w:p>
        </w:tc>
      </w:tr>
      <w:tr>
        <w:tc>
          <w:tcPr/>
          <w:p>
            <w:pPr>
              <w:pStyle w:val="Compact"/>
              <w:jc w:val="left"/>
            </w:pPr>
            <w:r>
              <w:t xml:space="preserve">FR-07</w:t>
            </w:r>
          </w:p>
        </w:tc>
        <w:tc>
          <w:tcPr/>
          <w:p>
            <w:pPr>
              <w:pStyle w:val="Compact"/>
              <w:jc w:val="left"/>
            </w:pPr>
            <w:r>
              <w:t xml:space="preserve">Secure chat and file sharing</w:t>
            </w:r>
          </w:p>
        </w:tc>
        <w:tc>
          <w:tcPr/>
          <w:p>
            <w:pPr>
              <w:pStyle w:val="Compact"/>
              <w:jc w:val="left"/>
            </w:pPr>
            <w:r>
              <w:rPr>
                <w:bCs/>
                <w:b/>
              </w:rPr>
              <w:t xml:space="preserve">DEFER</w:t>
            </w:r>
          </w:p>
        </w:tc>
        <w:tc>
          <w:tcPr/>
          <w:p>
            <w:pPr>
              <w:pStyle w:val="Compact"/>
              <w:jc w:val="left"/>
            </w:pPr>
            <w:r>
              <w:t xml:space="preserve">Owner communication in Phase 1 is link-based and one-directional (</w:t>
            </w:r>
            <w:r>
              <w:rPr>
                <w:rStyle w:val="VerbatimChar"/>
              </w:rPr>
              <w:t xml:space="preserve">X-042</w:t>
            </w:r>
            <w:r>
              <w:t xml:space="preserve">–</w:t>
            </w:r>
            <w:r>
              <w:rPr>
                <w:rStyle w:val="VerbatimChar"/>
              </w:rPr>
              <w:t xml:space="preserve">X-043</w:t>
            </w:r>
            <w:r>
              <w:t xml:space="preserve">). Two-way clinical messaging is a liability surface without a defined duty-of-care window</w:t>
            </w:r>
          </w:p>
        </w:tc>
      </w:tr>
      <w:tr>
        <w:tc>
          <w:tcPr/>
          <w:p>
            <w:pPr>
              <w:pStyle w:val="Compact"/>
              <w:jc w:val="left"/>
            </w:pPr>
            <w:r>
              <w:t xml:space="preserve">FR-08</w:t>
            </w:r>
          </w:p>
        </w:tc>
        <w:tc>
          <w:tcPr/>
          <w:p>
            <w:pPr>
              <w:pStyle w:val="Compact"/>
              <w:jc w:val="left"/>
            </w:pPr>
            <w:r>
              <w:t xml:space="preserve">AI-powered symptom checker and triage</w:t>
            </w:r>
          </w:p>
        </w:tc>
        <w:tc>
          <w:tcPr/>
          <w:p>
            <w:pPr>
              <w:pStyle w:val="Compact"/>
              <w:jc w:val="left"/>
            </w:pPr>
            <w:r>
              <w:rPr>
                <w:bCs/>
                <w:b/>
              </w:rPr>
              <w:t xml:space="preserve">REJECT — structurally</w:t>
            </w:r>
          </w:p>
        </w:tc>
        <w:tc>
          <w:tcPr/>
          <w:p>
            <w:pPr>
              <w:pStyle w:val="Compact"/>
              <w:jc w:val="left"/>
            </w:pPr>
            <w:r>
              <w:rPr>
                <w:rStyle w:val="VerbatimChar"/>
              </w:rPr>
              <w:t xml:space="preserve">D-301</w:t>
            </w:r>
            <w:r>
              <w:t xml:space="preserve">. Requires the platform to hold a clinical position on severity.</w:t>
            </w:r>
            <w:r>
              <w:t xml:space="preserve"> </w:t>
            </w:r>
            <w:r>
              <w:rPr>
                <w:bCs/>
                <w:b/>
              </w:rPr>
              <w:t xml:space="preserve">No output type exists for it</w:t>
            </w:r>
          </w:p>
        </w:tc>
      </w:tr>
      <w:tr>
        <w:tc>
          <w:tcPr/>
          <w:p>
            <w:pPr>
              <w:pStyle w:val="Compact"/>
              <w:jc w:val="left"/>
            </w:pPr>
            <w:r>
              <w:t xml:space="preserve">FR-09</w:t>
            </w:r>
          </w:p>
        </w:tc>
        <w:tc>
          <w:tcPr/>
          <w:p>
            <w:pPr>
              <w:pStyle w:val="Compact"/>
              <w:jc w:val="left"/>
            </w:pPr>
            <w:r>
              <w:t xml:space="preserve">Multi-language support, Arabic primary</w:t>
            </w:r>
          </w:p>
        </w:tc>
        <w:tc>
          <w:tcPr/>
          <w:p>
            <w:pPr>
              <w:pStyle w:val="Compact"/>
              <w:jc w:val="left"/>
            </w:pPr>
            <w:r>
              <w:rPr>
                <w:bCs/>
                <w:b/>
              </w:rPr>
              <w:t xml:space="preserve">RETAIN and strengthen</w:t>
            </w:r>
          </w:p>
        </w:tc>
        <w:tc>
          <w:tcPr/>
          <w:p>
            <w:pPr>
              <w:pStyle w:val="Compact"/>
              <w:jc w:val="left"/>
            </w:pPr>
            <w:r>
              <w:t xml:space="preserve">Becomes the Arabic-first specification §S4.5 — a design origin, not a support feature</w:t>
            </w:r>
          </w:p>
        </w:tc>
      </w:tr>
      <w:tr>
        <w:tc>
          <w:tcPr/>
          <w:p>
            <w:pPr>
              <w:pStyle w:val="Compact"/>
              <w:jc w:val="left"/>
            </w:pPr>
            <w:r>
              <w:t xml:space="preserve">FR-10</w:t>
            </w:r>
          </w:p>
        </w:tc>
        <w:tc>
          <w:tcPr/>
          <w:p>
            <w:pPr>
              <w:pStyle w:val="Compact"/>
              <w:jc w:val="left"/>
            </w:pPr>
            <w:r>
              <w:t xml:space="preserve">Specialist referral system</w:t>
            </w:r>
          </w:p>
        </w:tc>
        <w:tc>
          <w:tcPr/>
          <w:p>
            <w:pPr>
              <w:pStyle w:val="Compact"/>
              <w:jc w:val="left"/>
            </w:pPr>
            <w:r>
              <w:rPr>
                <w:bCs/>
                <w:b/>
              </w:rPr>
              <w:t xml:space="preserve">DEFER</w:t>
            </w:r>
          </w:p>
        </w:tc>
        <w:tc>
          <w:tcPr/>
          <w:p>
            <w:pPr>
              <w:pStyle w:val="Compact"/>
              <w:jc w:val="left"/>
            </w:pPr>
            <w:r>
              <w:t xml:space="preserve">Real, and valuable. Not the wedge</w:t>
            </w:r>
          </w:p>
        </w:tc>
      </w:tr>
      <w:tr>
        <w:tc>
          <w:tcPr/>
          <w:p>
            <w:pPr>
              <w:pStyle w:val="Compact"/>
              <w:jc w:val="left"/>
            </w:pPr>
            <w:r>
              <w:t xml:space="preserve">FR-11</w:t>
            </w:r>
          </w:p>
        </w:tc>
        <w:tc>
          <w:tcPr/>
          <w:p>
            <w:pPr>
              <w:pStyle w:val="Compact"/>
              <w:jc w:val="left"/>
            </w:pPr>
            <w:r>
              <w:t xml:space="preserve">Emergency consultation routing</w:t>
            </w:r>
          </w:p>
        </w:tc>
        <w:tc>
          <w:tcPr/>
          <w:p>
            <w:pPr>
              <w:pStyle w:val="Compact"/>
              <w:jc w:val="left"/>
            </w:pPr>
            <w:r>
              <w:rPr>
                <w:bCs/>
                <w:b/>
              </w:rPr>
              <w:t xml:space="preserve">FENCE</w:t>
            </w:r>
          </w:p>
        </w:tc>
        <w:tc>
          <w:tcPr/>
          <w:p>
            <w:pPr>
              <w:pStyle w:val="Compact"/>
              <w:jc w:val="left"/>
            </w:pPr>
            <w:r>
              <w:t xml:space="preserve">§S2.2. Replaced by a static vet-authored contact message plus the clinic's own published emergency number</w:t>
            </w:r>
          </w:p>
        </w:tc>
      </w:tr>
      <w:tr>
        <w:tc>
          <w:tcPr/>
          <w:p>
            <w:pPr>
              <w:pStyle w:val="Compact"/>
              <w:jc w:val="left"/>
            </w:pPr>
            <w:r>
              <w:t xml:space="preserve">FR-12</w:t>
            </w:r>
          </w:p>
        </w:tc>
        <w:tc>
          <w:tcPr/>
          <w:p>
            <w:pPr>
              <w:pStyle w:val="Compact"/>
              <w:jc w:val="left"/>
            </w:pPr>
            <w:r>
              <w:t xml:space="preserve">Consultation recording with consent</w:t>
            </w:r>
          </w:p>
        </w:tc>
        <w:tc>
          <w:tcPr/>
          <w:p>
            <w:pPr>
              <w:pStyle w:val="Compact"/>
              <w:jc w:val="left"/>
            </w:pPr>
            <w:r>
              <w:rPr>
                <w:bCs/>
                <w:b/>
              </w:rPr>
              <w:t xml:space="preserve">MODIFY</w:t>
            </w:r>
          </w:p>
        </w:tc>
        <w:tc>
          <w:tcPr/>
          <w:p>
            <w:pPr>
              <w:pStyle w:val="Compact"/>
              <w:jc w:val="left"/>
            </w:pPr>
            <w:r>
              <w:rPr>
                <w:rStyle w:val="VerbatimChar"/>
              </w:rPr>
              <w:t xml:space="preserve">EncounterRecording</w:t>
            </w:r>
            <w:r>
              <w:t xml:space="preserve"> </w:t>
            </w:r>
            <w:r>
              <w:t xml:space="preserve">as a</w:t>
            </w:r>
            <w:r>
              <w:t xml:space="preserve"> </w:t>
            </w:r>
            <w:r>
              <w:rPr>
                <w:bCs/>
                <w:b/>
              </w:rPr>
              <w:t xml:space="preserve">separate consent-gated table</w:t>
            </w:r>
            <w:r>
              <w:t xml:space="preserve"> </w:t>
            </w:r>
            <w:r>
              <w:t xml:space="preserve">(</w:t>
            </w:r>
            <w:r>
              <w:rPr>
                <w:rStyle w:val="VerbatimChar"/>
              </w:rPr>
              <w:t xml:space="preserve">M-010</w:t>
            </w:r>
            <w:r>
              <w:t xml:space="preserve">) — the legacy schema asserted a recording unconditionally</w:t>
            </w:r>
          </w:p>
        </w:tc>
      </w:tr>
      <w:tr>
        <w:tc>
          <w:tcPr/>
          <w:p>
            <w:pPr>
              <w:pStyle w:val="Compact"/>
              <w:jc w:val="left"/>
            </w:pPr>
            <w:r>
              <w:t xml:space="preserve">FR-13</w:t>
            </w:r>
          </w:p>
        </w:tc>
        <w:tc>
          <w:tcPr/>
          <w:p>
            <w:pPr>
              <w:pStyle w:val="Compact"/>
              <w:jc w:val="left"/>
            </w:pPr>
            <w:r>
              <w:t xml:space="preserve">Real-time multi-location inventory visibility</w:t>
            </w:r>
          </w:p>
        </w:tc>
        <w:tc>
          <w:tcPr/>
          <w:p>
            <w:pPr>
              <w:pStyle w:val="Compact"/>
              <w:jc w:val="left"/>
            </w:pPr>
            <w:r>
              <w:rPr>
                <w:bCs/>
                <w:b/>
              </w:rPr>
              <w:t xml:space="preserve">MODIFY</w:t>
            </w:r>
          </w:p>
        </w:tc>
        <w:tc>
          <w:tcPr/>
          <w:p>
            <w:pPr>
              <w:pStyle w:val="Compact"/>
              <w:jc w:val="left"/>
            </w:pPr>
            <w:r>
              <w:t xml:space="preserve">Site-scoped stock derived from</w:t>
            </w:r>
            <w:r>
              <w:t xml:space="preserve"> </w:t>
            </w:r>
            <w:r>
              <w:rPr>
                <w:rStyle w:val="VerbatimChar"/>
              </w:rPr>
              <w:t xml:space="preserve">DispenseEvent</w:t>
            </w:r>
            <w:r>
              <w:t xml:space="preserve">;</w:t>
            </w:r>
            <w:r>
              <w:t xml:space="preserve"> </w:t>
            </w:r>
            <w:r>
              <w:rPr>
                <w:bCs/>
                <w:b/>
              </w:rPr>
              <w:t xml:space="preserve">there is never a separate stock entry</w:t>
            </w:r>
            <w:r>
              <w:t xml:space="preserve"> </w:t>
            </w:r>
            <w:r>
              <w:t xml:space="preserve">(</w:t>
            </w:r>
            <w:r>
              <w:rPr>
                <w:rStyle w:val="VerbatimChar"/>
              </w:rPr>
              <w:t xml:space="preserve">X-021</w:t>
            </w:r>
            <w:r>
              <w:t xml:space="preserve">)</w:t>
            </w:r>
          </w:p>
        </w:tc>
      </w:tr>
      <w:tr>
        <w:tc>
          <w:tcPr/>
          <w:p>
            <w:pPr>
              <w:pStyle w:val="Compact"/>
              <w:jc w:val="left"/>
            </w:pPr>
            <w:r>
              <w:t xml:space="preserve">FR-14</w:t>
            </w:r>
          </w:p>
        </w:tc>
        <w:tc>
          <w:tcPr/>
          <w:p>
            <w:pPr>
              <w:pStyle w:val="Compact"/>
              <w:jc w:val="left"/>
            </w:pPr>
            <w:r>
              <w:t xml:space="preserve">Prescription upload and vet verification workflow</w:t>
            </w:r>
          </w:p>
        </w:tc>
        <w:tc>
          <w:tcPr/>
          <w:p>
            <w:pPr>
              <w:pStyle w:val="Compact"/>
              <w:jc w:val="left"/>
            </w:pPr>
            <w:r>
              <w:rPr>
                <w:bCs/>
                <w:b/>
              </w:rPr>
              <w:t xml:space="preserve">REJECT as specified, MODIFY in substance</w:t>
            </w:r>
          </w:p>
        </w:tc>
        <w:tc>
          <w:tcPr/>
          <w:p>
            <w:pPr>
              <w:pStyle w:val="Compact"/>
              <w:jc w:val="left"/>
            </w:pPr>
            <w:r>
              <w:t xml:space="preserve">Built on an assumed SFDA prescription-verification API that is not established (§S6.1). The retained substance is in-clinic prescribing and dispensing with licence gating</w:t>
            </w:r>
          </w:p>
        </w:tc>
      </w:tr>
      <w:tr>
        <w:tc>
          <w:tcPr/>
          <w:p>
            <w:pPr>
              <w:pStyle w:val="Compact"/>
              <w:jc w:val="left"/>
            </w:pPr>
            <w:r>
              <w:t xml:space="preserve">FR-15</w:t>
            </w:r>
          </w:p>
        </w:tc>
        <w:tc>
          <w:tcPr/>
          <w:p>
            <w:pPr>
              <w:pStyle w:val="Compact"/>
              <w:jc w:val="left"/>
            </w:pPr>
            <w:r>
              <w:t xml:space="preserve">Smart order routing to nearest pharmacy</w:t>
            </w:r>
          </w:p>
        </w:tc>
        <w:tc>
          <w:tcPr/>
          <w:p>
            <w:pPr>
              <w:pStyle w:val="Compact"/>
              <w:jc w:val="left"/>
            </w:pPr>
            <w:r>
              <w:rPr>
                <w:bCs/>
                <w:b/>
              </w:rPr>
              <w:t xml:space="preserve">REJECT — business model</w:t>
            </w:r>
          </w:p>
        </w:tc>
        <w:tc>
          <w:tcPr/>
          <w:p>
            <w:pPr>
              <w:pStyle w:val="Compact"/>
              <w:jc w:val="left"/>
            </w:pPr>
            <w:r>
              <w:t xml:space="preserve">Depends on owned pharmacies. Disposition code</w:t>
            </w:r>
            <w:r>
              <w:t xml:space="preserve"> </w:t>
            </w:r>
            <w:r>
              <w:rPr>
                <w:rStyle w:val="VerbatimChar"/>
              </w:rPr>
              <w:t xml:space="preserve">REJECT-BM</w:t>
            </w:r>
          </w:p>
        </w:tc>
      </w:tr>
      <w:tr>
        <w:tc>
          <w:tcPr/>
          <w:p>
            <w:pPr>
              <w:pStyle w:val="Compact"/>
              <w:jc w:val="left"/>
            </w:pPr>
            <w:r>
              <w:t xml:space="preserve">FR-16</w:t>
            </w:r>
          </w:p>
        </w:tc>
        <w:tc>
          <w:tcPr/>
          <w:p>
            <w:pPr>
              <w:pStyle w:val="Compact"/>
              <w:jc w:val="left"/>
            </w:pPr>
            <w:r>
              <w:t xml:space="preserve">Temperature-controlled delivery tracking</w:t>
            </w:r>
          </w:p>
        </w:tc>
        <w:tc>
          <w:tcPr/>
          <w:p>
            <w:pPr>
              <w:pStyle w:val="Compact"/>
              <w:jc w:val="left"/>
            </w:pPr>
            <w:r>
              <w:rPr>
                <w:bCs/>
                <w:b/>
              </w:rPr>
              <w:t xml:space="preserve">REJECT — business model</w:t>
            </w:r>
          </w:p>
        </w:tc>
        <w:tc>
          <w:tcPr/>
          <w:p>
            <w:pPr>
              <w:pStyle w:val="Compact"/>
              <w:jc w:val="left"/>
            </w:pPr>
            <w:r>
              <w:t xml:space="preserve">Same</w:t>
            </w:r>
          </w:p>
        </w:tc>
      </w:tr>
      <w:tr>
        <w:tc>
          <w:tcPr/>
          <w:p>
            <w:pPr>
              <w:pStyle w:val="Compact"/>
              <w:jc w:val="left"/>
            </w:pPr>
            <w:r>
              <w:t xml:space="preserve">FR-17</w:t>
            </w:r>
          </w:p>
        </w:tc>
        <w:tc>
          <w:tcPr/>
          <w:p>
            <w:pPr>
              <w:pStyle w:val="Compact"/>
              <w:jc w:val="left"/>
            </w:pPr>
            <w:r>
              <w:t xml:space="preserve">Compounding pharmacy workflow</w:t>
            </w:r>
          </w:p>
        </w:tc>
        <w:tc>
          <w:tcPr/>
          <w:p>
            <w:pPr>
              <w:pStyle w:val="Compact"/>
              <w:jc w:val="left"/>
            </w:pPr>
            <w:r>
              <w:rPr>
                <w:bCs/>
                <w:b/>
              </w:rPr>
              <w:t xml:space="preserve">DEFER</w:t>
            </w:r>
          </w:p>
        </w:tc>
        <w:tc>
          <w:tcPr/>
          <w:p>
            <w:pPr>
              <w:pStyle w:val="Compact"/>
              <w:jc w:val="left"/>
            </w:pPr>
            <w:r>
              <w:t xml:space="preserve">Horizon layer §S2.4 (pharmacy channel)</w:t>
            </w:r>
          </w:p>
        </w:tc>
      </w:tr>
      <w:tr>
        <w:tc>
          <w:tcPr/>
          <w:p>
            <w:pPr>
              <w:pStyle w:val="Compact"/>
              <w:jc w:val="left"/>
            </w:pPr>
            <w:r>
              <w:t xml:space="preserve">FR-18</w:t>
            </w:r>
          </w:p>
        </w:tc>
        <w:tc>
          <w:tcPr/>
          <w:p>
            <w:pPr>
              <w:pStyle w:val="Compact"/>
              <w:jc w:val="left"/>
            </w:pPr>
            <w:r>
              <w:t xml:space="preserve">Subscription management for chronic medications</w:t>
            </w:r>
          </w:p>
        </w:tc>
        <w:tc>
          <w:tcPr/>
          <w:p>
            <w:pPr>
              <w:pStyle w:val="Compact"/>
              <w:jc w:val="left"/>
            </w:pPr>
            <w:r>
              <w:rPr>
                <w:bCs/>
                <w:b/>
              </w:rPr>
              <w:t xml:space="preserve">MODIFY → DEFER</w:t>
            </w:r>
          </w:p>
        </w:tc>
        <w:tc>
          <w:tcPr/>
          <w:p>
            <w:pPr>
              <w:pStyle w:val="Compact"/>
              <w:jc w:val="left"/>
            </w:pPr>
            <w:r>
              <w:t xml:space="preserve">The clinical half — chronic-medication due-lists and repeat authorisation — is real and lands under</w:t>
            </w:r>
            <w:r>
              <w:t xml:space="preserve"> </w:t>
            </w:r>
            <w:r>
              <w:rPr>
                <w:rStyle w:val="VerbatimChar"/>
              </w:rPr>
              <w:t xml:space="preserve">D-101</w:t>
            </w:r>
            <w:r>
              <w:t xml:space="preserve">'s deterministic due-list. The commerce half is</w:t>
            </w:r>
            <w:r>
              <w:t xml:space="preserve"> </w:t>
            </w:r>
            <w:r>
              <w:rPr>
                <w:rStyle w:val="VerbatimChar"/>
              </w:rPr>
              <w:t xml:space="preserve">REJECT-BM</w:t>
            </w:r>
          </w:p>
        </w:tc>
      </w:tr>
      <w:tr>
        <w:tc>
          <w:tcPr/>
          <w:p>
            <w:pPr>
              <w:pStyle w:val="Compact"/>
              <w:jc w:val="left"/>
            </w:pPr>
            <w:r>
              <w:t xml:space="preserve">FR-19</w:t>
            </w:r>
          </w:p>
        </w:tc>
        <w:tc>
          <w:tcPr/>
          <w:p>
            <w:pPr>
              <w:pStyle w:val="Compact"/>
              <w:jc w:val="left"/>
            </w:pPr>
            <w:r>
              <w:t xml:space="preserve">SFDA batch tracking and recall notifications</w:t>
            </w:r>
          </w:p>
        </w:tc>
        <w:tc>
          <w:tcPr/>
          <w:p>
            <w:pPr>
              <w:pStyle w:val="Compact"/>
              <w:jc w:val="left"/>
            </w:pPr>
            <w:r>
              <w:rPr>
                <w:bCs/>
                <w:b/>
              </w:rPr>
              <w:t xml:space="preserve">RETAIN and strengthen</w:t>
            </w:r>
          </w:p>
        </w:tc>
        <w:tc>
          <w:tcPr/>
          <w:p>
            <w:pPr>
              <w:pStyle w:val="Compact"/>
              <w:jc w:val="left"/>
            </w:pPr>
            <w:r>
              <w:t xml:space="preserve">Becomes</w:t>
            </w:r>
            <w:r>
              <w:t xml:space="preserve"> </w:t>
            </w:r>
            <w:r>
              <w:rPr>
                <w:rStyle w:val="VerbatimChar"/>
              </w:rPr>
              <w:t xml:space="preserve">R-116</w:t>
            </w:r>
            <w:r>
              <w:t xml:space="preserve">–</w:t>
            </w:r>
            <w:r>
              <w:rPr>
                <w:rStyle w:val="VerbatimChar"/>
              </w:rPr>
              <w:t xml:space="preserve">R-118</w:t>
            </w:r>
            <w:r>
              <w:t xml:space="preserve">,</w:t>
            </w:r>
            <w:r>
              <w:t xml:space="preserve"> </w:t>
            </w:r>
            <w:r>
              <w:rPr>
                <w:rStyle w:val="VerbatimChar"/>
              </w:rPr>
              <w:t xml:space="preserve">D-106</w:t>
            </w:r>
            <w:r>
              <w:t xml:space="preserve">,</w:t>
            </w:r>
            <w:r>
              <w:t xml:space="preserve"> </w:t>
            </w:r>
            <w:r>
              <w:rPr>
                <w:rStyle w:val="VerbatimChar"/>
              </w:rPr>
              <w:t xml:space="preserve">N-09</w:t>
            </w:r>
            <w:r>
              <w:t xml:space="preserve"> </w:t>
            </w:r>
            <w:r>
              <w:t xml:space="preserve">with a 5-minute resolution target and a quarterly drill.</w:t>
            </w:r>
            <w:r>
              <w:t xml:space="preserve"> </w:t>
            </w:r>
            <w:r>
              <w:rPr>
                <w:bCs/>
                <w:b/>
              </w:rPr>
              <w:t xml:space="preserve">One of the strongest requirements in the legacy document</w:t>
            </w:r>
          </w:p>
        </w:tc>
      </w:tr>
      <w:tr>
        <w:tc>
          <w:tcPr/>
          <w:p>
            <w:pPr>
              <w:pStyle w:val="Compact"/>
              <w:jc w:val="left"/>
            </w:pPr>
            <w:r>
              <w:t xml:space="preserve">FR-20</w:t>
            </w:r>
          </w:p>
        </w:tc>
        <w:tc>
          <w:tcPr/>
          <w:p>
            <w:pPr>
              <w:pStyle w:val="Compact"/>
              <w:jc w:val="left"/>
            </w:pPr>
            <w:r>
              <w:t xml:space="preserve">Cash on delivery with digital receipting</w:t>
            </w:r>
          </w:p>
        </w:tc>
        <w:tc>
          <w:tcPr/>
          <w:p>
            <w:pPr>
              <w:pStyle w:val="Compact"/>
              <w:jc w:val="left"/>
            </w:pPr>
            <w:r>
              <w:rPr>
                <w:bCs/>
                <w:b/>
              </w:rPr>
              <w:t xml:space="preserve">MODIFY</w:t>
            </w:r>
          </w:p>
        </w:tc>
        <w:tc>
          <w:tcPr/>
          <w:p>
            <w:pPr>
              <w:pStyle w:val="Compact"/>
              <w:jc w:val="left"/>
            </w:pPr>
            <w:r>
              <w:t xml:space="preserve">Becomes in-clinic ZATCA-compliant invoicing (§S8.3). The receipting instinct was right; the delivery model was not</w:t>
            </w:r>
          </w:p>
        </w:tc>
      </w:tr>
      <w:tr>
        <w:tc>
          <w:tcPr/>
          <w:p>
            <w:pPr>
              <w:pStyle w:val="Compact"/>
              <w:jc w:val="left"/>
            </w:pPr>
            <w:r>
              <w:t xml:space="preserve">FR-21</w:t>
            </w:r>
          </w:p>
        </w:tc>
        <w:tc>
          <w:tcPr/>
          <w:p>
            <w:pPr>
              <w:pStyle w:val="Compact"/>
              <w:jc w:val="left"/>
            </w:pPr>
            <w:r>
              <w:t xml:space="preserve">Unified EHR per pet</w:t>
            </w:r>
          </w:p>
        </w:tc>
        <w:tc>
          <w:tcPr/>
          <w:p>
            <w:pPr>
              <w:pStyle w:val="Compact"/>
              <w:jc w:val="left"/>
            </w:pPr>
            <w:r>
              <w:rPr>
                <w:bCs/>
                <w:b/>
              </w:rPr>
              <w:t xml:space="preserve">RETAIN and strengthen</w:t>
            </w:r>
          </w:p>
        </w:tc>
        <w:tc>
          <w:tcPr/>
          <w:p>
            <w:pPr>
              <w:pStyle w:val="Compact"/>
              <w:jc w:val="left"/>
            </w:pPr>
            <w:r>
              <w:t xml:space="preserve">The continuity thesis is correct and is the product's second pillar. Becomes</w:t>
            </w:r>
            <w:r>
              <w:t xml:space="preserve"> </w:t>
            </w:r>
            <w:r>
              <w:rPr>
                <w:rStyle w:val="VerbatimChar"/>
              </w:rPr>
              <w:t xml:space="preserve">X-044</w:t>
            </w:r>
            <w:r>
              <w:t xml:space="preserve">, the coded problem list (</w:t>
            </w:r>
            <w:r>
              <w:rPr>
                <w:rStyle w:val="VerbatimChar"/>
              </w:rPr>
              <w:t xml:space="preserve">M-006</w:t>
            </w:r>
            <w:r>
              <w:t xml:space="preserve">) and</w:t>
            </w:r>
            <w:r>
              <w:t xml:space="preserve"> </w:t>
            </w:r>
            <w:r>
              <w:rPr>
                <w:rStyle w:val="VerbatimChar"/>
              </w:rPr>
              <w:t xml:space="preserve">D-109</w:t>
            </w:r>
          </w:p>
        </w:tc>
      </w:tr>
      <w:tr>
        <w:tc>
          <w:tcPr/>
          <w:p>
            <w:pPr>
              <w:pStyle w:val="Compact"/>
              <w:jc w:val="left"/>
            </w:pPr>
            <w:r>
              <w:t xml:space="preserve">FR-22</w:t>
            </w:r>
          </w:p>
        </w:tc>
        <w:tc>
          <w:tcPr/>
          <w:p>
            <w:pPr>
              <w:pStyle w:val="Compact"/>
              <w:jc w:val="left"/>
            </w:pPr>
            <w:r>
              <w:t xml:space="preserve">Integration with external clinic systems</w:t>
            </w:r>
          </w:p>
        </w:tc>
        <w:tc>
          <w:tcPr/>
          <w:p>
            <w:pPr>
              <w:pStyle w:val="Compact"/>
              <w:jc w:val="left"/>
            </w:pPr>
            <w:r>
              <w:rPr>
                <w:bCs/>
                <w:b/>
              </w:rPr>
              <w:t xml:space="preserve">DEFER</w:t>
            </w:r>
          </w:p>
        </w:tc>
        <w:tc>
          <w:tcPr/>
          <w:p>
            <w:pPr>
              <w:pStyle w:val="Compact"/>
              <w:jc w:val="left"/>
            </w:pPr>
            <w:r>
              <w:t xml:space="preserve">No standard KSA interface established. Seam preserved</w:t>
            </w:r>
          </w:p>
        </w:tc>
      </w:tr>
      <w:tr>
        <w:tc>
          <w:tcPr/>
          <w:p>
            <w:pPr>
              <w:pStyle w:val="Compact"/>
              <w:jc w:val="left"/>
            </w:pPr>
            <w:r>
              <w:t xml:space="preserve">FR-23</w:t>
            </w:r>
          </w:p>
        </w:tc>
        <w:tc>
          <w:tcPr/>
          <w:p>
            <w:pPr>
              <w:pStyle w:val="Compact"/>
              <w:jc w:val="left"/>
            </w:pPr>
            <w:r>
              <w:t xml:space="preserve">Vaccination and treatment reminders</w:t>
            </w:r>
          </w:p>
        </w:tc>
        <w:tc>
          <w:tcPr/>
          <w:p>
            <w:pPr>
              <w:pStyle w:val="Compact"/>
              <w:jc w:val="left"/>
            </w:pPr>
            <w:r>
              <w:rPr>
                <w:bCs/>
                <w:b/>
              </w:rPr>
              <w:t xml:space="preserve">RETAIN</w:t>
            </w:r>
          </w:p>
        </w:tc>
        <w:tc>
          <w:tcPr/>
          <w:p>
            <w:pPr>
              <w:pStyle w:val="Compact"/>
              <w:jc w:val="left"/>
            </w:pPr>
            <w:r>
              <w:rPr>
                <w:rStyle w:val="VerbatimChar"/>
              </w:rPr>
              <w:t xml:space="preserve">X-042</w:t>
            </w:r>
            <w:r>
              <w:t xml:space="preserve">,</w:t>
            </w:r>
            <w:r>
              <w:t xml:space="preserve"> </w:t>
            </w:r>
            <w:r>
              <w:rPr>
                <w:rStyle w:val="VerbatimChar"/>
              </w:rPr>
              <w:t xml:space="preserve">D-202</w:t>
            </w:r>
            <w:r>
              <w:t xml:space="preserve">-as-calendar.</w:t>
            </w:r>
            <w:r>
              <w:t xml:space="preserve"> </w:t>
            </w:r>
            <w:r>
              <w:rPr>
                <w:bCs/>
                <w:b/>
              </w:rPr>
              <w:t xml:space="preserve">Vaccination history is the priority migration backfill</w:t>
            </w:r>
            <w:r>
              <w:t xml:space="preserve"> </w:t>
            </w:r>
            <w:r>
              <w:t xml:space="preserve">(</w:t>
            </w:r>
            <w:r>
              <w:rPr>
                <w:rStyle w:val="VerbatimChar"/>
              </w:rPr>
              <w:t xml:space="preserve">X-092</w:t>
            </w:r>
            <w:r>
              <w:t xml:space="preserve">)</w:t>
            </w:r>
          </w:p>
        </w:tc>
      </w:tr>
      <w:tr>
        <w:tc>
          <w:tcPr/>
          <w:p>
            <w:pPr>
              <w:pStyle w:val="Compact"/>
              <w:jc w:val="left"/>
            </w:pPr>
            <w:r>
              <w:t xml:space="preserve">FR-24</w:t>
            </w:r>
          </w:p>
        </w:tc>
        <w:tc>
          <w:tcPr/>
          <w:p>
            <w:pPr>
              <w:pStyle w:val="Compact"/>
              <w:jc w:val="left"/>
            </w:pPr>
            <w:r>
              <w:t xml:space="preserve">Health trends and analytics dashboard</w:t>
            </w:r>
          </w:p>
        </w:tc>
        <w:tc>
          <w:tcPr/>
          <w:p>
            <w:pPr>
              <w:pStyle w:val="Compact"/>
              <w:jc w:val="left"/>
            </w:pPr>
            <w:r>
              <w:rPr>
                <w:bCs/>
                <w:b/>
              </w:rPr>
              <w:t xml:space="preserve">MODIFY</w:t>
            </w:r>
          </w:p>
        </w:tc>
        <w:tc>
          <w:tcPr/>
          <w:p>
            <w:pPr>
              <w:pStyle w:val="Compact"/>
              <w:jc w:val="left"/>
            </w:pPr>
            <w:r>
              <w:t xml:space="preserve">Becomes the</w:t>
            </w:r>
            <w:r>
              <w:t xml:space="preserve"> </w:t>
            </w:r>
            <w:r>
              <w:rPr>
                <w:bCs/>
                <w:b/>
              </w:rPr>
              <w:t xml:space="preserve">compliance</w:t>
            </w:r>
            <w:r>
              <w:t xml:space="preserve"> </w:t>
            </w:r>
            <w:r>
              <w:t xml:space="preserve">position (</w:t>
            </w:r>
            <w:r>
              <w:rPr>
                <w:rStyle w:val="VerbatimChar"/>
              </w:rPr>
              <w:t xml:space="preserve">D-101</w:t>
            </w:r>
            <w:r>
              <w:t xml:space="preserve">), not a clinical trend surface. Clinical time-series display retained with the non-mirroring rule</w:t>
            </w:r>
            <w:r>
              <w:t xml:space="preserve"> </w:t>
            </w:r>
            <w:r>
              <w:rPr>
                <w:rStyle w:val="VerbatimChar"/>
              </w:rPr>
              <w:t xml:space="preserve">X-065</w:t>
            </w:r>
          </w:p>
        </w:tc>
      </w:tr>
      <w:tr>
        <w:tc>
          <w:tcPr/>
          <w:p>
            <w:pPr>
              <w:pStyle w:val="Compact"/>
              <w:jc w:val="left"/>
            </w:pPr>
            <w:r>
              <w:t xml:space="preserve">FR-25</w:t>
            </w:r>
          </w:p>
        </w:tc>
        <w:tc>
          <w:tcPr/>
          <w:p>
            <w:pPr>
              <w:pStyle w:val="Compact"/>
              <w:jc w:val="left"/>
            </w:pPr>
            <w:r>
              <w:t xml:space="preserve">Exportable medical records for travel</w:t>
            </w:r>
          </w:p>
        </w:tc>
        <w:tc>
          <w:tcPr/>
          <w:p>
            <w:pPr>
              <w:pStyle w:val="Compact"/>
              <w:jc w:val="left"/>
            </w:pPr>
            <w:r>
              <w:rPr>
                <w:bCs/>
                <w:b/>
              </w:rPr>
              <w:t xml:space="preserve">RETAIN</w:t>
            </w:r>
          </w:p>
        </w:tc>
        <w:tc>
          <w:tcPr/>
          <w:p>
            <w:pPr>
              <w:pStyle w:val="Compact"/>
              <w:jc w:val="left"/>
            </w:pPr>
            <w:r>
              <w:rPr>
                <w:rStyle w:val="VerbatimChar"/>
              </w:rPr>
              <w:t xml:space="preserve">X-045</w:t>
            </w:r>
            <w:r>
              <w:t xml:space="preserve">. Portability is a trust asset for the clinic</w:t>
            </w:r>
          </w:p>
        </w:tc>
      </w:tr>
      <w:tr>
        <w:tc>
          <w:tcPr/>
          <w:p>
            <w:pPr>
              <w:pStyle w:val="Compact"/>
              <w:jc w:val="left"/>
            </w:pPr>
            <w:r>
              <w:t xml:space="preserve">FR-26</w:t>
            </w:r>
          </w:p>
        </w:tc>
        <w:tc>
          <w:tcPr/>
          <w:p>
            <w:pPr>
              <w:pStyle w:val="Compact"/>
              <w:jc w:val="left"/>
            </w:pPr>
            <w:r>
              <w:t xml:space="preserve">IoT device data integration</w:t>
            </w:r>
          </w:p>
        </w:tc>
        <w:tc>
          <w:tcPr/>
          <w:p>
            <w:pPr>
              <w:pStyle w:val="Compact"/>
              <w:jc w:val="left"/>
            </w:pPr>
            <w:r>
              <w:rPr>
                <w:bCs/>
                <w:b/>
              </w:rPr>
              <w:t xml:space="preserve">DEFER indefinitely</w:t>
            </w:r>
          </w:p>
        </w:tc>
        <w:tc>
          <w:tcPr/>
          <w:p>
            <w:pPr>
              <w:pStyle w:val="Compact"/>
              <w:jc w:val="left"/>
            </w:pPr>
            <w:r>
              <w:t xml:space="preserve">No evidence of demand in the target segment</w:t>
            </w:r>
          </w:p>
        </w:tc>
      </w:tr>
      <w:tr>
        <w:tc>
          <w:tcPr/>
          <w:p>
            <w:pPr>
              <w:pStyle w:val="Compact"/>
              <w:jc w:val="left"/>
            </w:pPr>
            <w:r>
              <w:t xml:space="preserve">FR-27</w:t>
            </w:r>
          </w:p>
        </w:tc>
        <w:tc>
          <w:tcPr/>
          <w:p>
            <w:pPr>
              <w:pStyle w:val="Compact"/>
              <w:jc w:val="left"/>
            </w:pPr>
            <w:r>
              <w:t xml:space="preserve">Real-time pharmacy operations dashboard</w:t>
            </w:r>
          </w:p>
        </w:tc>
        <w:tc>
          <w:tcPr/>
          <w:p>
            <w:pPr>
              <w:pStyle w:val="Compact"/>
              <w:jc w:val="left"/>
            </w:pPr>
            <w:r>
              <w:rPr>
                <w:bCs/>
                <w:b/>
              </w:rPr>
              <w:t xml:space="preserve">MODIFY</w:t>
            </w:r>
          </w:p>
        </w:tc>
        <w:tc>
          <w:tcPr/>
          <w:p>
            <w:pPr>
              <w:pStyle w:val="Compact"/>
              <w:jc w:val="left"/>
            </w:pPr>
            <w:r>
              <w:t xml:space="preserve">Becomes the principal's compliance readiness view (</w:t>
            </w:r>
            <w:r>
              <w:rPr>
                <w:rStyle w:val="VerbatimChar"/>
              </w:rPr>
              <w:t xml:space="preserve">X-031</w:t>
            </w:r>
            <w:r>
              <w:t xml:space="preserve">) — the operational question a Saudi principal actually has</w:t>
            </w:r>
          </w:p>
        </w:tc>
      </w:tr>
      <w:tr>
        <w:tc>
          <w:tcPr/>
          <w:p>
            <w:pPr>
              <w:pStyle w:val="Compact"/>
              <w:jc w:val="left"/>
            </w:pPr>
            <w:r>
              <w:t xml:space="preserve">FR-28</w:t>
            </w:r>
          </w:p>
        </w:tc>
        <w:tc>
          <w:tcPr/>
          <w:p>
            <w:pPr>
              <w:pStyle w:val="Compact"/>
              <w:jc w:val="left"/>
            </w:pPr>
            <w:r>
              <w:t xml:space="preserve">Inventory forecasting and auto-replenishment</w:t>
            </w:r>
          </w:p>
        </w:tc>
        <w:tc>
          <w:tcPr/>
          <w:p>
            <w:pPr>
              <w:pStyle w:val="Compact"/>
              <w:jc w:val="left"/>
            </w:pPr>
            <w:r>
              <w:rPr>
                <w:bCs/>
                <w:b/>
              </w:rPr>
              <w:t xml:space="preserve">MODIFY →</w:t>
            </w:r>
            <w:r>
              <w:rPr>
                <w:bCs/>
                <w:b/>
              </w:rPr>
              <w:t xml:space="preserve"> </w:t>
            </w:r>
            <w:r>
              <w:rPr>
                <w:rStyle w:val="VerbatimChar"/>
                <w:bCs/>
                <w:b/>
              </w:rPr>
              <w:t xml:space="preserve">D-108</w:t>
            </w:r>
          </w:p>
        </w:tc>
        <w:tc>
          <w:tcPr/>
          <w:p>
            <w:pPr>
              <w:pStyle w:val="Compact"/>
              <w:jc w:val="left"/>
            </w:pPr>
            <w:r>
              <w:t xml:space="preserve">Forecasting retained as the</w:t>
            </w:r>
            <w:r>
              <w:t xml:space="preserve"> </w:t>
            </w:r>
            <w:r>
              <w:rPr>
                <w:bCs/>
                <w:b/>
              </w:rPr>
              <w:t xml:space="preserve">one place a statistical model is entirely safe</w:t>
            </w:r>
            <w:r>
              <w:t xml:space="preserve">; auto-replenishment deferred</w:t>
            </w:r>
          </w:p>
        </w:tc>
      </w:tr>
      <w:tr>
        <w:tc>
          <w:tcPr/>
          <w:p>
            <w:pPr>
              <w:pStyle w:val="Compact"/>
              <w:jc w:val="left"/>
            </w:pPr>
            <w:r>
              <w:t xml:space="preserve">FR-29</w:t>
            </w:r>
          </w:p>
        </w:tc>
        <w:tc>
          <w:tcPr/>
          <w:p>
            <w:pPr>
              <w:pStyle w:val="Compact"/>
              <w:jc w:val="left"/>
            </w:pPr>
            <w:r>
              <w:t xml:space="preserve">Commission and revenue-sharing automation</w:t>
            </w:r>
          </w:p>
        </w:tc>
        <w:tc>
          <w:tcPr/>
          <w:p>
            <w:pPr>
              <w:pStyle w:val="Compact"/>
              <w:jc w:val="left"/>
            </w:pPr>
            <w:r>
              <w:rPr>
                <w:bCs/>
                <w:b/>
              </w:rPr>
              <w:t xml:space="preserve">REJECT — business model</w:t>
            </w:r>
          </w:p>
        </w:tc>
        <w:tc>
          <w:tcPr/>
          <w:p>
            <w:pPr>
              <w:pStyle w:val="Compact"/>
              <w:jc w:val="left"/>
            </w:pPr>
            <w:r>
              <w:t xml:space="preserve">Marketplace economics.</w:t>
            </w:r>
            <w:r>
              <w:t xml:space="preserve"> </w:t>
            </w:r>
            <w:r>
              <w:rPr>
                <w:bCs/>
                <w:b/>
              </w:rPr>
              <w:t xml:space="preserve">Note: the legacy document made this High priority with no commission rate stated anywhere</w:t>
            </w:r>
          </w:p>
        </w:tc>
      </w:tr>
      <w:tr>
        <w:tc>
          <w:tcPr/>
          <w:p>
            <w:pPr>
              <w:pStyle w:val="Compact"/>
              <w:jc w:val="left"/>
            </w:pPr>
            <w:r>
              <w:t xml:space="preserve">FR-30</w:t>
            </w:r>
          </w:p>
        </w:tc>
        <w:tc>
          <w:tcPr/>
          <w:p>
            <w:pPr>
              <w:pStyle w:val="Compact"/>
              <w:jc w:val="left"/>
            </w:pPr>
            <w:r>
              <w:t xml:space="preserve">SFDA compliance reporting automation</w:t>
            </w:r>
          </w:p>
        </w:tc>
        <w:tc>
          <w:tcPr/>
          <w:p>
            <w:pPr>
              <w:pStyle w:val="Compact"/>
              <w:jc w:val="left"/>
            </w:pPr>
            <w:r>
              <w:rPr>
                <w:bCs/>
                <w:b/>
              </w:rPr>
              <w:t xml:space="preserve">MODIFY — regulator corrected</w:t>
            </w:r>
          </w:p>
        </w:tc>
        <w:tc>
          <w:tcPr/>
          <w:p>
            <w:pPr>
              <w:pStyle w:val="Compact"/>
              <w:jc w:val="left"/>
            </w:pPr>
            <w:r>
              <w:t xml:space="preserve">Becomes MEWA case-register reporting (</w:t>
            </w:r>
            <w:r>
              <w:rPr>
                <w:rStyle w:val="VerbatimChar"/>
              </w:rPr>
              <w:t xml:space="preserve">R-106</w:t>
            </w:r>
            <w:r>
              <w:t xml:space="preserve">) and the antimicrobial utilisation register (</w:t>
            </w:r>
            <w:r>
              <w:rPr>
                <w:rStyle w:val="VerbatimChar"/>
              </w:rPr>
              <w:t xml:space="preserve">R-115</w:t>
            </w:r>
            <w:r>
              <w:t xml:space="preserve">,</w:t>
            </w:r>
            <w:r>
              <w:t xml:space="preserve"> </w:t>
            </w:r>
            <w:r>
              <w:rPr>
                <w:rStyle w:val="VerbatimChar"/>
              </w:rPr>
              <w:t xml:space="preserve">D-105</w:t>
            </w:r>
            <w:r>
              <w:t xml:space="preserve">)</w:t>
            </w:r>
          </w:p>
        </w:tc>
      </w:tr>
      <w:tr>
        <w:tc>
          <w:tcPr/>
          <w:p>
            <w:pPr>
              <w:pStyle w:val="Compact"/>
              <w:jc w:val="left"/>
            </w:pPr>
            <w:r>
              <w:t xml:space="preserve">FR-31</w:t>
            </w:r>
          </w:p>
        </w:tc>
        <w:tc>
          <w:tcPr/>
          <w:p>
            <w:pPr>
              <w:pStyle w:val="Compact"/>
              <w:jc w:val="left"/>
            </w:pPr>
            <w:r>
              <w:t xml:space="preserve">Customer behaviour analytics</w:t>
            </w:r>
          </w:p>
        </w:tc>
        <w:tc>
          <w:tcPr/>
          <w:p>
            <w:pPr>
              <w:pStyle w:val="Compact"/>
              <w:jc w:val="left"/>
            </w:pPr>
            <w:r>
              <w:rPr>
                <w:bCs/>
                <w:b/>
              </w:rPr>
              <w:t xml:space="preserve">REJECT</w:t>
            </w:r>
          </w:p>
        </w:tc>
        <w:tc>
          <w:tcPr/>
          <w:p>
            <w:pPr>
              <w:pStyle w:val="Compact"/>
              <w:jc w:val="left"/>
            </w:pPr>
            <w:r>
              <w:t xml:space="preserve">Adjacent to</w:t>
            </w:r>
            <w:r>
              <w:t xml:space="preserve"> </w:t>
            </w:r>
            <w:r>
              <w:rPr>
                <w:rStyle w:val="VerbatimChar"/>
              </w:rPr>
              <w:t xml:space="preserve">D-304</w:t>
            </w:r>
            <w:r>
              <w:t xml:space="preserve">. Behavioural profiling of identified natural persons under PDPL, for modest value</w:t>
            </w:r>
          </w:p>
        </w:tc>
      </w:tr>
      <w:tr>
        <w:tc>
          <w:tcPr/>
          <w:p>
            <w:pPr>
              <w:pStyle w:val="Compact"/>
              <w:jc w:val="left"/>
            </w:pPr>
            <w:r>
              <w:t xml:space="preserve">—</w:t>
            </w:r>
          </w:p>
        </w:tc>
        <w:tc>
          <w:tcPr/>
          <w:p>
            <w:pPr>
              <w:pStyle w:val="Compact"/>
              <w:jc w:val="left"/>
            </w:pPr>
            <w:r>
              <w:rPr>
                <w:bCs/>
                <w:b/>
              </w:rPr>
              <w:t xml:space="preserve">Notifiable-disease reporting</w:t>
            </w:r>
          </w:p>
        </w:tc>
        <w:tc>
          <w:tcPr/>
          <w:p>
            <w:pPr>
              <w:pStyle w:val="Compact"/>
              <w:jc w:val="left"/>
            </w:pPr>
            <w:r>
              <w:rPr>
                <w:bCs/>
                <w:b/>
              </w:rPr>
              <w:t xml:space="preserve">NEW — P0</w:t>
            </w:r>
          </w:p>
        </w:tc>
        <w:tc>
          <w:tcPr/>
          <w:p>
            <w:pPr>
              <w:pStyle w:val="Compact"/>
              <w:jc w:val="left"/>
            </w:pPr>
            <w:r>
              <w:rPr>
                <w:bCs/>
                <w:b/>
              </w:rPr>
              <w:t xml:space="preserve">Absent from the legacy document entirely, and it is the only unambiguous enforceable statutory duty in the domain.</w:t>
            </w:r>
            <w:r>
              <w:t xml:space="preserve"> </w:t>
            </w:r>
            <w:r>
              <w:rPr>
                <w:rStyle w:val="VerbatimChar"/>
              </w:rPr>
              <w:t xml:space="preserve">R-119</w:t>
            </w:r>
            <w:r>
              <w:t xml:space="preserve">–</w:t>
            </w:r>
            <w:r>
              <w:rPr>
                <w:rStyle w:val="VerbatimChar"/>
              </w:rPr>
              <w:t xml:space="preserve">R-121</w:t>
            </w:r>
            <w:r>
              <w:t xml:space="preserve">,</w:t>
            </w:r>
            <w:r>
              <w:t xml:space="preserve"> </w:t>
            </w:r>
            <w:r>
              <w:rPr>
                <w:rStyle w:val="VerbatimChar"/>
              </w:rPr>
              <w:t xml:space="preserve">D-102</w:t>
            </w:r>
            <w:r>
              <w:t xml:space="preserve">,</w:t>
            </w:r>
            <w:r>
              <w:t xml:space="preserve"> </w:t>
            </w:r>
            <w:r>
              <w:rPr>
                <w:rStyle w:val="VerbatimChar"/>
              </w:rPr>
              <w:t xml:space="preserve">X-024</w:t>
            </w:r>
            <w:r>
              <w:t xml:space="preserve">–</w:t>
            </w:r>
            <w:r>
              <w:rPr>
                <w:rStyle w:val="VerbatimChar"/>
              </w:rPr>
              <w:t xml:space="preserve">X-029</w:t>
            </w:r>
          </w:p>
        </w:tc>
      </w:tr>
      <w:tr>
        <w:tc>
          <w:tcPr/>
          <w:p>
            <w:pPr>
              <w:pStyle w:val="Compact"/>
              <w:jc w:val="left"/>
            </w:pPr>
            <w:r>
              <w:t xml:space="preserve">—</w:t>
            </w:r>
          </w:p>
        </w:tc>
        <w:tc>
          <w:tcPr/>
          <w:p>
            <w:pPr>
              <w:pStyle w:val="Compact"/>
              <w:jc w:val="left"/>
            </w:pPr>
            <w:r>
              <w:rPr>
                <w:bCs/>
                <w:b/>
              </w:rPr>
              <w:t xml:space="preserve">ZATCA Phase 2 e-invoicing</w:t>
            </w:r>
          </w:p>
        </w:tc>
        <w:tc>
          <w:tcPr/>
          <w:p>
            <w:pPr>
              <w:pStyle w:val="Compact"/>
              <w:jc w:val="left"/>
            </w:pPr>
            <w:r>
              <w:rPr>
                <w:bCs/>
                <w:b/>
              </w:rPr>
              <w:t xml:space="preserve">NEW — the wedge</w:t>
            </w:r>
          </w:p>
        </w:tc>
        <w:tc>
          <w:tcPr/>
          <w:p>
            <w:pPr>
              <w:pStyle w:val="Compact"/>
              <w:jc w:val="left"/>
            </w:pPr>
            <w:r>
              <w:t xml:space="preserve">Absent from the legacy document. §S8.3</w:t>
            </w:r>
          </w:p>
        </w:tc>
      </w:tr>
      <w:tr>
        <w:tc>
          <w:tcPr/>
          <w:p>
            <w:pPr>
              <w:pStyle w:val="Compact"/>
              <w:jc w:val="left"/>
            </w:pPr>
            <w:r>
              <w:t xml:space="preserve">—</w:t>
            </w:r>
          </w:p>
        </w:tc>
        <w:tc>
          <w:tcPr/>
          <w:p>
            <w:pPr>
              <w:pStyle w:val="Compact"/>
              <w:jc w:val="left"/>
            </w:pPr>
            <w:r>
              <w:rPr>
                <w:bCs/>
                <w:b/>
              </w:rPr>
              <w:t xml:space="preserve">Licence lifecycle and gating</w:t>
            </w:r>
          </w:p>
        </w:tc>
        <w:tc>
          <w:tcPr/>
          <w:p>
            <w:pPr>
              <w:pStyle w:val="Compact"/>
              <w:jc w:val="left"/>
            </w:pPr>
            <w:r>
              <w:rPr>
                <w:bCs/>
                <w:b/>
              </w:rPr>
              <w:t xml:space="preserve">NEW — P0</w:t>
            </w:r>
          </w:p>
        </w:tc>
        <w:tc>
          <w:tcPr/>
          <w:p>
            <w:pPr>
              <w:pStyle w:val="Compact"/>
              <w:jc w:val="left"/>
            </w:pPr>
            <w:r>
              <w:t xml:space="preserve">Absent.</w:t>
            </w:r>
            <w:r>
              <w:t xml:space="preserve"> </w:t>
            </w:r>
            <w:r>
              <w:rPr>
                <w:rStyle w:val="VerbatimChar"/>
              </w:rPr>
              <w:t xml:space="preserve">R-101</w:t>
            </w:r>
            <w:r>
              <w:t xml:space="preserve">–</w:t>
            </w:r>
            <w:r>
              <w:rPr>
                <w:rStyle w:val="VerbatimChar"/>
              </w:rPr>
              <w:t xml:space="preserve">R-103</w:t>
            </w:r>
            <w:r>
              <w:t xml:space="preserve">,</w:t>
            </w:r>
            <w:r>
              <w:t xml:space="preserve"> </w:t>
            </w:r>
            <w:r>
              <w:rPr>
                <w:rStyle w:val="VerbatimChar"/>
              </w:rPr>
              <w:t xml:space="preserve">LicenceGate</w:t>
            </w:r>
            <w:r>
              <w:t xml:space="preserve">,</w:t>
            </w:r>
            <w:r>
              <w:t xml:space="preserve"> </w:t>
            </w:r>
            <w:r>
              <w:rPr>
                <w:rStyle w:val="VerbatimChar"/>
              </w:rPr>
              <w:t xml:space="preserve">E-014</w:t>
            </w:r>
          </w:p>
        </w:tc>
      </w:tr>
      <w:tr>
        <w:tc>
          <w:tcPr/>
          <w:p>
            <w:pPr>
              <w:pStyle w:val="Compact"/>
              <w:jc w:val="left"/>
            </w:pPr>
            <w:r>
              <w:t xml:space="preserve">—</w:t>
            </w:r>
          </w:p>
        </w:tc>
        <w:tc>
          <w:tcPr/>
          <w:p>
            <w:pPr>
              <w:pStyle w:val="Compact"/>
              <w:jc w:val="left"/>
            </w:pPr>
            <w:r>
              <w:rPr>
                <w:bCs/>
                <w:b/>
              </w:rPr>
              <w:t xml:space="preserve">Inspection evidence pack</w:t>
            </w:r>
          </w:p>
        </w:tc>
        <w:tc>
          <w:tcPr/>
          <w:p>
            <w:pPr>
              <w:pStyle w:val="Compact"/>
              <w:jc w:val="left"/>
            </w:pPr>
            <w:r>
              <w:rPr>
                <w:bCs/>
                <w:b/>
              </w:rPr>
              <w:t xml:space="preserve">NEW — the killer journey</w:t>
            </w:r>
          </w:p>
        </w:tc>
        <w:tc>
          <w:tcPr/>
          <w:p>
            <w:pPr>
              <w:pStyle w:val="Compact"/>
              <w:jc w:val="left"/>
            </w:pPr>
            <w:r>
              <w:t xml:space="preserve">Absent.</w:t>
            </w:r>
            <w:r>
              <w:t xml:space="preserve"> </w:t>
            </w:r>
            <w:r>
              <w:rPr>
                <w:rStyle w:val="VerbatimChar"/>
              </w:rPr>
              <w:t xml:space="preserve">X-030</w:t>
            </w:r>
            <w:r>
              <w:t xml:space="preserve">–</w:t>
            </w:r>
            <w:r>
              <w:rPr>
                <w:rStyle w:val="VerbatimChar"/>
              </w:rPr>
              <w:t xml:space="preserve">X-035</w:t>
            </w:r>
            <w:r>
              <w:t xml:space="preserve">,</w:t>
            </w:r>
            <w:r>
              <w:t xml:space="preserve"> </w:t>
            </w:r>
            <w:r>
              <w:rPr>
                <w:rStyle w:val="VerbatimChar"/>
              </w:rPr>
              <w:t xml:space="preserve">M-017</w:t>
            </w:r>
          </w:p>
        </w:tc>
      </w:tr>
    </w:tbl>
    <w:bookmarkEnd w:id="148"/>
    <w:bookmarkStart w:id="149" w:name="a2-non-functional-requirements"/>
    <w:p>
      <w:pPr>
        <w:pStyle w:val="Heading2"/>
      </w:pPr>
      <w:r>
        <w:t xml:space="preserve">A.2 Non-functional requirements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Legacy</w:t>
            </w:r>
          </w:p>
        </w:tc>
        <w:tc>
          <w:tcPr/>
          <w:p>
            <w:pPr>
              <w:pStyle w:val="Compact"/>
              <w:jc w:val="left"/>
            </w:pPr>
            <w:r>
              <w:t xml:space="preserve">Requirement</w:t>
            </w:r>
          </w:p>
        </w:tc>
        <w:tc>
          <w:tcPr/>
          <w:p>
            <w:pPr>
              <w:pStyle w:val="Compact"/>
              <w:jc w:val="left"/>
            </w:pPr>
            <w:r>
              <w:t xml:space="preserve">Disposition</w:t>
            </w:r>
          </w:p>
        </w:tc>
        <w:tc>
          <w:tcPr/>
          <w:p>
            <w:pPr>
              <w:pStyle w:val="Compact"/>
              <w:jc w:val="left"/>
            </w:pPr>
            <w:r>
              <w:t xml:space="preserve">Where it lands / why</w:t>
            </w:r>
          </w:p>
        </w:tc>
      </w:tr>
      <w:tr>
        <w:tc>
          <w:tcPr/>
          <w:p>
            <w:pPr>
              <w:pStyle w:val="Compact"/>
              <w:jc w:val="left"/>
            </w:pPr>
            <w:r>
              <w:t xml:space="preserve">NFR-01</w:t>
            </w:r>
          </w:p>
        </w:tc>
        <w:tc>
          <w:tcPr/>
          <w:p>
            <w:pPr>
              <w:pStyle w:val="Compact"/>
              <w:jc w:val="left"/>
            </w:pPr>
            <w:r>
              <w:t xml:space="preserve">Response time &lt; 2 s for 95% of requests</w:t>
            </w:r>
          </w:p>
        </w:tc>
        <w:tc>
          <w:tcPr/>
          <w:p>
            <w:pPr>
              <w:pStyle w:val="Compact"/>
              <w:jc w:val="left"/>
            </w:pPr>
            <w:r>
              <w:rPr>
                <w:bCs/>
                <w:b/>
              </w:rPr>
              <w:t xml:space="preserve">MODIFY</w:t>
            </w:r>
          </w:p>
        </w:tc>
        <w:tc>
          <w:tcPr/>
          <w:p>
            <w:pPr>
              <w:pStyle w:val="Compact"/>
              <w:jc w:val="left"/>
            </w:pPr>
            <w:r>
              <w:t xml:space="preserve">Replaced by consequence-justified thresholds per interaction (</w:t>
            </w:r>
            <w:r>
              <w:rPr>
                <w:rStyle w:val="VerbatimChar"/>
              </w:rPr>
              <w:t xml:space="preserve">N-01</w:t>
            </w:r>
            <w:r>
              <w:t xml:space="preserve">,</w:t>
            </w:r>
            <w:r>
              <w:t xml:space="preserve"> </w:t>
            </w:r>
            <w:r>
              <w:rPr>
                <w:rStyle w:val="VerbatimChar"/>
              </w:rPr>
              <w:t xml:space="preserve">N-02</w:t>
            </w:r>
            <w:r>
              <w:t xml:space="preserve">,</w:t>
            </w:r>
            <w:r>
              <w:t xml:space="preserve"> </w:t>
            </w:r>
            <w:r>
              <w:rPr>
                <w:rStyle w:val="VerbatimChar"/>
              </w:rPr>
              <w:t xml:space="preserve">N-03</w:t>
            </w:r>
            <w:r>
              <w:t xml:space="preserve">), because a single global number hides the interaction that matters</w:t>
            </w:r>
          </w:p>
        </w:tc>
      </w:tr>
      <w:tr>
        <w:tc>
          <w:tcPr/>
          <w:p>
            <w:pPr>
              <w:pStyle w:val="Compact"/>
              <w:jc w:val="left"/>
            </w:pPr>
            <w:r>
              <w:t xml:space="preserve">NFR-02</w:t>
            </w:r>
          </w:p>
        </w:tc>
        <w:tc>
          <w:tcPr/>
          <w:p>
            <w:pPr>
              <w:pStyle w:val="Compact"/>
              <w:jc w:val="left"/>
            </w:pPr>
            <w:r>
              <w:t xml:space="preserve">10,000 concurrent users</w:t>
            </w:r>
          </w:p>
        </w:tc>
        <w:tc>
          <w:tcPr/>
          <w:p>
            <w:pPr>
              <w:pStyle w:val="Compact"/>
              <w:jc w:val="left"/>
            </w:pPr>
            <w:r>
              <w:rPr>
                <w:bCs/>
                <w:b/>
              </w:rPr>
              <w:t xml:space="preserve">REJECT</w:t>
            </w:r>
          </w:p>
        </w:tc>
        <w:tc>
          <w:tcPr/>
          <w:p>
            <w:pPr>
              <w:pStyle w:val="Compact"/>
              <w:jc w:val="left"/>
            </w:pPr>
            <w:r>
              <w:t xml:space="preserve">A machine metric with no user consequence, sized for a market that does not exist. Replaced by per-tenant availability (</w:t>
            </w:r>
            <w:r>
              <w:rPr>
                <w:rStyle w:val="VerbatimChar"/>
              </w:rPr>
              <w:t xml:space="preserve">N-08</w:t>
            </w:r>
            <w:r>
              <w:t xml:space="preserve">)</w:t>
            </w:r>
          </w:p>
        </w:tc>
      </w:tr>
      <w:tr>
        <w:tc>
          <w:tcPr/>
          <w:p>
            <w:pPr>
              <w:pStyle w:val="Compact"/>
              <w:jc w:val="left"/>
            </w:pPr>
            <w:r>
              <w:t xml:space="preserve">NFR-03</w:t>
            </w:r>
          </w:p>
        </w:tc>
        <w:tc>
          <w:tcPr/>
          <w:p>
            <w:pPr>
              <w:pStyle w:val="Compact"/>
              <w:jc w:val="left"/>
            </w:pPr>
            <w:r>
              <w:t xml:space="preserve">HD video quality</w:t>
            </w:r>
          </w:p>
        </w:tc>
        <w:tc>
          <w:tcPr/>
          <w:p>
            <w:pPr>
              <w:pStyle w:val="Compact"/>
              <w:jc w:val="left"/>
            </w:pPr>
            <w:r>
              <w:rPr>
                <w:bCs/>
                <w:b/>
              </w:rPr>
              <w:t xml:space="preserve">FENCE</w:t>
            </w:r>
          </w:p>
        </w:tc>
        <w:tc>
          <w:tcPr/>
          <w:p>
            <w:pPr>
              <w:pStyle w:val="Compact"/>
              <w:jc w:val="left"/>
            </w:pPr>
            <w:r>
              <w:t xml:space="preserve">With FR-06</w:t>
            </w:r>
          </w:p>
        </w:tc>
      </w:tr>
      <w:tr>
        <w:tc>
          <w:tcPr/>
          <w:p>
            <w:pPr>
              <w:pStyle w:val="Compact"/>
              <w:jc w:val="left"/>
            </w:pPr>
            <w:r>
              <w:t xml:space="preserve">NFR-04</w:t>
            </w:r>
          </w:p>
        </w:tc>
        <w:tc>
          <w:tcPr/>
          <w:p>
            <w:pPr>
              <w:pStyle w:val="Compact"/>
              <w:jc w:val="left"/>
            </w:pPr>
            <w:r>
              <w:t xml:space="preserve">Sub-second inventory query</w:t>
            </w:r>
          </w:p>
        </w:tc>
        <w:tc>
          <w:tcPr/>
          <w:p>
            <w:pPr>
              <w:pStyle w:val="Compact"/>
              <w:jc w:val="left"/>
            </w:pPr>
            <w:r>
              <w:rPr>
                <w:bCs/>
                <w:b/>
              </w:rPr>
              <w:t xml:space="preserve">MODIFY</w:t>
            </w:r>
          </w:p>
        </w:tc>
        <w:tc>
          <w:tcPr/>
          <w:p>
            <w:pPr>
              <w:pStyle w:val="Compact"/>
              <w:jc w:val="left"/>
            </w:pPr>
            <w:r>
              <w:t xml:space="preserve">Folded into</w:t>
            </w:r>
            <w:r>
              <w:t xml:space="preserve"> </w:t>
            </w:r>
            <w:r>
              <w:rPr>
                <w:rStyle w:val="VerbatimChar"/>
              </w:rPr>
              <w:t xml:space="preserve">N-01</w:t>
            </w:r>
          </w:p>
        </w:tc>
      </w:tr>
      <w:tr>
        <w:tc>
          <w:tcPr/>
          <w:p>
            <w:pPr>
              <w:pStyle w:val="Compact"/>
              <w:jc w:val="left"/>
            </w:pPr>
            <w:r>
              <w:t xml:space="preserve">NFR-05</w:t>
            </w:r>
          </w:p>
        </w:tc>
        <w:tc>
          <w:tcPr/>
          <w:p>
            <w:pPr>
              <w:pStyle w:val="Compact"/>
              <w:jc w:val="left"/>
            </w:pPr>
            <w:r>
              <w:t xml:space="preserve">AES-256 at rest, TLS 1.3 in transit</w:t>
            </w:r>
          </w:p>
        </w:tc>
        <w:tc>
          <w:tcPr/>
          <w:p>
            <w:pPr>
              <w:pStyle w:val="Compact"/>
              <w:jc w:val="left"/>
            </w:pPr>
            <w:r>
              <w:rPr>
                <w:bCs/>
                <w:b/>
              </w:rPr>
              <w:t xml:space="preserve">RETAIN and strengthen</w:t>
            </w:r>
          </w:p>
        </w:tc>
        <w:tc>
          <w:tcPr/>
          <w:p>
            <w:pPr>
              <w:pStyle w:val="Compact"/>
              <w:jc w:val="left"/>
            </w:pPr>
            <w:r>
              <w:rPr>
                <w:rStyle w:val="VerbatimChar"/>
              </w:rPr>
              <w:t xml:space="preserve">E-016</w:t>
            </w:r>
            <w:r>
              <w:t xml:space="preserve">, plus customer-managed keys, tokenised national identifiers and emission-time log redaction</w:t>
            </w:r>
          </w:p>
        </w:tc>
      </w:tr>
      <w:tr>
        <w:tc>
          <w:tcPr/>
          <w:p>
            <w:pPr>
              <w:pStyle w:val="Compact"/>
              <w:jc w:val="left"/>
            </w:pPr>
            <w:r>
              <w:t xml:space="preserve">NFR-06</w:t>
            </w:r>
          </w:p>
        </w:tc>
        <w:tc>
          <w:tcPr/>
          <w:p>
            <w:pPr>
              <w:pStyle w:val="Compact"/>
              <w:jc w:val="left"/>
            </w:pPr>
            <w:r>
              <w:t xml:space="preserve">Full audit trail for controlled substances</w:t>
            </w:r>
          </w:p>
        </w:tc>
        <w:tc>
          <w:tcPr/>
          <w:p>
            <w:pPr>
              <w:pStyle w:val="Compact"/>
              <w:jc w:val="left"/>
            </w:pPr>
            <w:r>
              <w:rPr>
                <w:bCs/>
                <w:b/>
              </w:rPr>
              <w:t xml:space="preserve">RETAIN and strengthen</w:t>
            </w:r>
          </w:p>
        </w:tc>
        <w:tc>
          <w:tcPr/>
          <w:p>
            <w:pPr>
              <w:pStyle w:val="Compact"/>
              <w:jc w:val="left"/>
            </w:pPr>
            <w:r>
              <w:rPr>
                <w:bCs/>
                <w:b/>
              </w:rPr>
              <w:t xml:space="preserve">The legacy model implemented this as a boolean.</w:t>
            </w:r>
            <w:r>
              <w:t xml:space="preserve"> </w:t>
            </w:r>
            <w:r>
              <w:t xml:space="preserve">Becomes the append-only audit architecture with per-tenant hash chaining and daily anchoring (§S7.6)</w:t>
            </w:r>
          </w:p>
        </w:tc>
      </w:tr>
      <w:tr>
        <w:tc>
          <w:tcPr/>
          <w:p>
            <w:pPr>
              <w:pStyle w:val="Compact"/>
              <w:jc w:val="left"/>
            </w:pPr>
            <w:r>
              <w:t xml:space="preserve">NFR-07</w:t>
            </w:r>
          </w:p>
        </w:tc>
        <w:tc>
          <w:tcPr/>
          <w:p>
            <w:pPr>
              <w:pStyle w:val="Compact"/>
              <w:jc w:val="left"/>
            </w:pPr>
            <w:r>
              <w:t xml:space="preserve">All data stored on KSA-based servers</w:t>
            </w:r>
          </w:p>
        </w:tc>
        <w:tc>
          <w:tcPr/>
          <w:p>
            <w:pPr>
              <w:pStyle w:val="Compact"/>
              <w:jc w:val="left"/>
            </w:pPr>
            <w:r>
              <w:rPr>
                <w:bCs/>
                <w:b/>
              </w:rPr>
              <w:t xml:space="preserve">RETAIN and strengthen</w:t>
            </w:r>
          </w:p>
        </w:tc>
        <w:tc>
          <w:tcPr/>
          <w:p>
            <w:pPr>
              <w:pStyle w:val="Compact"/>
              <w:jc w:val="left"/>
            </w:pPr>
            <w:r>
              <w:t xml:space="preserve">§S8.6 —</w:t>
            </w:r>
            <w:r>
              <w:t xml:space="preserve"> </w:t>
            </w:r>
            <w:r>
              <w:rPr>
                <w:bCs/>
                <w:b/>
              </w:rPr>
              <w:t xml:space="preserve">and note the legacy document contradicted itself by specifying Bahrain in its own architecture section.</w:t>
            </w:r>
            <w:r>
              <w:t xml:space="preserve"> </w:t>
            </w:r>
            <w:r>
              <w:t xml:space="preserve">Residency is now evidenced by organisation policy and asset inventory, not asserted</w:t>
            </w:r>
          </w:p>
        </w:tc>
      </w:tr>
      <w:tr>
        <w:tc>
          <w:tcPr/>
          <w:p>
            <w:pPr>
              <w:pStyle w:val="Compact"/>
              <w:jc w:val="left"/>
            </w:pPr>
            <w:r>
              <w:t xml:space="preserve">NFR-08</w:t>
            </w:r>
          </w:p>
        </w:tc>
        <w:tc>
          <w:tcPr/>
          <w:p>
            <w:pPr>
              <w:pStyle w:val="Compact"/>
              <w:jc w:val="left"/>
            </w:pPr>
            <w:r>
              <w:t xml:space="preserve">Role-based access with MFA for sensitive operations</w:t>
            </w:r>
          </w:p>
        </w:tc>
        <w:tc>
          <w:tcPr/>
          <w:p>
            <w:pPr>
              <w:pStyle w:val="Compact"/>
              <w:jc w:val="left"/>
            </w:pPr>
            <w:r>
              <w:rPr>
                <w:bCs/>
                <w:b/>
              </w:rPr>
              <w:t xml:space="preserve">MODIFY</w:t>
            </w:r>
          </w:p>
        </w:tc>
        <w:tc>
          <w:tcPr/>
          <w:p>
            <w:pPr>
              <w:pStyle w:val="Compact"/>
              <w:jc w:val="left"/>
            </w:pPr>
            <w:r>
              <w:t xml:space="preserve">Becomes</w:t>
            </w:r>
            <w:r>
              <w:t xml:space="preserve"> </w:t>
            </w:r>
            <w:r>
              <w:rPr>
                <w:bCs/>
                <w:b/>
              </w:rPr>
              <w:t xml:space="preserve">two independent gates</w:t>
            </w:r>
            <w:r>
              <w:t xml:space="preserve"> </w:t>
            </w:r>
            <w:r>
              <w:t xml:space="preserve">— role</w:t>
            </w:r>
            <w:r>
              <w:t xml:space="preserve"> </w:t>
            </w:r>
            <w:r>
              <w:rPr>
                <w:iCs/>
                <w:i/>
              </w:rPr>
              <w:t xml:space="preserve">and</w:t>
            </w:r>
            <w:r>
              <w:t xml:space="preserve"> </w:t>
            </w:r>
            <w:r>
              <w:t xml:space="preserve">licence (</w:t>
            </w:r>
            <w:r>
              <w:rPr>
                <w:rStyle w:val="VerbatimChar"/>
              </w:rPr>
              <w:t xml:space="preserve">E-014</w:t>
            </w:r>
            <w:r>
              <w:t xml:space="preserve">). Conflating them is a regulatory failure</w:t>
            </w:r>
          </w:p>
        </w:tc>
      </w:tr>
      <w:tr>
        <w:tc>
          <w:tcPr/>
          <w:p>
            <w:pPr>
              <w:pStyle w:val="Compact"/>
              <w:jc w:val="left"/>
            </w:pPr>
            <w:r>
              <w:t xml:space="preserve">NFR-09</w:t>
            </w:r>
          </w:p>
        </w:tc>
        <w:tc>
          <w:tcPr/>
          <w:p>
            <w:pPr>
              <w:pStyle w:val="Compact"/>
              <w:jc w:val="left"/>
            </w:pPr>
            <w:r>
              <w:t xml:space="preserve">"HIPAA Equivalent — pet health data protection standards"</w:t>
            </w:r>
          </w:p>
        </w:tc>
        <w:tc>
          <w:tcPr/>
          <w:p>
            <w:pPr>
              <w:pStyle w:val="Compact"/>
              <w:jc w:val="left"/>
            </w:pPr>
            <w:r>
              <w:rPr>
                <w:bCs/>
                <w:b/>
              </w:rPr>
              <w:t xml:space="preserve">REJECT</w:t>
            </w:r>
          </w:p>
        </w:tc>
        <w:tc>
          <w:tcPr/>
          <w:p>
            <w:pPr>
              <w:pStyle w:val="Compact"/>
              <w:jc w:val="left"/>
            </w:pPr>
            <w:r>
              <w:rPr>
                <w:bCs/>
                <w:b/>
              </w:rPr>
              <w:t xml:space="preserve">HIPAA does not apply to animals and no such standard exists.</w:t>
            </w:r>
            <w:r>
              <w:t xml:space="preserve"> </w:t>
            </w:r>
            <w:r>
              <w:t xml:space="preserve">It is a placeholder that concealed the real problem: the owner is the data subject, the animal is not, and the retention/erasure tension between them is the hardest privacy question in the product (§S6.4)</w:t>
            </w:r>
          </w:p>
        </w:tc>
      </w:tr>
      <w:tr>
        <w:tc>
          <w:tcPr/>
          <w:p>
            <w:pPr>
              <w:pStyle w:val="Compact"/>
              <w:jc w:val="left"/>
            </w:pPr>
            <w:r>
              <w:t xml:space="preserve">NFR-10</w:t>
            </w:r>
          </w:p>
        </w:tc>
        <w:tc>
          <w:tcPr/>
          <w:p>
            <w:pPr>
              <w:pStyle w:val="Compact"/>
              <w:jc w:val="left"/>
            </w:pPr>
            <w:r>
              <w:t xml:space="preserve">99.5% uptime</w:t>
            </w:r>
          </w:p>
        </w:tc>
        <w:tc>
          <w:tcPr/>
          <w:p>
            <w:pPr>
              <w:pStyle w:val="Compact"/>
              <w:jc w:val="left"/>
            </w:pPr>
            <w:r>
              <w:rPr>
                <w:bCs/>
                <w:b/>
              </w:rPr>
              <w:t xml:space="preserve">MODIFY</w:t>
            </w:r>
          </w:p>
        </w:tc>
        <w:tc>
          <w:tcPr/>
          <w:p>
            <w:pPr>
              <w:pStyle w:val="Compact"/>
              <w:jc w:val="left"/>
            </w:pPr>
            <w:r>
              <w:rPr>
                <w:rStyle w:val="VerbatimChar"/>
              </w:rPr>
              <w:t xml:space="preserve">N-08</w:t>
            </w:r>
            <w:r>
              <w:t xml:space="preserve"> </w:t>
            </w:r>
            <w:r>
              <w:t xml:space="preserve">— 99.9% within clinic operating hours,</w:t>
            </w:r>
            <w:r>
              <w:t xml:space="preserve"> </w:t>
            </w:r>
            <w:r>
              <w:rPr>
                <w:bCs/>
                <w:b/>
              </w:rPr>
              <w:t xml:space="preserve">reported per tenant, because a global figure can hide one clinic being down all Tuesday</w:t>
            </w:r>
          </w:p>
        </w:tc>
      </w:tr>
      <w:tr>
        <w:tc>
          <w:tcPr/>
          <w:p>
            <w:pPr>
              <w:pStyle w:val="Compact"/>
              <w:jc w:val="left"/>
            </w:pPr>
            <w:r>
              <w:t xml:space="preserve">NFR-11</w:t>
            </w:r>
          </w:p>
        </w:tc>
        <w:tc>
          <w:tcPr/>
          <w:p>
            <w:pPr>
              <w:pStyle w:val="Compact"/>
              <w:jc w:val="left"/>
            </w:pPr>
            <w:r>
              <w:t xml:space="preserve">RTO &lt; 4 h, RPO &lt; 15 min</w:t>
            </w:r>
          </w:p>
        </w:tc>
        <w:tc>
          <w:tcPr/>
          <w:p>
            <w:pPr>
              <w:pStyle w:val="Compact"/>
              <w:jc w:val="left"/>
            </w:pPr>
            <w:r>
              <w:rPr>
                <w:bCs/>
                <w:b/>
              </w:rPr>
              <w:t xml:space="preserve">MODIFY</w:t>
            </w:r>
          </w:p>
        </w:tc>
        <w:tc>
          <w:tcPr/>
          <w:p>
            <w:pPr>
              <w:pStyle w:val="Compact"/>
              <w:jc w:val="left"/>
            </w:pPr>
            <w:r>
              <w:rPr>
                <w:rStyle w:val="VerbatimChar"/>
              </w:rPr>
              <w:t xml:space="preserve">E-019</w:t>
            </w:r>
            <w:r>
              <w:t xml:space="preserve"> </w:t>
            </w:r>
            <w:r>
              <w:t xml:space="preserve">— retained for corruption scenarios at RPO 5 min / RTO 4 h</w:t>
            </w:r>
            <w:r>
              <w:t xml:space="preserve"> </w:t>
            </w:r>
            <w:r>
              <w:rPr>
                <w:bCs/>
                <w:b/>
              </w:rPr>
              <w:t xml:space="preserve">with a monthly drill</w:t>
            </w:r>
            <w:r>
              <w:t xml:space="preserve">, and</w:t>
            </w:r>
            <w:r>
              <w:t xml:space="preserve"> </w:t>
            </w:r>
            <w:r>
              <w:rPr>
                <w:bCs/>
                <w:b/>
              </w:rPr>
              <w:t xml:space="preserve">honestly restated for full-region loss, where no second KSA region exists</w:t>
            </w:r>
          </w:p>
        </w:tc>
      </w:tr>
      <w:tr>
        <w:tc>
          <w:tcPr/>
          <w:p>
            <w:pPr>
              <w:pStyle w:val="Compact"/>
              <w:jc w:val="left"/>
            </w:pPr>
            <w:r>
              <w:t xml:space="preserve">NFR-12</w:t>
            </w:r>
          </w:p>
        </w:tc>
        <w:tc>
          <w:tcPr/>
          <w:p>
            <w:pPr>
              <w:pStyle w:val="Compact"/>
              <w:jc w:val="left"/>
            </w:pPr>
            <w:r>
              <w:t xml:space="preserve">Daily incremental, weekly full backups</w:t>
            </w:r>
          </w:p>
        </w:tc>
        <w:tc>
          <w:tcPr/>
          <w:p>
            <w:pPr>
              <w:pStyle w:val="Compact"/>
              <w:jc w:val="left"/>
            </w:pPr>
            <w:r>
              <w:rPr>
                <w:bCs/>
                <w:b/>
              </w:rPr>
              <w:t xml:space="preserve">MODIFY</w:t>
            </w:r>
          </w:p>
        </w:tc>
        <w:tc>
          <w:tcPr/>
          <w:p>
            <w:pPr>
              <w:pStyle w:val="Compact"/>
              <w:jc w:val="left"/>
            </w:pPr>
            <w:r>
              <w:t xml:space="preserve">Point-in-time recovery with a</w:t>
            </w:r>
            <w:r>
              <w:t xml:space="preserve"> </w:t>
            </w:r>
            <w:r>
              <w:rPr>
                <w:bCs/>
                <w:b/>
              </w:rPr>
              <w:t xml:space="preserve">monthly restore drill that runs the isolation tests post-restore</w:t>
            </w:r>
            <w:r>
              <w:t xml:space="preserve"> </w:t>
            </w:r>
            <w:r>
              <w:t xml:space="preserve">(</w:t>
            </w:r>
            <w:r>
              <w:rPr>
                <w:rStyle w:val="VerbatimChar"/>
              </w:rPr>
              <w:t xml:space="preserve">N-13</w:t>
            </w:r>
            <w:r>
              <w:t xml:space="preserve">) — because a restore producing a database that fails isolation has restored a breach</w:t>
            </w:r>
          </w:p>
        </w:tc>
      </w:tr>
      <w:tr>
        <w:tc>
          <w:tcPr/>
          <w:p>
            <w:pPr>
              <w:pStyle w:val="Compact"/>
              <w:jc w:val="left"/>
            </w:pPr>
            <w:r>
              <w:t xml:space="preserve">NFR-13</w:t>
            </w:r>
          </w:p>
        </w:tc>
        <w:tc>
          <w:tcPr/>
          <w:p>
            <w:pPr>
              <w:pStyle w:val="Compact"/>
              <w:jc w:val="left"/>
            </w:pPr>
            <w:r>
              <w:t xml:space="preserve">Horizontal scaling to 10×</w:t>
            </w:r>
          </w:p>
        </w:tc>
        <w:tc>
          <w:tcPr/>
          <w:p>
            <w:pPr>
              <w:pStyle w:val="Compact"/>
              <w:jc w:val="left"/>
            </w:pPr>
            <w:r>
              <w:rPr>
                <w:bCs/>
                <w:b/>
              </w:rPr>
              <w:t xml:space="preserve">REJECT as stated</w:t>
            </w:r>
          </w:p>
        </w:tc>
        <w:tc>
          <w:tcPr/>
          <w:p>
            <w:pPr>
              <w:pStyle w:val="Compact"/>
              <w:jc w:val="left"/>
            </w:pPr>
            <w:r>
              <w:t xml:space="preserve">Premature at 450 clinics. The extraction seam is preserved instead (</w:t>
            </w:r>
            <w:r>
              <w:rPr>
                <w:rStyle w:val="VerbatimChar"/>
              </w:rPr>
              <w:t xml:space="preserve">E-001</w:t>
            </w:r>
            <w:r>
              <w:t xml:space="preserve">)</w:t>
            </w:r>
          </w:p>
        </w:tc>
      </w:tr>
      <w:tr>
        <w:tc>
          <w:tcPr/>
          <w:p>
            <w:pPr>
              <w:pStyle w:val="Compact"/>
              <w:jc w:val="left"/>
            </w:pPr>
            <w:r>
              <w:t xml:space="preserve">NFR-14</w:t>
            </w:r>
          </w:p>
        </w:tc>
        <w:tc>
          <w:tcPr/>
          <w:p>
            <w:pPr>
              <w:pStyle w:val="Compact"/>
              <w:jc w:val="left"/>
            </w:pPr>
            <w:r>
              <w:t xml:space="preserve">Architecture supports GCC expansion</w:t>
            </w:r>
          </w:p>
        </w:tc>
        <w:tc>
          <w:tcPr/>
          <w:p>
            <w:pPr>
              <w:pStyle w:val="Compact"/>
              <w:jc w:val="left"/>
            </w:pPr>
            <w:r>
              <w:rPr>
                <w:bCs/>
                <w:b/>
              </w:rPr>
              <w:t xml:space="preserve">RETAIN as a seam</w:t>
            </w:r>
          </w:p>
        </w:tc>
        <w:tc>
          <w:tcPr/>
          <w:p>
            <w:pPr>
              <w:pStyle w:val="Compact"/>
              <w:jc w:val="left"/>
            </w:pPr>
            <w:r>
              <w:t xml:space="preserve">§S2.4. The Arabic-first clinical core ports; the compliance product does not</w:t>
            </w:r>
          </w:p>
        </w:tc>
      </w:tr>
      <w:tr>
        <w:tc>
          <w:tcPr/>
          <w:p>
            <w:pPr>
              <w:pStyle w:val="Compact"/>
              <w:jc w:val="left"/>
            </w:pPr>
            <w:r>
              <w:t xml:space="preserve">NFR-15</w:t>
            </w:r>
          </w:p>
        </w:tc>
        <w:tc>
          <w:tcPr/>
          <w:p>
            <w:pPr>
              <w:pStyle w:val="Compact"/>
              <w:jc w:val="left"/>
            </w:pPr>
            <w:r>
              <w:t xml:space="preserve">API rate limiting</w:t>
            </w:r>
          </w:p>
        </w:tc>
        <w:tc>
          <w:tcPr/>
          <w:p>
            <w:pPr>
              <w:pStyle w:val="Compact"/>
              <w:jc w:val="left"/>
            </w:pPr>
            <w:r>
              <w:rPr>
                <w:bCs/>
                <w:b/>
              </w:rPr>
              <w:t xml:space="preserve">RETAIN</w:t>
            </w:r>
          </w:p>
        </w:tc>
        <w:tc>
          <w:tcPr/>
          <w:p>
            <w:pPr>
              <w:pStyle w:val="Compact"/>
              <w:jc w:val="left"/>
            </w:pPr>
            <w:r>
              <w:t xml:space="preserve">Absorbed into</w:t>
            </w:r>
            <w:r>
              <w:t xml:space="preserve"> </w:t>
            </w:r>
            <w:r>
              <w:rPr>
                <w:rStyle w:val="VerbatimChar"/>
              </w:rPr>
              <w:t xml:space="preserve">E-013</w:t>
            </w:r>
          </w:p>
        </w:tc>
      </w:tr>
      <w:tr>
        <w:tc>
          <w:tcPr/>
          <w:p>
            <w:pPr>
              <w:pStyle w:val="Compact"/>
              <w:jc w:val="left"/>
            </w:pPr>
            <w:r>
              <w:t xml:space="preserve">—</w:t>
            </w:r>
          </w:p>
        </w:tc>
        <w:tc>
          <w:tcPr/>
          <w:p>
            <w:pPr>
              <w:pStyle w:val="Compact"/>
              <w:jc w:val="left"/>
            </w:pPr>
            <w:r>
              <w:rPr>
                <w:bCs/>
                <w:b/>
              </w:rPr>
              <w:t xml:space="preserve">Cross-tenant exposure = zero</w:t>
            </w:r>
          </w:p>
        </w:tc>
        <w:tc>
          <w:tcPr/>
          <w:p>
            <w:pPr>
              <w:pStyle w:val="Compact"/>
              <w:jc w:val="left"/>
            </w:pPr>
            <w:r>
              <w:rPr>
                <w:bCs/>
                <w:b/>
              </w:rPr>
              <w:t xml:space="preserve">NEW — P0</w:t>
            </w:r>
          </w:p>
        </w:tc>
        <w:tc>
          <w:tcPr/>
          <w:p>
            <w:pPr>
              <w:pStyle w:val="Compact"/>
              <w:jc w:val="left"/>
            </w:pPr>
            <w:r>
              <w:rPr>
                <w:bCs/>
                <w:b/>
              </w:rPr>
              <w:t xml:space="preserve">Absent from the legacy document, which had no tenancy key at all.</w:t>
            </w:r>
            <w:r>
              <w:t xml:space="preserve"> </w:t>
            </w:r>
            <w:r>
              <w:rPr>
                <w:rStyle w:val="VerbatimChar"/>
              </w:rPr>
              <w:t xml:space="preserve">N-07</w:t>
            </w:r>
          </w:p>
        </w:tc>
      </w:tr>
      <w:tr>
        <w:tc>
          <w:tcPr/>
          <w:p>
            <w:pPr>
              <w:pStyle w:val="Compact"/>
              <w:jc w:val="left"/>
            </w:pPr>
            <w:r>
              <w:t xml:space="preserve">—</w:t>
            </w:r>
          </w:p>
        </w:tc>
        <w:tc>
          <w:tcPr/>
          <w:p>
            <w:pPr>
              <w:pStyle w:val="Compact"/>
              <w:jc w:val="left"/>
            </w:pPr>
            <w:r>
              <w:rPr>
                <w:bCs/>
                <w:b/>
              </w:rPr>
              <w:t xml:space="preserve">Arabic/RTL correctness as an NFR</w:t>
            </w:r>
          </w:p>
        </w:tc>
        <w:tc>
          <w:tcPr/>
          <w:p>
            <w:pPr>
              <w:pStyle w:val="Compact"/>
              <w:jc w:val="left"/>
            </w:pPr>
            <w:r>
              <w:rPr>
                <w:bCs/>
                <w:b/>
              </w:rPr>
              <w:t xml:space="preserve">NEW</w:t>
            </w:r>
          </w:p>
        </w:tc>
        <w:tc>
          <w:tcPr/>
          <w:p>
            <w:pPr>
              <w:pStyle w:val="Compact"/>
              <w:jc w:val="left"/>
            </w:pPr>
            <w:r>
              <w:rPr>
                <w:rStyle w:val="VerbatimChar"/>
              </w:rPr>
              <w:t xml:space="preserve">N-12</w:t>
            </w:r>
            <w:r>
              <w:t xml:space="preserve"> </w:t>
            </w:r>
            <w:r>
              <w:t xml:space="preserve">— a mis-rendered Arabic drug name is a dispensing-error vector, not a cosmetic bug</w:t>
            </w:r>
          </w:p>
        </w:tc>
      </w:tr>
      <w:tr>
        <w:tc>
          <w:tcPr/>
          <w:p>
            <w:pPr>
              <w:pStyle w:val="Compact"/>
              <w:jc w:val="left"/>
            </w:pPr>
            <w:r>
              <w:t xml:space="preserve">—</w:t>
            </w:r>
          </w:p>
        </w:tc>
        <w:tc>
          <w:tcPr/>
          <w:p>
            <w:pPr>
              <w:pStyle w:val="Compact"/>
              <w:jc w:val="left"/>
            </w:pPr>
            <w:r>
              <w:rPr>
                <w:bCs/>
                <w:b/>
              </w:rPr>
              <w:t xml:space="preserve">Audit chain integrity</w:t>
            </w:r>
          </w:p>
        </w:tc>
        <w:tc>
          <w:tcPr/>
          <w:p>
            <w:pPr>
              <w:pStyle w:val="Compact"/>
              <w:jc w:val="left"/>
            </w:pPr>
            <w:r>
              <w:rPr>
                <w:bCs/>
                <w:b/>
              </w:rPr>
              <w:t xml:space="preserve">NEW</w:t>
            </w:r>
          </w:p>
        </w:tc>
        <w:tc>
          <w:tcPr/>
          <w:p>
            <w:pPr>
              <w:pStyle w:val="Compact"/>
              <w:jc w:val="left"/>
            </w:pPr>
            <w:r>
              <w:rPr>
                <w:rStyle w:val="VerbatimChar"/>
              </w:rPr>
              <w:t xml:space="preserve">N-11</w:t>
            </w:r>
          </w:p>
        </w:tc>
      </w:tr>
    </w:tbl>
    <w:bookmarkEnd w:id="149"/>
    <w:bookmarkStart w:id="150" w:name="a3-regulatory-requirements"/>
    <w:p>
      <w:pPr>
        <w:pStyle w:val="Heading2"/>
      </w:pPr>
      <w:r>
        <w:t xml:space="preserve">A.3 Regulatory requirements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Legacy</w:t>
            </w:r>
          </w:p>
        </w:tc>
        <w:tc>
          <w:tcPr/>
          <w:p>
            <w:pPr>
              <w:pStyle w:val="Compact"/>
              <w:jc w:val="left"/>
            </w:pPr>
            <w:r>
              <w:t xml:space="preserve">Requirement</w:t>
            </w:r>
          </w:p>
        </w:tc>
        <w:tc>
          <w:tcPr/>
          <w:p>
            <w:pPr>
              <w:pStyle w:val="Compact"/>
              <w:jc w:val="left"/>
            </w:pPr>
            <w:r>
              <w:t xml:space="preserve">Disposition</w:t>
            </w:r>
          </w:p>
        </w:tc>
        <w:tc>
          <w:tcPr/>
          <w:p>
            <w:pPr>
              <w:pStyle w:val="Compact"/>
              <w:jc w:val="left"/>
            </w:pPr>
            <w:r>
              <w:t xml:space="preserve">Where it lands / why</w:t>
            </w:r>
          </w:p>
        </w:tc>
      </w:tr>
      <w:tr>
        <w:tc>
          <w:tcPr/>
          <w:p>
            <w:pPr>
              <w:pStyle w:val="Compact"/>
              <w:jc w:val="left"/>
            </w:pPr>
            <w:r>
              <w:t xml:space="preserve">REG-01</w:t>
            </w:r>
          </w:p>
        </w:tc>
        <w:tc>
          <w:tcPr/>
          <w:p>
            <w:pPr>
              <w:pStyle w:val="Compact"/>
              <w:jc w:val="left"/>
            </w:pPr>
            <w:r>
              <w:t xml:space="preserve">SFDA pharmacy licensing compliance</w:t>
            </w:r>
          </w:p>
        </w:tc>
        <w:tc>
          <w:tcPr/>
          <w:p>
            <w:pPr>
              <w:pStyle w:val="Compact"/>
              <w:jc w:val="left"/>
            </w:pPr>
            <w:r>
              <w:rPr>
                <w:bCs/>
                <w:b/>
              </w:rPr>
              <w:t xml:space="preserve">REJECT-BM / MODIFY</w:t>
            </w:r>
          </w:p>
        </w:tc>
        <w:tc>
          <w:tcPr/>
          <w:p>
            <w:pPr>
              <w:pStyle w:val="Compact"/>
              <w:jc w:val="left"/>
            </w:pPr>
            <w:r>
              <w:t xml:space="preserve">The owned-pharmacy premise is rejected. The in-clinic dispensing substance is retained under</w:t>
            </w:r>
            <w:r>
              <w:t xml:space="preserve"> </w:t>
            </w:r>
            <w:r>
              <w:rPr>
                <w:rStyle w:val="VerbatimChar"/>
              </w:rPr>
              <w:t xml:space="preserve">R-116</w:t>
            </w:r>
            <w:r>
              <w:t xml:space="preserve">–</w:t>
            </w:r>
            <w:r>
              <w:rPr>
                <w:rStyle w:val="VerbatimChar"/>
              </w:rPr>
              <w:t xml:space="preserve">R-118</w:t>
            </w:r>
          </w:p>
        </w:tc>
      </w:tr>
      <w:tr>
        <w:tc>
          <w:tcPr/>
          <w:p>
            <w:pPr>
              <w:pStyle w:val="Compact"/>
              <w:jc w:val="left"/>
            </w:pPr>
            <w:r>
              <w:t xml:space="preserve">REG-02</w:t>
            </w:r>
          </w:p>
        </w:tc>
        <w:tc>
          <w:tcPr/>
          <w:p>
            <w:pPr>
              <w:pStyle w:val="Compact"/>
              <w:jc w:val="left"/>
            </w:pPr>
            <w:r>
              <w:t xml:space="preserve">Telemedicine practice guidelines</w:t>
            </w:r>
          </w:p>
        </w:tc>
        <w:tc>
          <w:tcPr/>
          <w:p>
            <w:pPr>
              <w:pStyle w:val="Compact"/>
              <w:jc w:val="left"/>
            </w:pPr>
            <w:r>
              <w:rPr>
                <w:bCs/>
                <w:b/>
              </w:rPr>
              <w:t xml:space="preserve">MODIFY — the claim is withdrawn</w:t>
            </w:r>
          </w:p>
        </w:tc>
        <w:tc>
          <w:tcPr/>
          <w:p>
            <w:pPr>
              <w:pStyle w:val="Compact"/>
              <w:jc w:val="left"/>
            </w:pPr>
            <w:r>
              <w:t xml:space="preserve">The legacy document asserted compliance with a framework its own estate recorded as</w:t>
            </w:r>
            <w:r>
              <w:t xml:space="preserve"> </w:t>
            </w:r>
            <w:r>
              <w:rPr>
                <w:bCs/>
                <w:b/>
              </w:rPr>
              <w:t xml:space="preserve">open</w:t>
            </w:r>
            <w:r>
              <w:t xml:space="preserve">. Replaced by</w:t>
            </w:r>
            <w:r>
              <w:t xml:space="preserve"> </w:t>
            </w:r>
            <w:r>
              <w:rPr>
                <w:rStyle w:val="VerbatimChar"/>
              </w:rPr>
              <w:t xml:space="preserve">R-001</w:t>
            </w:r>
            <w:r>
              <w:t xml:space="preserve">/</w:t>
            </w:r>
            <w:r>
              <w:rPr>
                <w:rStyle w:val="VerbatimChar"/>
              </w:rPr>
              <w:t xml:space="preserve">R-002</w:t>
            </w:r>
            <w:r>
              <w:t xml:space="preserve">: telemedicine is</w:t>
            </w:r>
            <w:r>
              <w:t xml:space="preserve"> </w:t>
            </w:r>
            <w:r>
              <w:rPr>
                <w:rStyle w:val="VerbatimChar"/>
              </w:rPr>
              <w:t xml:space="preserve">SILENT-UNRESOLVED</w:t>
            </w:r>
            <w:r>
              <w:t xml:space="preserve">, no compliance is claimed, and the RCVS-derived floor ships regardless</w:t>
            </w:r>
          </w:p>
        </w:tc>
      </w:tr>
      <w:tr>
        <w:tc>
          <w:tcPr/>
          <w:p>
            <w:pPr>
              <w:pStyle w:val="Compact"/>
              <w:jc w:val="left"/>
            </w:pPr>
            <w:r>
              <w:t xml:space="preserve">REG-03</w:t>
            </w:r>
          </w:p>
        </w:tc>
        <w:tc>
          <w:tcPr/>
          <w:p>
            <w:pPr>
              <w:pStyle w:val="Compact"/>
              <w:jc w:val="left"/>
            </w:pPr>
            <w:r>
              <w:t xml:space="preserve">PDPL compliance</w:t>
            </w:r>
          </w:p>
        </w:tc>
        <w:tc>
          <w:tcPr/>
          <w:p>
            <w:pPr>
              <w:pStyle w:val="Compact"/>
              <w:jc w:val="left"/>
            </w:pPr>
            <w:r>
              <w:rPr>
                <w:bCs/>
                <w:b/>
              </w:rPr>
              <w:t xml:space="preserve">RETAIN and expand</w:t>
            </w:r>
          </w:p>
        </w:tc>
        <w:tc>
          <w:tcPr/>
          <w:p>
            <w:pPr>
              <w:pStyle w:val="Compact"/>
              <w:jc w:val="left"/>
            </w:pPr>
            <w:r>
              <w:rPr>
                <w:rStyle w:val="VerbatimChar"/>
              </w:rPr>
              <w:t xml:space="preserve">R-122</w:t>
            </w:r>
            <w:r>
              <w:t xml:space="preserve">–</w:t>
            </w:r>
            <w:r>
              <w:rPr>
                <w:rStyle w:val="VerbatimChar"/>
              </w:rPr>
              <w:t xml:space="preserve">R-131</w:t>
            </w:r>
            <w:r>
              <w:t xml:space="preserve"> </w:t>
            </w:r>
            <w:r>
              <w:t xml:space="preserve">— from one line to ten testable requirements, including the erasure/retention resolution (§S6.4)</w:t>
            </w:r>
          </w:p>
        </w:tc>
      </w:tr>
      <w:tr>
        <w:tc>
          <w:tcPr/>
          <w:p>
            <w:pPr>
              <w:pStyle w:val="Compact"/>
              <w:jc w:val="left"/>
            </w:pPr>
            <w:r>
              <w:t xml:space="preserve">REG-04</w:t>
            </w:r>
          </w:p>
        </w:tc>
        <w:tc>
          <w:tcPr/>
          <w:p>
            <w:pPr>
              <w:pStyle w:val="Compact"/>
              <w:jc w:val="left"/>
            </w:pPr>
            <w:r>
              <w:t xml:space="preserve">Electronic prescription standards</w:t>
            </w:r>
          </w:p>
        </w:tc>
        <w:tc>
          <w:tcPr/>
          <w:p>
            <w:pPr>
              <w:pStyle w:val="Compact"/>
              <w:jc w:val="left"/>
            </w:pPr>
            <w:r>
              <w:rPr>
                <w:bCs/>
                <w:b/>
              </w:rPr>
              <w:t xml:space="preserve">DEFER — unestablished</w:t>
            </w:r>
          </w:p>
        </w:tc>
        <w:tc>
          <w:tcPr/>
          <w:p>
            <w:pPr>
              <w:pStyle w:val="Compact"/>
              <w:jc w:val="left"/>
            </w:pPr>
            <w:r>
              <w:rPr>
                <w:rStyle w:val="VerbatimChar"/>
              </w:rPr>
              <w:t xml:space="preserve">[EVIDENCE REQUIRED]</w:t>
            </w:r>
            <w:r>
              <w:t xml:space="preserve">: electronic prescription validity for veterinary medicines in KSA is not established, and the human e-prescription regime does not extend to vets</w:t>
            </w:r>
          </w:p>
        </w:tc>
      </w:tr>
      <w:tr>
        <w:tc>
          <w:tcPr/>
          <w:p>
            <w:pPr>
              <w:pStyle w:val="Compact"/>
              <w:jc w:val="left"/>
            </w:pPr>
            <w:r>
              <w:t xml:space="preserve">REG-05</w:t>
            </w:r>
          </w:p>
        </w:tc>
        <w:tc>
          <w:tcPr/>
          <w:p>
            <w:pPr>
              <w:pStyle w:val="Compact"/>
              <w:jc w:val="left"/>
            </w:pPr>
            <w:r>
              <w:t xml:space="preserve">Controlled substance tracking</w:t>
            </w:r>
          </w:p>
        </w:tc>
        <w:tc>
          <w:tcPr/>
          <w:p>
            <w:pPr>
              <w:pStyle w:val="Compact"/>
              <w:jc w:val="left"/>
            </w:pPr>
            <w:r>
              <w:rPr>
                <w:bCs/>
                <w:b/>
              </w:rPr>
              <w:t xml:space="preserve">RETAIN, with the workflow disabled pending evidence</w:t>
            </w:r>
          </w:p>
        </w:tc>
        <w:tc>
          <w:tcPr/>
          <w:p>
            <w:pPr>
              <w:pStyle w:val="Compact"/>
              <w:jc w:val="left"/>
            </w:pPr>
            <w:r>
              <w:rPr>
                <w:rStyle w:val="VerbatimChar"/>
              </w:rPr>
              <w:t xml:space="preserve">R-114</w:t>
            </w:r>
            <w:r>
              <w:t xml:space="preserve">.</w:t>
            </w:r>
            <w:r>
              <w:t xml:space="preserve"> </w:t>
            </w:r>
            <w:r>
              <w:rPr>
                <w:bCs/>
                <w:b/>
              </w:rPr>
              <w:t xml:space="preserve">Veterinary prescriber status under the narcotics law is not established, so the safe default is disabled, not guessed at</w:t>
            </w:r>
          </w:p>
        </w:tc>
      </w:tr>
      <w:tr>
        <w:tc>
          <w:tcPr/>
          <w:p>
            <w:pPr>
              <w:pStyle w:val="Compact"/>
              <w:jc w:val="left"/>
            </w:pPr>
            <w:r>
              <w:t xml:space="preserve">—</w:t>
            </w:r>
          </w:p>
        </w:tc>
        <w:tc>
          <w:tcPr/>
          <w:p>
            <w:pPr>
              <w:pStyle w:val="Compact"/>
              <w:jc w:val="left"/>
            </w:pPr>
            <w:r>
              <w:rPr>
                <w:bCs/>
                <w:b/>
              </w:rPr>
              <w:t xml:space="preserve">MEWA practitioner and establishment licensing</w:t>
            </w:r>
          </w:p>
        </w:tc>
        <w:tc>
          <w:tcPr/>
          <w:p>
            <w:pPr>
              <w:pStyle w:val="Compact"/>
              <w:jc w:val="left"/>
            </w:pPr>
            <w:r>
              <w:rPr>
                <w:bCs/>
                <w:b/>
              </w:rPr>
              <w:t xml:space="preserve">NEW — P0</w:t>
            </w:r>
          </w:p>
        </w:tc>
        <w:tc>
          <w:tcPr/>
          <w:p>
            <w:pPr>
              <w:pStyle w:val="Compact"/>
              <w:jc w:val="left"/>
            </w:pPr>
            <w:r>
              <w:t xml:space="preserve">The regulator the legacy document never named</w:t>
            </w:r>
          </w:p>
        </w:tc>
      </w:tr>
      <w:tr>
        <w:tc>
          <w:tcPr/>
          <w:p>
            <w:pPr>
              <w:pStyle w:val="Compact"/>
              <w:jc w:val="left"/>
            </w:pPr>
            <w:r>
              <w:t xml:space="preserve">—</w:t>
            </w:r>
          </w:p>
        </w:tc>
        <w:tc>
          <w:tcPr/>
          <w:p>
            <w:pPr>
              <w:pStyle w:val="Compact"/>
              <w:jc w:val="left"/>
            </w:pPr>
            <w:r>
              <w:rPr>
                <w:bCs/>
                <w:b/>
              </w:rPr>
              <w:t xml:space="preserve">MOMRAH / Balady municipal requirements</w:t>
            </w:r>
          </w:p>
        </w:tc>
        <w:tc>
          <w:tcPr/>
          <w:p>
            <w:pPr>
              <w:pStyle w:val="Compact"/>
              <w:jc w:val="left"/>
            </w:pPr>
            <w:r>
              <w:rPr>
                <w:bCs/>
                <w:b/>
              </w:rPr>
              <w:t xml:space="preserve">NEW</w:t>
            </w:r>
          </w:p>
        </w:tc>
        <w:tc>
          <w:tcPr/>
          <w:p>
            <w:pPr>
              <w:pStyle w:val="Compact"/>
              <w:jc w:val="left"/>
            </w:pPr>
            <w:r>
              <w:rPr>
                <w:rStyle w:val="VerbatimChar"/>
              </w:rPr>
              <w:t xml:space="preserve">R-103</w:t>
            </w:r>
            <w:r>
              <w:t xml:space="preserve"> </w:t>
            </w:r>
            <w:r>
              <w:t xml:space="preserve">— binding on existing facilities as a condition of renewal</w:t>
            </w:r>
          </w:p>
        </w:tc>
      </w:tr>
      <w:tr>
        <w:tc>
          <w:tcPr/>
          <w:p>
            <w:pPr>
              <w:pStyle w:val="Compact"/>
              <w:jc w:val="left"/>
            </w:pPr>
            <w:r>
              <w:t xml:space="preserve">—</w:t>
            </w:r>
          </w:p>
        </w:tc>
        <w:tc>
          <w:tcPr/>
          <w:p>
            <w:pPr>
              <w:pStyle w:val="Compact"/>
              <w:jc w:val="left"/>
            </w:pPr>
            <w:r>
              <w:rPr>
                <w:bCs/>
                <w:b/>
              </w:rPr>
              <w:t xml:space="preserve">Weqaa notifiable-disease duty</w:t>
            </w:r>
          </w:p>
        </w:tc>
        <w:tc>
          <w:tcPr/>
          <w:p>
            <w:pPr>
              <w:pStyle w:val="Compact"/>
              <w:jc w:val="left"/>
            </w:pPr>
            <w:r>
              <w:rPr>
                <w:bCs/>
                <w:b/>
              </w:rPr>
              <w:t xml:space="preserve">NEW — P0</w:t>
            </w:r>
          </w:p>
        </w:tc>
        <w:tc>
          <w:tcPr/>
          <w:p>
            <w:pPr>
              <w:pStyle w:val="Compact"/>
              <w:jc w:val="left"/>
            </w:pPr>
            <w:r>
              <w:rPr>
                <w:rStyle w:val="VerbatimChar"/>
              </w:rPr>
              <w:t xml:space="preserve">R-119</w:t>
            </w:r>
            <w:r>
              <w:t xml:space="preserve">–</w:t>
            </w:r>
            <w:r>
              <w:rPr>
                <w:rStyle w:val="VerbatimChar"/>
              </w:rPr>
              <w:t xml:space="preserve">R-121</w:t>
            </w:r>
          </w:p>
        </w:tc>
      </w:tr>
      <w:tr>
        <w:tc>
          <w:tcPr/>
          <w:p>
            <w:pPr>
              <w:pStyle w:val="Compact"/>
              <w:jc w:val="left"/>
            </w:pPr>
            <w:r>
              <w:t xml:space="preserve">—</w:t>
            </w:r>
          </w:p>
        </w:tc>
        <w:tc>
          <w:tcPr/>
          <w:p>
            <w:pPr>
              <w:pStyle w:val="Compact"/>
              <w:jc w:val="left"/>
            </w:pPr>
            <w:r>
              <w:rPr>
                <w:bCs/>
                <w:b/>
              </w:rPr>
              <w:t xml:space="preserve">NCA ECC posture, correctly stated</w:t>
            </w:r>
          </w:p>
        </w:tc>
        <w:tc>
          <w:tcPr/>
          <w:p>
            <w:pPr>
              <w:pStyle w:val="Compact"/>
              <w:jc w:val="left"/>
            </w:pPr>
            <w:r>
              <w:rPr>
                <w:bCs/>
                <w:b/>
              </w:rPr>
              <w:t xml:space="preserve">NEW</w:t>
            </w:r>
          </w:p>
        </w:tc>
        <w:tc>
          <w:tcPr/>
          <w:p>
            <w:pPr>
              <w:pStyle w:val="Compact"/>
              <w:jc w:val="left"/>
            </w:pPr>
            <w:r>
              <w:rPr>
                <w:rStyle w:val="VerbatimChar"/>
              </w:rPr>
              <w:t xml:space="preserve">R-132</w:t>
            </w:r>
            <w:r>
              <w:t xml:space="preserve">,</w:t>
            </w:r>
            <w:r>
              <w:t xml:space="preserve"> </w:t>
            </w:r>
            <w:r>
              <w:rPr>
                <w:rStyle w:val="VerbatimChar"/>
              </w:rPr>
              <w:t xml:space="preserve">R-133</w:t>
            </w:r>
            <w:r>
              <w:t xml:space="preserve">,</w:t>
            </w:r>
            <w:r>
              <w:t xml:space="preserve"> </w:t>
            </w:r>
            <w:r>
              <w:rPr>
                <w:rStyle w:val="VerbatimChar"/>
              </w:rPr>
              <w:t xml:space="preserve">R-003</w:t>
            </w:r>
            <w:r>
              <w:t xml:space="preserve"> </w:t>
            </w:r>
            <w:r>
              <w:t xml:space="preserve">— self-assessment,</w:t>
            </w:r>
            <w:r>
              <w:t xml:space="preserve"> </w:t>
            </w:r>
            <w:r>
              <w:rPr>
                <w:bCs/>
                <w:b/>
              </w:rPr>
              <w:t xml:space="preserve">not certification, which does not exist as a scheme</w:t>
            </w:r>
          </w:p>
        </w:tc>
      </w:tr>
    </w:tbl>
    <w:bookmarkEnd w:id="150"/>
    <w:bookmarkStart w:id="151" w:name="X7a0bf97d434fd97dbf407bb50ec39e41595ba7d"/>
    <w:p>
      <w:pPr>
        <w:pStyle w:val="Heading2"/>
      </w:pPr>
      <w:r>
        <w:t xml:space="preserve">A.4 Everything else in the legacy document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Legacy section</w:t>
            </w:r>
          </w:p>
        </w:tc>
        <w:tc>
          <w:tcPr/>
          <w:p>
            <w:pPr>
              <w:pStyle w:val="Compact"/>
              <w:jc w:val="left"/>
            </w:pPr>
            <w:r>
              <w:t xml:space="preserve">Disposition</w:t>
            </w:r>
          </w:p>
        </w:tc>
      </w:tr>
      <w:tr>
        <w:tc>
          <w:tcPr/>
          <w:p>
            <w:pPr>
              <w:pStyle w:val="Compact"/>
              <w:jc w:val="left"/>
            </w:pPr>
            <w:r>
              <w:t xml:space="preserve">§1.2 Business problem (fragmentation, no centralised records, poor emergency coordination)</w:t>
            </w:r>
          </w:p>
        </w:tc>
        <w:tc>
          <w:tcPr/>
          <w:p>
            <w:pPr>
              <w:pStyle w:val="Compact"/>
              <w:jc w:val="left"/>
            </w:pPr>
            <w:r>
              <w:rPr>
                <w:bCs/>
                <w:b/>
              </w:rPr>
              <w:t xml:space="preserve">RETAIN.</w:t>
            </w:r>
            <w:r>
              <w:t xml:space="preserve"> </w:t>
            </w:r>
            <w:r>
              <w:t xml:space="preserve">The problem statement was substantially correct; the solution model was not</w:t>
            </w:r>
          </w:p>
        </w:tc>
      </w:tr>
      <w:tr>
        <w:tc>
          <w:tcPr/>
          <w:p>
            <w:pPr>
              <w:pStyle w:val="Compact"/>
              <w:jc w:val="left"/>
            </w:pPr>
            <w:r>
              <w:t xml:space="preserve">§2 Business objectives and Year-1 KPIs (50,000 users, $500k MRR, 100% of owned pharmacies)</w:t>
            </w:r>
          </w:p>
        </w:tc>
        <w:tc>
          <w:tcPr/>
          <w:p>
            <w:pPr>
              <w:pStyle w:val="Compact"/>
              <w:jc w:val="left"/>
            </w:pPr>
            <w:r>
              <w:rPr>
                <w:bCs/>
                <w:b/>
              </w:rPr>
              <w:t xml:space="preserve">REJECT.</w:t>
            </w:r>
            <w:r>
              <w:t xml:space="preserve"> </w:t>
            </w:r>
            <w:r>
              <w:rPr>
                <w:rStyle w:val="VerbatimChar"/>
              </w:rPr>
              <w:t xml:space="preserve">C-003</w:t>
            </w:r>
            <w:r>
              <w:t xml:space="preserve">. Replaced by §S9</w:t>
            </w:r>
          </w:p>
        </w:tc>
      </w:tr>
      <w:tr>
        <w:tc>
          <w:tcPr/>
          <w:p>
            <w:pPr>
              <w:pStyle w:val="Compact"/>
              <w:jc w:val="left"/>
            </w:pPr>
            <w:r>
              <w:t xml:space="preserve">§3 Stakeholder analysis</w:t>
            </w:r>
          </w:p>
        </w:tc>
        <w:tc>
          <w:tcPr/>
          <w:p>
            <w:pPr>
              <w:pStyle w:val="Compact"/>
              <w:jc w:val="left"/>
            </w:pPr>
            <w:r>
              <w:rPr>
                <w:bCs/>
                <w:b/>
              </w:rPr>
              <w:t xml:space="preserve">MODIFY.</w:t>
            </w:r>
            <w:r>
              <w:t xml:space="preserve"> </w:t>
            </w:r>
            <w:r>
              <w:t xml:space="preserve">Replaced by §S3.4 jobs-to-be-done, with the buyer corrected from pet owner to clinic principal</w:t>
            </w:r>
          </w:p>
        </w:tc>
      </w:tr>
      <w:tr>
        <w:tc>
          <w:tcPr/>
          <w:p>
            <w:pPr>
              <w:pStyle w:val="Compact"/>
              <w:jc w:val="left"/>
            </w:pPr>
            <w:r>
              <w:t xml:space="preserve">§6 Personas and journeys</w:t>
            </w:r>
          </w:p>
        </w:tc>
        <w:tc>
          <w:tcPr/>
          <w:p>
            <w:pPr>
              <w:pStyle w:val="Compact"/>
              <w:jc w:val="left"/>
            </w:pPr>
            <w:r>
              <w:rPr>
                <w:bCs/>
                <w:b/>
              </w:rPr>
              <w:t xml:space="preserve">MODIFY.</w:t>
            </w:r>
            <w:r>
              <w:t xml:space="preserve"> </w:t>
            </w:r>
            <w:r>
              <w:t xml:space="preserve">The persona instinct was right; the personas were consumer-shaped. Replaced by §S4.1 and §S4.3–4.4.</w:t>
            </w:r>
            <w:r>
              <w:t xml:space="preserve"> </w:t>
            </w:r>
            <w:r>
              <w:rPr>
                <w:bCs/>
                <w:b/>
              </w:rPr>
              <w:t xml:space="preserve">Journey 2 (AI triage of a respiratory emergency) is rejected outright</w:t>
            </w:r>
          </w:p>
        </w:tc>
      </w:tr>
      <w:tr>
        <w:tc>
          <w:tcPr/>
          <w:p>
            <w:pPr>
              <w:pStyle w:val="Compact"/>
              <w:jc w:val="left"/>
            </w:pPr>
            <w:r>
              <w:t xml:space="preserve">§7 Architecture (12 microservices, Node.js, Bahrain)</w:t>
            </w:r>
          </w:p>
        </w:tc>
        <w:tc>
          <w:tcPr/>
          <w:p>
            <w:pPr>
              <w:pStyle w:val="Compact"/>
              <w:jc w:val="left"/>
            </w:pPr>
            <w:r>
              <w:rPr>
                <w:bCs/>
                <w:b/>
              </w:rPr>
              <w:t xml:space="preserve">REJECT.</w:t>
            </w:r>
            <w:r>
              <w:t xml:space="preserve"> </w:t>
            </w:r>
            <w:r>
              <w:t xml:space="preserve">Replaced by §S8.1</w:t>
            </w:r>
          </w:p>
        </w:tc>
      </w:tr>
      <w:tr>
        <w:tc>
          <w:tcPr/>
          <w:p>
            <w:pPr>
              <w:pStyle w:val="Compact"/>
              <w:jc w:val="left"/>
            </w:pPr>
            <w:r>
              <w:t xml:space="preserve">§8 Data model</w:t>
            </w:r>
          </w:p>
        </w:tc>
        <w:tc>
          <w:tcPr/>
          <w:p>
            <w:pPr>
              <w:pStyle w:val="Compact"/>
              <w:jc w:val="left"/>
            </w:pPr>
            <w:r>
              <w:rPr>
                <w:bCs/>
                <w:b/>
              </w:rPr>
              <w:t xml:space="preserve">REJECT as a model, MODIFY in substance.</w:t>
            </w:r>
            <w:r>
              <w:t xml:space="preserve"> </w:t>
            </w:r>
            <w:r>
              <w:t xml:space="preserve">Every entity is re-derived in §S7.3 with tenancy, consent, audit, licence and retention as first-class</w:t>
            </w:r>
          </w:p>
        </w:tc>
      </w:tr>
      <w:tr>
        <w:tc>
          <w:tcPr/>
          <w:p>
            <w:pPr>
              <w:pStyle w:val="Compact"/>
              <w:jc w:val="left"/>
            </w:pPr>
            <w:r>
              <w:t xml:space="preserve">§10 Roadmap (36 months to "regional dominance", IPO preparation)</w:t>
            </w:r>
          </w:p>
        </w:tc>
        <w:tc>
          <w:tcPr/>
          <w:p>
            <w:pPr>
              <w:pStyle w:val="Compact"/>
              <w:jc w:val="left"/>
            </w:pPr>
            <w:r>
              <w:rPr>
                <w:bCs/>
                <w:b/>
              </w:rPr>
              <w:t xml:space="preserve">REJECT.</w:t>
            </w:r>
            <w:r>
              <w:t xml:space="preserve"> </w:t>
            </w:r>
            <w:r>
              <w:t xml:space="preserve">Replaced by the precondition sequence §S1.6 and the go-to-market §S9.6</w:t>
            </w:r>
          </w:p>
        </w:tc>
      </w:tr>
      <w:tr>
        <w:tc>
          <w:tcPr/>
          <w:p>
            <w:pPr>
              <w:pStyle w:val="Compact"/>
              <w:jc w:val="left"/>
            </w:pPr>
            <w:r>
              <w:t xml:space="preserve">§11 Risk register</w:t>
            </w:r>
          </w:p>
        </w:tc>
        <w:tc>
          <w:tcPr/>
          <w:p>
            <w:pPr>
              <w:pStyle w:val="Compact"/>
              <w:jc w:val="left"/>
            </w:pPr>
            <w:r>
              <w:rPr>
                <w:bCs/>
                <w:b/>
              </w:rPr>
              <w:t xml:space="preserve">MODIFY.</w:t>
            </w:r>
            <w:r>
              <w:t xml:space="preserve"> </w:t>
            </w:r>
            <w:r>
              <w:t xml:space="preserve">Retained items folded into §S10.4, which begins with the eight risks that actually materialised and were absent</w:t>
            </w:r>
          </w:p>
        </w:tc>
      </w:tr>
      <w:tr>
        <w:tc>
          <w:tcPr/>
          <w:p>
            <w:pPr>
              <w:pStyle w:val="Compact"/>
              <w:jc w:val="left"/>
            </w:pPr>
            <w:r>
              <w:t xml:space="preserve">§12 Cost estimation ($2.08–3.08M Year 1)</w:t>
            </w:r>
          </w:p>
        </w:tc>
        <w:tc>
          <w:tcPr/>
          <w:p>
            <w:pPr>
              <w:pStyle w:val="Compact"/>
              <w:jc w:val="left"/>
            </w:pPr>
            <w:r>
              <w:rPr>
                <w:bCs/>
                <w:b/>
              </w:rPr>
              <w:t xml:space="preserve">REJECT.</w:t>
            </w:r>
            <w:r>
              <w:t xml:space="preserve"> </w:t>
            </w:r>
            <w:r>
              <w:t xml:space="preserve">Costed against the rejected business model, in USD for a SAR business, with no VAT treatment and a marketing budget 3.4–5× short of its own acquisition target</w:t>
            </w:r>
          </w:p>
        </w:tc>
      </w:tr>
      <w:tr>
        <w:tc>
          <w:tcPr/>
          <w:p>
            <w:pPr>
              <w:pStyle w:val="Compact"/>
              <w:jc w:val="left"/>
            </w:pPr>
            <w:r>
              <w:t xml:space="preserve">§13 Acceptance criteria</w:t>
            </w:r>
          </w:p>
        </w:tc>
        <w:tc>
          <w:tcPr/>
          <w:p>
            <w:pPr>
              <w:pStyle w:val="Compact"/>
              <w:jc w:val="left"/>
            </w:pPr>
            <w:r>
              <w:rPr>
                <w:bCs/>
                <w:b/>
              </w:rPr>
              <w:t xml:space="preserve">REJECT.</w:t>
            </w:r>
            <w:r>
              <w:t xml:space="preserve"> </w:t>
            </w:r>
            <w:r>
              <w:t xml:space="preserve">All seven were platform metrics. Replaced by the four-level model §S10.2 and the P0 gates §S10.3</w:t>
            </w:r>
          </w:p>
        </w:tc>
      </w:tr>
      <w:tr>
        <w:tc>
          <w:tcPr/>
          <w:p>
            <w:pPr>
              <w:pStyle w:val="Compact"/>
              <w:jc w:val="left"/>
            </w:pPr>
            <w:r>
              <w:t xml:space="preserve">§14 Governance</w:t>
            </w:r>
          </w:p>
        </w:tc>
        <w:tc>
          <w:tcPr/>
          <w:p>
            <w:pPr>
              <w:pStyle w:val="Compact"/>
              <w:jc w:val="left"/>
            </w:pPr>
            <w:r>
              <w:rPr>
                <w:bCs/>
                <w:b/>
              </w:rPr>
              <w:t xml:space="preserve">RETAIN in substance, expand.</w:t>
            </w:r>
            <w:r>
              <w:t xml:space="preserve"> </w:t>
            </w:r>
            <w:r>
              <w:t xml:space="preserve">The instinct — data, medical and operational governance — was right and under-specified. Becomes §S5, §S6, §S7.6</w:t>
            </w:r>
          </w:p>
        </w:tc>
      </w:tr>
      <w:tr>
        <w:tc>
          <w:tcPr/>
          <w:p>
            <w:pPr>
              <w:pStyle w:val="Compact"/>
              <w:jc w:val="left"/>
            </w:pPr>
            <w:r>
              <w:t xml:space="preserve">§15.2 Assumptions ("SFDA will provide API access"; "veterinary associations will support telemedicine guidelines")</w:t>
            </w:r>
          </w:p>
        </w:tc>
        <w:tc>
          <w:tcPr/>
          <w:p>
            <w:pPr>
              <w:pStyle w:val="Compact"/>
              <w:jc w:val="left"/>
            </w:pPr>
            <w:r>
              <w:rPr>
                <w:bCs/>
                <w:b/>
              </w:rPr>
              <w:t xml:space="preserve">REJECT as assumptions, RETAIN as open evidence items.</w:t>
            </w:r>
            <w:r>
              <w:t xml:space="preserve"> </w:t>
            </w:r>
            <w:r>
              <w:t xml:space="preserve">They were load-bearing and untested; they now appear in Annex B where they can be closed or can block</w:t>
            </w:r>
          </w:p>
        </w:tc>
      </w:tr>
      <w:tr>
        <w:tc>
          <w:tcPr/>
          <w:p>
            <w:pPr>
              <w:pStyle w:val="Compact"/>
              <w:jc w:val="left"/>
            </w:pPr>
            <w:r>
              <w:t xml:space="preserve">§16 Approval table (five blank</w:t>
            </w:r>
            <w:r>
              <w:t xml:space="preserve"> </w:t>
            </w:r>
            <w:r>
              <w:rPr>
                <w:rStyle w:val="VerbatimChar"/>
              </w:rPr>
              <w:t xml:space="preserve">[Name]</w:t>
            </w:r>
            <w:r>
              <w:t xml:space="preserve"> </w:t>
            </w:r>
            <w:r>
              <w:t xml:space="preserve">rows)</w:t>
            </w:r>
          </w:p>
        </w:tc>
        <w:tc>
          <w:tcPr/>
          <w:p>
            <w:pPr>
              <w:pStyle w:val="Compact"/>
              <w:jc w:val="left"/>
            </w:pPr>
            <w:r>
              <w:rPr>
                <w:bCs/>
                <w:b/>
              </w:rPr>
              <w:t xml:space="preserve">Noted.</w:t>
            </w:r>
            <w:r>
              <w:t xml:space="preserve"> </w:t>
            </w:r>
            <w:r>
              <w:t xml:space="preserve">The document was never approved by anyone</w:t>
            </w:r>
          </w:p>
        </w:tc>
      </w:tr>
    </w:tbl>
    <w:p>
      <w:r>
        <w:pict>
          <v:rect style="width:0;height:1.5pt" o:hralign="center" o:hrstd="t" o:hr="t"/>
        </w:pict>
      </w:r>
    </w:p>
    <w:bookmarkEnd w:id="151"/>
    <w:bookmarkEnd w:id="152"/>
    <w:bookmarkStart w:id="156" w:name="annex-b--open-evidence-register"/>
    <w:p>
      <w:pPr>
        <w:pStyle w:val="Heading1"/>
      </w:pPr>
      <w:r>
        <w:t xml:space="preserve">Annex B · Open Evidence Register</w:t>
      </w:r>
    </w:p>
    <w:p>
      <w:pPr>
        <w:pStyle w:val="FirstParagraph"/>
      </w:pPr>
      <w:r>
        <w:rPr>
          <w:bCs/>
          <w:b/>
        </w:rPr>
        <w:t xml:space="preserve">No item below may be relied on, quoted externally, or built to, until closed.</w:t>
      </w:r>
      <w:r>
        <w:t xml:space="preserve"> </w:t>
      </w:r>
      <w:r>
        <w:t xml:space="preserve">Ordered by what they block.</w:t>
      </w:r>
    </w:p>
    <w:bookmarkStart w:id="153" w:name="b1-blocks-approval"/>
    <w:p>
      <w:pPr>
        <w:pStyle w:val="Heading2"/>
      </w:pPr>
      <w:r>
        <w:t xml:space="preserve">B.1 Blocks approval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Not established</w:t>
            </w:r>
          </w:p>
        </w:tc>
        <w:tc>
          <w:tcPr/>
          <w:p>
            <w:pPr>
              <w:pStyle w:val="Compact"/>
              <w:jc w:val="left"/>
            </w:pPr>
            <w:r>
              <w:t xml:space="preserve">What would settle it</w:t>
            </w:r>
          </w:p>
        </w:tc>
        <w:tc>
          <w:tcPr/>
          <w:p>
            <w:pPr>
              <w:pStyle w:val="Compact"/>
              <w:jc w:val="left"/>
            </w:pPr>
            <w:r>
              <w:t xml:space="preserve">Blocks</w:t>
            </w:r>
          </w:p>
        </w:tc>
      </w:tr>
      <w:tr>
        <w:tc>
          <w:tcPr/>
          <w:p>
            <w:pPr>
              <w:pStyle w:val="Compact"/>
              <w:jc w:val="left"/>
            </w:pPr>
            <w:r>
              <w:rPr>
                <w:rStyle w:val="VerbatimChar"/>
              </w:rPr>
              <w:t xml:space="preserve">EV-01</w:t>
            </w:r>
          </w:p>
        </w:tc>
        <w:tc>
          <w:tcPr/>
          <w:p>
            <w:pPr>
              <w:pStyle w:val="Compact"/>
              <w:jc w:val="left"/>
            </w:pPr>
            <w:r>
              <w:rPr>
                <w:bCs/>
                <w:b/>
              </w:rPr>
              <w:t xml:space="preserve">Whether remote veterinary consultation is lawful, licensable or prohibited in KSA</w:t>
            </w:r>
          </w:p>
        </w:tc>
        <w:tc>
          <w:tcPr/>
          <w:p>
            <w:pPr>
              <w:pStyle w:val="Compact"/>
              <w:jc w:val="left"/>
            </w:pPr>
            <w:r>
              <w:t xml:space="preserve">Full text of the in-force MEWA</w:t>
            </w:r>
            <w:r>
              <w:t xml:space="preserve"> </w:t>
            </w:r>
            <w:r>
              <w:rPr>
                <w:iCs/>
                <w:i/>
              </w:rPr>
              <w:t xml:space="preserve">Veterinary Professions &amp; Establishments Guide</w:t>
            </w:r>
            <w:r>
              <w:t xml:space="preserve">, plus a written MEWA interpretation covering remote consultation, remote prescribing, and whether a platform operator needs an establishment licence</w:t>
            </w:r>
          </w:p>
        </w:tc>
        <w:tc>
          <w:tcPr/>
          <w:p>
            <w:pPr>
              <w:pStyle w:val="Compact"/>
              <w:jc w:val="left"/>
            </w:pPr>
            <w:r>
              <w:t xml:space="preserve">Precondition</w:t>
            </w:r>
            <w:r>
              <w:t xml:space="preserve"> </w:t>
            </w:r>
            <w:r>
              <w:rPr>
                <w:rStyle w:val="VerbatimChar"/>
              </w:rPr>
              <w:t xml:space="preserve">P2</w:t>
            </w:r>
            <w:r>
              <w:t xml:space="preserve">; §S6.2; the outcome contract itself</w:t>
            </w:r>
          </w:p>
        </w:tc>
      </w:tr>
      <w:tr>
        <w:tc>
          <w:tcPr/>
          <w:p>
            <w:pPr>
              <w:pStyle w:val="Compact"/>
              <w:jc w:val="left"/>
            </w:pPr>
            <w:r>
              <w:rPr>
                <w:rStyle w:val="VerbatimChar"/>
              </w:rPr>
              <w:t xml:space="preserve">EV-02</w:t>
            </w:r>
          </w:p>
        </w:tc>
        <w:tc>
          <w:tcPr/>
          <w:p>
            <w:pPr>
              <w:pStyle w:val="Compact"/>
              <w:jc w:val="left"/>
            </w:pPr>
            <w:r>
              <w:rPr>
                <w:bCs/>
                <w:b/>
              </w:rPr>
              <w:t xml:space="preserve">The retention period for veterinary clinical records and prescriptions in KSA.</w:t>
            </w:r>
            <w:r>
              <w:t xml:space="preserve"> </w:t>
            </w:r>
            <w:r>
              <w:t xml:space="preserve">No period is stated in any located instrument</w:t>
            </w:r>
          </w:p>
        </w:tc>
        <w:tc>
          <w:tcPr/>
          <w:p>
            <w:pPr>
              <w:pStyle w:val="Compact"/>
              <w:jc w:val="left"/>
            </w:pPr>
            <w:r>
              <w:t xml:space="preserve">The same Guide; failing that, a written MEWA ruling</w:t>
            </w:r>
          </w:p>
        </w:tc>
        <w:tc>
          <w:tcPr/>
          <w:p>
            <w:pPr>
              <w:pStyle w:val="Compact"/>
              <w:jc w:val="left"/>
            </w:pPr>
            <w:r>
              <w:rPr>
                <w:rStyle w:val="VerbatimChar"/>
              </w:rPr>
              <w:t xml:space="preserve">R-107</w:t>
            </w:r>
            <w:r>
              <w:t xml:space="preserve">;</w:t>
            </w:r>
            <w:r>
              <w:t xml:space="preserve"> </w:t>
            </w:r>
            <w:r>
              <w:rPr>
                <w:rStyle w:val="VerbatimChar"/>
              </w:rPr>
              <w:t xml:space="preserve">RetentionPolicy</w:t>
            </w:r>
            <w:r>
              <w:t xml:space="preserve"> </w:t>
            </w:r>
            <w:r>
              <w:t xml:space="preserve">defaults; §S6.4</w:t>
            </w:r>
          </w:p>
        </w:tc>
      </w:tr>
      <w:tr>
        <w:tc>
          <w:tcPr/>
          <w:p>
            <w:pPr>
              <w:pStyle w:val="Compact"/>
              <w:jc w:val="left"/>
            </w:pPr>
            <w:r>
              <w:rPr>
                <w:rStyle w:val="VerbatimChar"/>
              </w:rPr>
              <w:t xml:space="preserve">EV-03</w:t>
            </w:r>
          </w:p>
        </w:tc>
        <w:tc>
          <w:tcPr/>
          <w:p>
            <w:pPr>
              <w:pStyle w:val="Compact"/>
              <w:jc w:val="left"/>
            </w:pPr>
            <w:r>
              <w:rPr>
                <w:bCs/>
                <w:b/>
              </w:rPr>
              <w:t xml:space="preserve">Custody of</w:t>
            </w:r>
            <w:r>
              <w:rPr>
                <w:bCs/>
                <w:b/>
              </w:rPr>
              <w:t xml:space="preserve"> </w:t>
            </w:r>
            <w:r>
              <w:rPr>
                <w:rStyle w:val="VerbatimChar"/>
                <w:bCs/>
                <w:b/>
              </w:rPr>
              <w:t xml:space="preserve">MPP-MVC-RECON-001 V1.0</w:t>
            </w:r>
          </w:p>
        </w:tc>
        <w:tc>
          <w:tcPr/>
          <w:p>
            <w:pPr>
              <w:pStyle w:val="Compact"/>
              <w:jc w:val="left"/>
            </w:pPr>
            <w:r>
              <w:t xml:space="preserve">Production of the file, or a formal re-authoring decision</w:t>
            </w:r>
          </w:p>
        </w:tc>
        <w:tc>
          <w:tcPr/>
          <w:p>
            <w:pPr>
              <w:pStyle w:val="Compact"/>
              <w:jc w:val="left"/>
            </w:pPr>
            <w:r>
              <w:t xml:space="preserve">Precondition</w:t>
            </w:r>
            <w:r>
              <w:t xml:space="preserve"> </w:t>
            </w:r>
            <w:r>
              <w:rPr>
                <w:rStyle w:val="VerbatimChar"/>
              </w:rPr>
              <w:t xml:space="preserve">P1</w:t>
            </w:r>
            <w:r>
              <w:t xml:space="preserve">; §S1.5</w:t>
            </w:r>
          </w:p>
        </w:tc>
      </w:tr>
      <w:tr>
        <w:tc>
          <w:tcPr/>
          <w:p>
            <w:pPr>
              <w:pStyle w:val="Compact"/>
              <w:jc w:val="left"/>
            </w:pPr>
            <w:r>
              <w:rPr>
                <w:rStyle w:val="VerbatimChar"/>
              </w:rPr>
              <w:t xml:space="preserve">EV-04</w:t>
            </w:r>
          </w:p>
        </w:tc>
        <w:tc>
          <w:tcPr/>
          <w:p>
            <w:pPr>
              <w:pStyle w:val="Compact"/>
              <w:jc w:val="left"/>
            </w:pPr>
            <w:r>
              <w:rPr>
                <w:bCs/>
                <w:b/>
              </w:rPr>
              <w:t xml:space="preserve">Whether a Saudi clinic principal will pay SAR 2,000–3,000/month for software.</w:t>
            </w:r>
            <w:r>
              <w:t xml:space="preserve"> </w:t>
            </w:r>
            <w:r>
              <w:t xml:space="preserve">No KSA veterinary software price point is published anywhere</w:t>
            </w:r>
          </w:p>
        </w:tc>
        <w:tc>
          <w:tcPr/>
          <w:p>
            <w:pPr>
              <w:pStyle w:val="Compact"/>
              <w:jc w:val="left"/>
            </w:pPr>
            <w:r>
              <w:t xml:space="preserve">15–20 structured buyer interviews; competitive quotes from the regional incumbent</w:t>
            </w:r>
          </w:p>
        </w:tc>
        <w:tc>
          <w:tcPr/>
          <w:p>
            <w:pPr>
              <w:pStyle w:val="Compact"/>
              <w:jc w:val="left"/>
            </w:pPr>
            <w:r>
              <w:t xml:space="preserve">§S9.4; the entire business case denominator</w:t>
            </w:r>
          </w:p>
        </w:tc>
      </w:tr>
      <w:tr>
        <w:tc>
          <w:tcPr/>
          <w:p>
            <w:pPr>
              <w:pStyle w:val="Compact"/>
              <w:jc w:val="left"/>
            </w:pPr>
            <w:r>
              <w:rPr>
                <w:rStyle w:val="VerbatimChar"/>
              </w:rPr>
              <w:t xml:space="preserve">EV-05</w:t>
            </w:r>
          </w:p>
        </w:tc>
        <w:tc>
          <w:tcPr/>
          <w:p>
            <w:pPr>
              <w:pStyle w:val="Compact"/>
              <w:jc w:val="left"/>
            </w:pPr>
            <w:r>
              <w:rPr>
                <w:bCs/>
                <w:b/>
              </w:rPr>
              <w:t xml:space="preserve">Authoritative count of licensed companion-animal clinics by region, 2026.</w:t>
            </w:r>
            <w:r>
              <w:t xml:space="preserve"> </w:t>
            </w:r>
            <w:r>
              <w:t xml:space="preserve">Sourced anchors disagree 196 vs 434, both 2023–24</w:t>
            </w:r>
          </w:p>
        </w:tc>
        <w:tc>
          <w:tcPr/>
          <w:p>
            <w:pPr>
              <w:pStyle w:val="Compact"/>
              <w:jc w:val="left"/>
            </w:pPr>
            <w:r>
              <w:t xml:space="preserve">MEWA open data or a formal request to the Animal Health Directorate; municipal licence register; cross-check against commercial-registration data</w:t>
            </w:r>
          </w:p>
        </w:tc>
        <w:tc>
          <w:tcPr/>
          <w:p>
            <w:pPr>
              <w:pStyle w:val="Compact"/>
              <w:jc w:val="left"/>
            </w:pPr>
            <w:r>
              <w:t xml:space="preserve">§S9.1; every TAM/SAM/SOM figure</w:t>
            </w:r>
          </w:p>
        </w:tc>
      </w:tr>
    </w:tbl>
    <w:bookmarkEnd w:id="153"/>
    <w:bookmarkStart w:id="154" w:name="b2-blocks-build-of-specific-capabilities"/>
    <w:p>
      <w:pPr>
        <w:pStyle w:val="Heading2"/>
      </w:pPr>
      <w:r>
        <w:t xml:space="preserve">B.2 Blocks build of specific capabilities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Not established</w:t>
            </w:r>
          </w:p>
        </w:tc>
        <w:tc>
          <w:tcPr/>
          <w:p>
            <w:pPr>
              <w:pStyle w:val="Compact"/>
              <w:jc w:val="left"/>
            </w:pPr>
            <w:r>
              <w:t xml:space="preserve">Blocks</w:t>
            </w:r>
          </w:p>
        </w:tc>
      </w:tr>
      <w:tr>
        <w:tc>
          <w:tcPr/>
          <w:p>
            <w:pPr>
              <w:pStyle w:val="Compact"/>
              <w:jc w:val="left"/>
            </w:pPr>
            <w:r>
              <w:rPr>
                <w:rStyle w:val="VerbatimChar"/>
              </w:rPr>
              <w:t xml:space="preserve">EV-06</w:t>
            </w:r>
          </w:p>
        </w:tc>
        <w:tc>
          <w:tcPr/>
          <w:p>
            <w:pPr>
              <w:pStyle w:val="Compact"/>
              <w:jc w:val="left"/>
            </w:pPr>
            <w:r>
              <w:t xml:space="preserve">Full text of MEWA's 29 licensing conditions and the updated Guide</w:t>
            </w:r>
          </w:p>
        </w:tc>
        <w:tc>
          <w:tcPr/>
          <w:p>
            <w:pPr>
              <w:pStyle w:val="Compact"/>
              <w:jc w:val="left"/>
            </w:pPr>
            <w:r>
              <w:t xml:space="preserve">Compliance+ module scope (§S9.4);</w:t>
            </w:r>
            <w:r>
              <w:t xml:space="preserve"> </w:t>
            </w:r>
            <w:r>
              <w:rPr>
                <w:rStyle w:val="VerbatimChar"/>
              </w:rPr>
              <w:t xml:space="preserve">R-103</w:t>
            </w:r>
          </w:p>
        </w:tc>
      </w:tr>
      <w:tr>
        <w:tc>
          <w:tcPr/>
          <w:p>
            <w:pPr>
              <w:pStyle w:val="Compact"/>
              <w:jc w:val="left"/>
            </w:pPr>
            <w:r>
              <w:rPr>
                <w:rStyle w:val="VerbatimChar"/>
              </w:rPr>
              <w:t xml:space="preserve">EV-07</w:t>
            </w:r>
          </w:p>
        </w:tc>
        <w:tc>
          <w:tcPr/>
          <w:p>
            <w:pPr>
              <w:pStyle w:val="Compact"/>
              <w:jc w:val="left"/>
            </w:pPr>
            <w:r>
              <w:t xml:space="preserve">The authoritative KSA notifiable-disease list — controlled enumeration, version identifier, per-disease trigger definitions, update-notification channel</w:t>
            </w:r>
          </w:p>
        </w:tc>
        <w:tc>
          <w:tcPr/>
          <w:p>
            <w:pPr>
              <w:pStyle w:val="Compact"/>
              <w:jc w:val="left"/>
            </w:pPr>
            <w:r>
              <w:rPr>
                <w:rStyle w:val="VerbatimChar"/>
              </w:rPr>
              <w:t xml:space="preserve">D-102</w:t>
            </w:r>
            <w:r>
              <w:t xml:space="preserve">;</w:t>
            </w:r>
            <w:r>
              <w:t xml:space="preserve"> </w:t>
            </w:r>
            <w:r>
              <w:rPr>
                <w:rStyle w:val="VerbatimChar"/>
              </w:rPr>
              <w:t xml:space="preserve">R-119</w:t>
            </w:r>
          </w:p>
        </w:tc>
      </w:tr>
      <w:tr>
        <w:tc>
          <w:tcPr/>
          <w:p>
            <w:pPr>
              <w:pStyle w:val="Compact"/>
              <w:jc w:val="left"/>
            </w:pPr>
            <w:r>
              <w:rPr>
                <w:rStyle w:val="VerbatimChar"/>
              </w:rPr>
              <w:t xml:space="preserve">EV-08</w:t>
            </w:r>
          </w:p>
        </w:tc>
        <w:tc>
          <w:tcPr/>
          <w:p>
            <w:pPr>
              <w:pStyle w:val="Compact"/>
              <w:jc w:val="left"/>
            </w:pPr>
            <w:r>
              <w:t xml:space="preserve">The mandated notifiable-reporting channel and format for a private companion-animal clinic, and whether any machine interface exists</w:t>
            </w:r>
          </w:p>
        </w:tc>
        <w:tc>
          <w:tcPr/>
          <w:p>
            <w:pPr>
              <w:pStyle w:val="Compact"/>
              <w:jc w:val="left"/>
            </w:pPr>
            <w:r>
              <w:rPr>
                <w:rStyle w:val="VerbatimChar"/>
              </w:rPr>
              <w:t xml:space="preserve">X-027</w:t>
            </w:r>
            <w:r>
              <w:t xml:space="preserve">;</w:t>
            </w:r>
            <w:r>
              <w:t xml:space="preserve"> </w:t>
            </w:r>
            <w:r>
              <w:rPr>
                <w:rStyle w:val="VerbatimChar"/>
              </w:rPr>
              <w:t xml:space="preserve">E-104</w:t>
            </w:r>
            <w:r>
              <w:t xml:space="preserve"> </w:t>
            </w:r>
            <w:r>
              <w:t xml:space="preserve">transport</w:t>
            </w:r>
          </w:p>
        </w:tc>
      </w:tr>
      <w:tr>
        <w:tc>
          <w:tcPr/>
          <w:p>
            <w:pPr>
              <w:pStyle w:val="Compact"/>
              <w:jc w:val="left"/>
            </w:pPr>
            <w:r>
              <w:rPr>
                <w:rStyle w:val="VerbatimChar"/>
              </w:rPr>
              <w:t xml:space="preserve">EV-09</w:t>
            </w:r>
          </w:p>
        </w:tc>
        <w:tc>
          <w:tcPr/>
          <w:p>
            <w:pPr>
              <w:pStyle w:val="Compact"/>
              <w:jc w:val="left"/>
            </w:pPr>
            <w:r>
              <w:t xml:space="preserve">Veterinary prescription form requirements — mandatory fields, prescriber identification, signature, duplicate/triplicate for controlled substances</w:t>
            </w:r>
          </w:p>
        </w:tc>
        <w:tc>
          <w:tcPr/>
          <w:p>
            <w:pPr>
              <w:pStyle w:val="Compact"/>
              <w:jc w:val="left"/>
            </w:pPr>
            <w:r>
              <w:rPr>
                <w:rStyle w:val="VerbatimChar"/>
              </w:rPr>
              <w:t xml:space="preserve">R-113</w:t>
            </w:r>
          </w:p>
        </w:tc>
      </w:tr>
      <w:tr>
        <w:tc>
          <w:tcPr/>
          <w:p>
            <w:pPr>
              <w:pStyle w:val="Compact"/>
              <w:jc w:val="left"/>
            </w:pPr>
            <w:r>
              <w:rPr>
                <w:rStyle w:val="VerbatimChar"/>
              </w:rPr>
              <w:t xml:space="preserve">EV-10</w:t>
            </w:r>
          </w:p>
        </w:tc>
        <w:tc>
          <w:tcPr/>
          <w:p>
            <w:pPr>
              <w:pStyle w:val="Compact"/>
              <w:jc w:val="left"/>
            </w:pPr>
            <w:r>
              <w:t xml:space="preserve">Electronic prescription validity for veterinary medicines in KSA</w:t>
            </w:r>
          </w:p>
        </w:tc>
        <w:tc>
          <w:tcPr/>
          <w:p>
            <w:pPr>
              <w:pStyle w:val="Compact"/>
              <w:jc w:val="left"/>
            </w:pPr>
            <w:r>
              <w:t xml:space="preserve">REG-04 disposition</w:t>
            </w:r>
          </w:p>
        </w:tc>
      </w:tr>
      <w:tr>
        <w:tc>
          <w:tcPr/>
          <w:p>
            <w:pPr>
              <w:pStyle w:val="Compact"/>
              <w:jc w:val="left"/>
            </w:pPr>
            <w:r>
              <w:rPr>
                <w:rStyle w:val="VerbatimChar"/>
              </w:rPr>
              <w:t xml:space="preserve">EV-11</w:t>
            </w:r>
          </w:p>
        </w:tc>
        <w:tc>
          <w:tcPr/>
          <w:p>
            <w:pPr>
              <w:pStyle w:val="Compact"/>
              <w:jc w:val="left"/>
            </w:pPr>
            <w:r>
              <w:rPr>
                <w:bCs/>
                <w:b/>
              </w:rPr>
              <w:t xml:space="preserve">Whether a veterinarian is an authorised prescriber under the narcotics and psychotropics law</w:t>
            </w:r>
            <w:r>
              <w:t xml:space="preserve">, and the applicable record-keeping</w:t>
            </w:r>
          </w:p>
        </w:tc>
        <w:tc>
          <w:tcPr/>
          <w:p>
            <w:pPr>
              <w:pStyle w:val="Compact"/>
              <w:jc w:val="left"/>
            </w:pPr>
            <w:r>
              <w:rPr>
                <w:rStyle w:val="VerbatimChar"/>
              </w:rPr>
              <w:t xml:space="preserve">R-114</w:t>
            </w:r>
            <w:r>
              <w:t xml:space="preserve"> </w:t>
            </w:r>
            <w:r>
              <w:t xml:space="preserve">—</w:t>
            </w:r>
            <w:r>
              <w:t xml:space="preserve"> </w:t>
            </w:r>
            <w:r>
              <w:rPr>
                <w:bCs/>
                <w:b/>
              </w:rPr>
              <w:t xml:space="preserve">until closed, the controlled workflow stays disabled</w:t>
            </w:r>
          </w:p>
        </w:tc>
      </w:tr>
      <w:tr>
        <w:tc>
          <w:tcPr/>
          <w:p>
            <w:pPr>
              <w:pStyle w:val="Compact"/>
              <w:jc w:val="left"/>
            </w:pPr>
            <w:r>
              <w:rPr>
                <w:rStyle w:val="VerbatimChar"/>
              </w:rPr>
              <w:t xml:space="preserve">EV-12</w:t>
            </w:r>
          </w:p>
        </w:tc>
        <w:tc>
          <w:tcPr/>
          <w:p>
            <w:pPr>
              <w:pStyle w:val="Compact"/>
              <w:jc w:val="left"/>
            </w:pPr>
            <w:r>
              <w:t xml:space="preserve">Which authority licenses a standalone veterinary pharmacy, and the supervisor qualification required</w:t>
            </w:r>
          </w:p>
        </w:tc>
        <w:tc>
          <w:tcPr/>
          <w:p>
            <w:pPr>
              <w:pStyle w:val="Compact"/>
              <w:jc w:val="left"/>
            </w:pPr>
            <w:r>
              <w:t xml:space="preserve">§S2.4 pharmacy horizon</w:t>
            </w:r>
          </w:p>
        </w:tc>
      </w:tr>
      <w:tr>
        <w:tc>
          <w:tcPr/>
          <w:p>
            <w:pPr>
              <w:pStyle w:val="Compact"/>
              <w:jc w:val="left"/>
            </w:pPr>
            <w:r>
              <w:rPr>
                <w:rStyle w:val="VerbatimChar"/>
              </w:rPr>
              <w:t xml:space="preserve">EV-13</w:t>
            </w:r>
          </w:p>
        </w:tc>
        <w:tc>
          <w:tcPr/>
          <w:p>
            <w:pPr>
              <w:pStyle w:val="Compact"/>
              <w:jc w:val="left"/>
            </w:pPr>
            <w:r>
              <w:t xml:space="preserve">Track-and-trace point-of-dispense obligations for a veterinary clinic — scan/decommission events, interface, deadlines</w:t>
            </w:r>
          </w:p>
        </w:tc>
        <w:tc>
          <w:tcPr/>
          <w:p>
            <w:pPr>
              <w:pStyle w:val="Compact"/>
              <w:jc w:val="left"/>
            </w:pPr>
            <w:r>
              <w:rPr>
                <w:rStyle w:val="VerbatimChar"/>
              </w:rPr>
              <w:t xml:space="preserve">E-103</w:t>
            </w:r>
            <w:r>
              <w:t xml:space="preserve"> </w:t>
            </w:r>
            <w:r>
              <w:t xml:space="preserve">reporting phase</w:t>
            </w:r>
          </w:p>
        </w:tc>
      </w:tr>
      <w:tr>
        <w:tc>
          <w:tcPr/>
          <w:p>
            <w:pPr>
              <w:pStyle w:val="Compact"/>
              <w:jc w:val="left"/>
            </w:pPr>
            <w:r>
              <w:rPr>
                <w:rStyle w:val="VerbatimChar"/>
              </w:rPr>
              <w:t xml:space="preserve">EV-14</w:t>
            </w:r>
          </w:p>
        </w:tc>
        <w:tc>
          <w:tcPr/>
          <w:p>
            <w:pPr>
              <w:pStyle w:val="Compact"/>
              <w:jc w:val="left"/>
            </w:pPr>
            <w:r>
              <w:t xml:space="preserve">The current MEWA-prescribed clinical case record form</w:t>
            </w:r>
          </w:p>
        </w:tc>
        <w:tc>
          <w:tcPr/>
          <w:p>
            <w:pPr>
              <w:pStyle w:val="Compact"/>
              <w:jc w:val="left"/>
            </w:pPr>
            <w:r>
              <w:rPr>
                <w:rStyle w:val="VerbatimChar"/>
              </w:rPr>
              <w:t xml:space="preserve">R-106</w:t>
            </w:r>
          </w:p>
        </w:tc>
      </w:tr>
      <w:tr>
        <w:tc>
          <w:tcPr/>
          <w:p>
            <w:pPr>
              <w:pStyle w:val="Compact"/>
              <w:jc w:val="left"/>
            </w:pPr>
            <w:r>
              <w:rPr>
                <w:rStyle w:val="VerbatimChar"/>
              </w:rPr>
              <w:t xml:space="preserve">EV-15</w:t>
            </w:r>
          </w:p>
        </w:tc>
        <w:tc>
          <w:tcPr/>
          <w:p>
            <w:pPr>
              <w:pStyle w:val="Compact"/>
              <w:jc w:val="left"/>
            </w:pPr>
            <w:r>
              <w:t xml:space="preserve">Mandatory content of a dispensed veterinary medicine label in KSA</w:t>
            </w:r>
          </w:p>
        </w:tc>
        <w:tc>
          <w:tcPr/>
          <w:p>
            <w:pPr>
              <w:pStyle w:val="Compact"/>
              <w:jc w:val="left"/>
            </w:pPr>
            <w:r>
              <w:rPr>
                <w:rStyle w:val="VerbatimChar"/>
              </w:rPr>
              <w:t xml:space="preserve">X-022</w:t>
            </w:r>
          </w:p>
        </w:tc>
      </w:tr>
      <w:tr>
        <w:tc>
          <w:tcPr/>
          <w:p>
            <w:pPr>
              <w:pStyle w:val="Compact"/>
              <w:jc w:val="left"/>
            </w:pPr>
            <w:r>
              <w:rPr>
                <w:rStyle w:val="VerbatimChar"/>
              </w:rPr>
              <w:t xml:space="preserve">EV-16</w:t>
            </w:r>
          </w:p>
        </w:tc>
        <w:tc>
          <w:tcPr/>
          <w:p>
            <w:pPr>
              <w:pStyle w:val="Compact"/>
              <w:jc w:val="left"/>
            </w:pPr>
            <w:r>
              <w:t xml:space="preserve">Reference-data licensing: territory rights, verbatim-display permission,</w:t>
            </w:r>
            <w:r>
              <w:t xml:space="preserve"> </w:t>
            </w:r>
            <w:r>
              <w:rPr>
                <w:bCs/>
                <w:b/>
              </w:rPr>
              <w:t xml:space="preserve">historical-version retention</w:t>
            </w:r>
            <w:r>
              <w:t xml:space="preserve">, and whether interaction severity is an exposed field</w:t>
            </w:r>
          </w:p>
        </w:tc>
        <w:tc>
          <w:tcPr/>
          <w:p>
            <w:pPr>
              <w:pStyle w:val="Compact"/>
              <w:jc w:val="left"/>
            </w:pPr>
            <w:r>
              <w:rPr>
                <w:rStyle w:val="VerbatimChar"/>
              </w:rPr>
              <w:t xml:space="preserve">D-103</w:t>
            </w:r>
            <w:r>
              <w:t xml:space="preserve">,</w:t>
            </w:r>
            <w:r>
              <w:t xml:space="preserve"> </w:t>
            </w:r>
            <w:r>
              <w:rPr>
                <w:rStyle w:val="VerbatimChar"/>
              </w:rPr>
              <w:t xml:space="preserve">D-104</w:t>
            </w:r>
            <w:r>
              <w:t xml:space="preserve"> </w:t>
            </w:r>
            <w:r>
              <w:t xml:space="preserve">—</w:t>
            </w:r>
            <w:r>
              <w:t xml:space="preserve"> </w:t>
            </w:r>
            <w:r>
              <w:rPr>
                <w:bCs/>
                <w:b/>
              </w:rPr>
              <w:t xml:space="preserve">if unresolved, they do not ship</w:t>
            </w:r>
          </w:p>
        </w:tc>
      </w:tr>
      <w:tr>
        <w:tc>
          <w:tcPr/>
          <w:p>
            <w:pPr>
              <w:pStyle w:val="Compact"/>
              <w:jc w:val="left"/>
            </w:pPr>
            <w:r>
              <w:rPr>
                <w:rStyle w:val="VerbatimChar"/>
              </w:rPr>
              <w:t xml:space="preserve">EV-17</w:t>
            </w:r>
          </w:p>
        </w:tc>
        <w:tc>
          <w:tcPr/>
          <w:p>
            <w:pPr>
              <w:pStyle w:val="Compact"/>
              <w:jc w:val="left"/>
            </w:pPr>
            <w:r>
              <w:t xml:space="preserve">The antimicrobial classification KSA authorities require for veterinary utilisation reporting</w:t>
            </w:r>
          </w:p>
        </w:tc>
        <w:tc>
          <w:tcPr/>
          <w:p>
            <w:pPr>
              <w:pStyle w:val="Compact"/>
              <w:jc w:val="left"/>
            </w:pPr>
            <w:r>
              <w:rPr>
                <w:rStyle w:val="VerbatimChar"/>
              </w:rPr>
              <w:t xml:space="preserve">D-105</w:t>
            </w:r>
          </w:p>
        </w:tc>
      </w:tr>
      <w:tr>
        <w:tc>
          <w:tcPr/>
          <w:p>
            <w:pPr>
              <w:pStyle w:val="Compact"/>
              <w:jc w:val="left"/>
            </w:pPr>
            <w:r>
              <w:rPr>
                <w:rStyle w:val="VerbatimChar"/>
              </w:rPr>
              <w:t xml:space="preserve">EV-18</w:t>
            </w:r>
          </w:p>
        </w:tc>
        <w:tc>
          <w:tcPr/>
          <w:p>
            <w:pPr>
              <w:pStyle w:val="Compact"/>
              <w:jc w:val="left"/>
            </w:pPr>
            <w:r>
              <w:t xml:space="preserve">Whether MEWA/Weqaa mandate or prefer a specific clinical terminology</w:t>
            </w:r>
          </w:p>
        </w:tc>
        <w:tc>
          <w:tcPr/>
          <w:p>
            <w:pPr>
              <w:pStyle w:val="Compact"/>
              <w:jc w:val="left"/>
            </w:pPr>
            <w:r>
              <w:rPr>
                <w:rStyle w:val="VerbatimChar"/>
              </w:rPr>
              <w:t xml:space="preserve">M-006</w:t>
            </w:r>
            <w:r>
              <w:t xml:space="preserve"> </w:t>
            </w:r>
            <w:r>
              <w:t xml:space="preserve">code-system choice (the discriminator is the hedge)</w:t>
            </w:r>
          </w:p>
        </w:tc>
      </w:tr>
      <w:tr>
        <w:tc>
          <w:tcPr/>
          <w:p>
            <w:pPr>
              <w:pStyle w:val="Compact"/>
              <w:jc w:val="left"/>
            </w:pPr>
            <w:r>
              <w:rPr>
                <w:rStyle w:val="VerbatimChar"/>
              </w:rPr>
              <w:t xml:space="preserve">EV-19</w:t>
            </w:r>
          </w:p>
        </w:tc>
        <w:tc>
          <w:tcPr/>
          <w:p>
            <w:pPr>
              <w:pStyle w:val="Compact"/>
              <w:jc w:val="left"/>
            </w:pPr>
            <w:r>
              <w:t xml:space="preserve">Whether MEWA/Nama, Balady or the commercial registry expose any programmatic verification interface</w:t>
            </w:r>
          </w:p>
        </w:tc>
        <w:tc>
          <w:tcPr/>
          <w:p>
            <w:pPr>
              <w:pStyle w:val="Compact"/>
              <w:jc w:val="left"/>
            </w:pPr>
            <w:r>
              <w:rPr>
                <w:rStyle w:val="VerbatimChar"/>
              </w:rPr>
              <w:t xml:space="preserve">E-105</w:t>
            </w:r>
            <w:r>
              <w:t xml:space="preserve"> </w:t>
            </w:r>
            <w:r>
              <w:t xml:space="preserve">automation —</w:t>
            </w:r>
            <w:r>
              <w:t xml:space="preserve"> </w:t>
            </w:r>
            <w:r>
              <w:rPr>
                <w:bCs/>
                <w:b/>
              </w:rPr>
              <w:t xml:space="preserve">not launch</w:t>
            </w:r>
          </w:p>
        </w:tc>
      </w:tr>
      <w:tr>
        <w:tc>
          <w:tcPr/>
          <w:p>
            <w:pPr>
              <w:pStyle w:val="Compact"/>
              <w:jc w:val="left"/>
            </w:pPr>
            <w:r>
              <w:rPr>
                <w:rStyle w:val="VerbatimChar"/>
              </w:rPr>
              <w:t xml:space="preserve">EV-20</w:t>
            </w:r>
          </w:p>
        </w:tc>
        <w:tc>
          <w:tcPr/>
          <w:p>
            <w:pPr>
              <w:pStyle w:val="Compact"/>
              <w:jc w:val="left"/>
            </w:pPr>
            <w:r>
              <w:t xml:space="preserve">Authoritative ZATCA endpoint list and the first-invoice previous-hash seed</w:t>
            </w:r>
          </w:p>
        </w:tc>
        <w:tc>
          <w:tcPr/>
          <w:p>
            <w:pPr>
              <w:pStyle w:val="Compact"/>
              <w:jc w:val="left"/>
            </w:pPr>
            <w:r>
              <w:rPr>
                <w:rStyle w:val="VerbatimChar"/>
              </w:rPr>
              <w:t xml:space="preserve">E-007</w:t>
            </w:r>
            <w:r>
              <w:t xml:space="preserve">,</w:t>
            </w:r>
            <w:r>
              <w:t xml:space="preserve"> </w:t>
            </w:r>
            <w:r>
              <w:rPr>
                <w:rStyle w:val="VerbatimChar"/>
              </w:rPr>
              <w:t xml:space="preserve">E-008</w:t>
            </w:r>
            <w:r>
              <w:t xml:space="preserve"> </w:t>
            </w:r>
            <w:r>
              <w:t xml:space="preserve">—</w:t>
            </w:r>
            <w:r>
              <w:t xml:space="preserve"> </w:t>
            </w:r>
            <w:r>
              <w:rPr>
                <w:bCs/>
                <w:b/>
              </w:rPr>
              <w:t xml:space="preserve">community-sourced values are not sufficient for a compliance path</w:t>
            </w:r>
          </w:p>
        </w:tc>
      </w:tr>
      <w:tr>
        <w:tc>
          <w:tcPr/>
          <w:p>
            <w:pPr>
              <w:pStyle w:val="Compact"/>
              <w:jc w:val="left"/>
            </w:pPr>
            <w:r>
              <w:rPr>
                <w:rStyle w:val="VerbatimChar"/>
              </w:rPr>
              <w:t xml:space="preserve">EV-21</w:t>
            </w:r>
          </w:p>
        </w:tc>
        <w:tc>
          <w:tcPr/>
          <w:p>
            <w:pPr>
              <w:pStyle w:val="Compact"/>
              <w:jc w:val="left"/>
            </w:pPr>
            <w:r>
              <w:t xml:space="preserve">Whether ZATCA has announced Wave 25 below SAR 375K</w:t>
            </w:r>
          </w:p>
        </w:tc>
        <w:tc>
          <w:tcPr/>
          <w:p>
            <w:pPr>
              <w:pStyle w:val="Compact"/>
              <w:jc w:val="left"/>
            </w:pPr>
            <w:r>
              <w:t xml:space="preserve">§S8.3 scope</w:t>
            </w:r>
          </w:p>
        </w:tc>
      </w:tr>
      <w:tr>
        <w:tc>
          <w:tcPr/>
          <w:p>
            <w:pPr>
              <w:pStyle w:val="Compact"/>
              <w:jc w:val="left"/>
            </w:pPr>
            <w:r>
              <w:rPr>
                <w:rStyle w:val="VerbatimChar"/>
              </w:rPr>
              <w:t xml:space="preserve">EV-22</w:t>
            </w:r>
          </w:p>
        </w:tc>
        <w:tc>
          <w:tcPr/>
          <w:p>
            <w:pPr>
              <w:pStyle w:val="Compact"/>
              <w:jc w:val="left"/>
            </w:pPr>
            <w:r>
              <w:t xml:space="preserve">Statutory retention period for e-invoices and their cryptographic evidence, and the legal basis for in-Kingdom archival</w:t>
            </w:r>
          </w:p>
        </w:tc>
        <w:tc>
          <w:tcPr/>
          <w:p>
            <w:pPr>
              <w:pStyle w:val="Compact"/>
              <w:jc w:val="left"/>
            </w:pPr>
            <w:r>
              <w:t xml:space="preserve">§S8.3, §S8.6</w:t>
            </w:r>
          </w:p>
        </w:tc>
      </w:tr>
      <w:tr>
        <w:tc>
          <w:tcPr/>
          <w:p>
            <w:pPr>
              <w:pStyle w:val="Compact"/>
              <w:jc w:val="left"/>
            </w:pPr>
            <w:r>
              <w:rPr>
                <w:rStyle w:val="VerbatimChar"/>
              </w:rPr>
              <w:t xml:space="preserve">EV-23</w:t>
            </w:r>
          </w:p>
        </w:tc>
        <w:tc>
          <w:tcPr/>
          <w:p>
            <w:pPr>
              <w:pStyle w:val="Compact"/>
              <w:jc w:val="left"/>
            </w:pPr>
            <w:r>
              <w:t xml:space="preserve">What personal data a MEWA or Balady inspector is entitled to receive, and the PDPL interaction</w:t>
            </w:r>
          </w:p>
        </w:tc>
        <w:tc>
          <w:tcPr/>
          <w:p>
            <w:pPr>
              <w:pStyle w:val="Compact"/>
              <w:jc w:val="left"/>
            </w:pPr>
            <w:r>
              <w:rPr>
                <w:rStyle w:val="VerbatimChar"/>
              </w:rPr>
              <w:t xml:space="preserve">X-034</w:t>
            </w:r>
            <w:r>
              <w:t xml:space="preserve"> </w:t>
            </w:r>
            <w:r>
              <w:t xml:space="preserve">redaction default</w:t>
            </w:r>
          </w:p>
        </w:tc>
      </w:tr>
      <w:tr>
        <w:tc>
          <w:tcPr/>
          <w:p>
            <w:pPr>
              <w:pStyle w:val="Compact"/>
              <w:jc w:val="left"/>
            </w:pPr>
            <w:r>
              <w:rPr>
                <w:rStyle w:val="VerbatimChar"/>
              </w:rPr>
              <w:t xml:space="preserve">EV-24</w:t>
            </w:r>
          </w:p>
        </w:tc>
        <w:tc>
          <w:tcPr/>
          <w:p>
            <w:pPr>
              <w:pStyle w:val="Compact"/>
              <w:jc w:val="left"/>
            </w:pPr>
            <w:r>
              <w:t xml:space="preserve">Primary text of the PDPL articles and implementing regulations —</w:t>
            </w:r>
            <w:r>
              <w:t xml:space="preserve"> </w:t>
            </w:r>
            <w:r>
              <w:rPr>
                <w:bCs/>
                <w:b/>
              </w:rPr>
              <w:t xml:space="preserve">findings currently rest on secondary sources, and at least one secondary source reflects the superseded pre-2023 transfer position</w:t>
            </w:r>
          </w:p>
        </w:tc>
        <w:tc>
          <w:tcPr/>
          <w:p>
            <w:pPr>
              <w:pStyle w:val="Compact"/>
              <w:jc w:val="left"/>
            </w:pPr>
            <w:r>
              <w:t xml:space="preserve">§S6.3 PDPL requirements</w:t>
            </w:r>
          </w:p>
        </w:tc>
      </w:tr>
      <w:tr>
        <w:tc>
          <w:tcPr/>
          <w:p>
            <w:pPr>
              <w:pStyle w:val="Compact"/>
              <w:jc w:val="left"/>
            </w:pPr>
            <w:r>
              <w:rPr>
                <w:rStyle w:val="VerbatimChar"/>
              </w:rPr>
              <w:t xml:space="preserve">EV-25</w:t>
            </w:r>
          </w:p>
        </w:tc>
        <w:tc>
          <w:tcPr/>
          <w:p>
            <w:pPr>
              <w:pStyle w:val="Compact"/>
              <w:jc w:val="left"/>
            </w:pPr>
            <w:r>
              <w:t xml:space="preserve">Whether owner-linked veterinary records could fall within PDPL sensitive-data rules</w:t>
            </w:r>
          </w:p>
        </w:tc>
        <w:tc>
          <w:tcPr/>
          <w:p>
            <w:pPr>
              <w:pStyle w:val="Compact"/>
              <w:jc w:val="left"/>
            </w:pPr>
            <w:r>
              <w:rPr>
                <w:rStyle w:val="VerbatimChar"/>
              </w:rPr>
              <w:t xml:space="preserve">R-123</w:t>
            </w:r>
            <w:r>
              <w:t xml:space="preserve">,</w:t>
            </w:r>
            <w:r>
              <w:t xml:space="preserve"> </w:t>
            </w:r>
            <w:r>
              <w:rPr>
                <w:rStyle w:val="VerbatimChar"/>
              </w:rPr>
              <w:t xml:space="preserve">R-131</w:t>
            </w:r>
          </w:p>
        </w:tc>
      </w:tr>
      <w:tr>
        <w:tc>
          <w:tcPr/>
          <w:p>
            <w:pPr>
              <w:pStyle w:val="Compact"/>
              <w:jc w:val="left"/>
            </w:pPr>
            <w:r>
              <w:rPr>
                <w:rStyle w:val="VerbatimChar"/>
              </w:rPr>
              <w:t xml:space="preserve">EV-26</w:t>
            </w:r>
          </w:p>
        </w:tc>
        <w:tc>
          <w:tcPr/>
          <w:p>
            <w:pPr>
              <w:pStyle w:val="Compact"/>
              <w:jc w:val="left"/>
            </w:pPr>
            <w:r>
              <w:t xml:space="preserve">A2P sender-ID registration process and lead time</w:t>
            </w:r>
          </w:p>
        </w:tc>
        <w:tc>
          <w:tcPr/>
          <w:p>
            <w:pPr>
              <w:pStyle w:val="Compact"/>
              <w:jc w:val="left"/>
            </w:pPr>
            <w:r>
              <w:rPr>
                <w:rStyle w:val="VerbatimChar"/>
              </w:rPr>
              <w:t xml:space="preserve">E-107</w:t>
            </w:r>
          </w:p>
        </w:tc>
      </w:tr>
      <w:tr>
        <w:tc>
          <w:tcPr/>
          <w:p>
            <w:pPr>
              <w:pStyle w:val="Compact"/>
              <w:jc w:val="left"/>
            </w:pPr>
            <w:r>
              <w:rPr>
                <w:rStyle w:val="VerbatimChar"/>
              </w:rPr>
              <w:t xml:space="preserve">EV-27</w:t>
            </w:r>
          </w:p>
        </w:tc>
        <w:tc>
          <w:tcPr/>
          <w:p>
            <w:pPr>
              <w:pStyle w:val="Compact"/>
              <w:jc w:val="left"/>
            </w:pPr>
            <w:r>
              <w:t xml:space="preserve">Payment service provider selection and mada scheme rules for veterinary billing</w:t>
            </w:r>
          </w:p>
        </w:tc>
        <w:tc>
          <w:tcPr/>
          <w:p>
            <w:pPr>
              <w:pStyle w:val="Compact"/>
              <w:jc w:val="left"/>
            </w:pPr>
            <w:r>
              <w:rPr>
                <w:rStyle w:val="VerbatimChar"/>
              </w:rPr>
              <w:t xml:space="preserve">E-106</w:t>
            </w:r>
          </w:p>
        </w:tc>
      </w:tr>
      <w:tr>
        <w:tc>
          <w:tcPr/>
          <w:p>
            <w:pPr>
              <w:pStyle w:val="Compact"/>
              <w:jc w:val="left"/>
            </w:pPr>
            <w:r>
              <w:rPr>
                <w:rStyle w:val="VerbatimChar"/>
              </w:rPr>
              <w:t xml:space="preserve">EV-28</w:t>
            </w:r>
          </w:p>
        </w:tc>
        <w:tc>
          <w:tcPr/>
          <w:p>
            <w:pPr>
              <w:pStyle w:val="Compact"/>
              <w:jc w:val="left"/>
            </w:pPr>
            <w:r>
              <w:t xml:space="preserve">Which managed media vendors can commit to in-Kingdom routing</w:t>
            </w:r>
          </w:p>
        </w:tc>
        <w:tc>
          <w:tcPr/>
          <w:p>
            <w:pPr>
              <w:pStyle w:val="Compact"/>
              <w:jc w:val="left"/>
            </w:pPr>
            <w:r>
              <w:rPr>
                <w:rStyle w:val="VerbatimChar"/>
              </w:rPr>
              <w:t xml:space="preserve">E-112</w:t>
            </w:r>
          </w:p>
        </w:tc>
      </w:tr>
      <w:tr>
        <w:tc>
          <w:tcPr/>
          <w:p>
            <w:pPr>
              <w:pStyle w:val="Compact"/>
              <w:jc w:val="left"/>
            </w:pPr>
            <w:r>
              <w:rPr>
                <w:rStyle w:val="VerbatimChar"/>
              </w:rPr>
              <w:t xml:space="preserve">EV-29</w:t>
            </w:r>
          </w:p>
        </w:tc>
        <w:tc>
          <w:tcPr/>
          <w:p>
            <w:pPr>
              <w:pStyle w:val="Compact"/>
              <w:jc w:val="left"/>
            </w:pPr>
            <w:r>
              <w:t xml:space="preserve">Arabic authoring of all decision-support human-authority strings</w:t>
            </w:r>
          </w:p>
        </w:tc>
        <w:tc>
          <w:tcPr/>
          <w:p>
            <w:pPr>
              <w:pStyle w:val="Compact"/>
              <w:jc w:val="left"/>
            </w:pPr>
            <w:r>
              <w:rPr>
                <w:rStyle w:val="VerbatimChar"/>
              </w:rPr>
              <w:t xml:space="preserve">D-018</w:t>
            </w:r>
            <w:r>
              <w:t xml:space="preserve"> </w:t>
            </w:r>
            <w:r>
              <w:t xml:space="preserve">sign-off</w:t>
            </w:r>
          </w:p>
        </w:tc>
      </w:tr>
    </w:tbl>
    <w:bookmarkEnd w:id="154"/>
    <w:bookmarkStart w:id="155" w:name="b3-blocks-confidence-not-build"/>
    <w:p>
      <w:pPr>
        <w:pStyle w:val="Heading2"/>
      </w:pPr>
      <w:r>
        <w:t xml:space="preserve">B.3 Blocks confidence, not build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Not established</w:t>
            </w:r>
          </w:p>
        </w:tc>
        <w:tc>
          <w:tcPr/>
          <w:p>
            <w:pPr>
              <w:pStyle w:val="Compact"/>
              <w:jc w:val="left"/>
            </w:pPr>
            <w:r>
              <w:t xml:space="preserve">Blocks</w:t>
            </w:r>
          </w:p>
        </w:tc>
      </w:tr>
      <w:tr>
        <w:tc>
          <w:tcPr/>
          <w:p>
            <w:pPr>
              <w:pStyle w:val="Compact"/>
              <w:jc w:val="left"/>
            </w:pPr>
            <w:r>
              <w:rPr>
                <w:rStyle w:val="VerbatimChar"/>
              </w:rPr>
              <w:t xml:space="preserve">EV-30</w:t>
            </w:r>
          </w:p>
        </w:tc>
        <w:tc>
          <w:tcPr/>
          <w:p>
            <w:pPr>
              <w:pStyle w:val="Compact"/>
              <w:jc w:val="left"/>
            </w:pPr>
            <w:r>
              <w:t xml:space="preserve">Cat/dog split; pet-owning household count</w:t>
            </w:r>
          </w:p>
        </w:tc>
        <w:tc>
          <w:tcPr/>
          <w:p>
            <w:pPr>
              <w:pStyle w:val="Compact"/>
              <w:jc w:val="left"/>
            </w:pPr>
            <w:r>
              <w:t xml:space="preserve">§S9.1 triangulation</w:t>
            </w:r>
          </w:p>
        </w:tc>
      </w:tr>
      <w:tr>
        <w:tc>
          <w:tcPr/>
          <w:p>
            <w:pPr>
              <w:pStyle w:val="Compact"/>
              <w:jc w:val="left"/>
            </w:pPr>
            <w:r>
              <w:rPr>
                <w:rStyle w:val="VerbatimChar"/>
              </w:rPr>
              <w:t xml:space="preserve">EV-31</w:t>
            </w:r>
          </w:p>
        </w:tc>
        <w:tc>
          <w:tcPr/>
          <w:p>
            <w:pPr>
              <w:pStyle w:val="Compact"/>
              <w:jc w:val="left"/>
            </w:pPr>
            <w:r>
              <w:t xml:space="preserve">Annual veterinary attendance rate and active patients per clinic</w:t>
            </w:r>
          </w:p>
        </w:tc>
        <w:tc>
          <w:tcPr/>
          <w:p>
            <w:pPr>
              <w:pStyle w:val="Compact"/>
              <w:jc w:val="left"/>
            </w:pPr>
            <w:r>
              <w:t xml:space="preserve">§S9.1 —</w:t>
            </w:r>
            <w:r>
              <w:t xml:space="preserve"> </w:t>
            </w:r>
            <w:r>
              <w:rPr>
                <w:bCs/>
                <w:b/>
              </w:rPr>
              <w:t xml:space="preserve">available free once 3+ design partners are live</w:t>
            </w:r>
          </w:p>
        </w:tc>
      </w:tr>
      <w:tr>
        <w:tc>
          <w:tcPr/>
          <w:p>
            <w:pPr>
              <w:pStyle w:val="Compact"/>
              <w:jc w:val="left"/>
            </w:pPr>
            <w:r>
              <w:rPr>
                <w:rStyle w:val="VerbatimChar"/>
              </w:rPr>
              <w:t xml:space="preserve">EV-32</w:t>
            </w:r>
          </w:p>
        </w:tc>
        <w:tc>
          <w:tcPr/>
          <w:p>
            <w:pPr>
              <w:pStyle w:val="Compact"/>
              <w:jc w:val="left"/>
            </w:pPr>
            <w:r>
              <w:t xml:space="preserve">Number of licensed veterinarians, Saudi/non-Saudi split</w:t>
            </w:r>
          </w:p>
        </w:tc>
        <w:tc>
          <w:tcPr/>
          <w:p>
            <w:pPr>
              <w:pStyle w:val="Compact"/>
              <w:jc w:val="left"/>
            </w:pPr>
            <w:r>
              <w:t xml:space="preserve">§S9.4 seat model</w:t>
            </w:r>
          </w:p>
        </w:tc>
      </w:tr>
      <w:tr>
        <w:tc>
          <w:tcPr/>
          <w:p>
            <w:pPr>
              <w:pStyle w:val="Compact"/>
              <w:jc w:val="left"/>
            </w:pPr>
            <w:r>
              <w:rPr>
                <w:rStyle w:val="VerbatimChar"/>
              </w:rPr>
              <w:t xml:space="preserve">EV-33</w:t>
            </w:r>
          </w:p>
        </w:tc>
        <w:tc>
          <w:tcPr/>
          <w:p>
            <w:pPr>
              <w:pStyle w:val="Compact"/>
              <w:jc w:val="left"/>
            </w:pPr>
            <w:r>
              <w:t xml:space="preserve">Current PMS penetration and incumbent share among KSA clinics</w:t>
            </w:r>
          </w:p>
        </w:tc>
        <w:tc>
          <w:tcPr/>
          <w:p>
            <w:pPr>
              <w:pStyle w:val="Compact"/>
              <w:jc w:val="left"/>
            </w:pPr>
            <w:r>
              <w:t xml:space="preserve">Sales cycle, migration cost, acquisition cost</w:t>
            </w:r>
          </w:p>
        </w:tc>
      </w:tr>
      <w:tr>
        <w:tc>
          <w:tcPr/>
          <w:p>
            <w:pPr>
              <w:pStyle w:val="Compact"/>
              <w:jc w:val="left"/>
            </w:pPr>
            <w:r>
              <w:rPr>
                <w:rStyle w:val="VerbatimChar"/>
              </w:rPr>
              <w:t xml:space="preserve">EV-34</w:t>
            </w:r>
          </w:p>
        </w:tc>
        <w:tc>
          <w:tcPr/>
          <w:p>
            <w:pPr>
              <w:pStyle w:val="Compact"/>
              <w:jc w:val="left"/>
            </w:pPr>
            <w:r>
              <w:t xml:space="preserve">Current Saudi veterinary service price list (the only itemised list found dates to 2005)</w:t>
            </w:r>
          </w:p>
        </w:tc>
        <w:tc>
          <w:tcPr/>
          <w:p>
            <w:pPr>
              <w:pStyle w:val="Compact"/>
              <w:jc w:val="left"/>
            </w:pPr>
            <w:r>
              <w:t xml:space="preserve">Clinic revenue and ROI modelling</w:t>
            </w:r>
          </w:p>
        </w:tc>
      </w:tr>
      <w:tr>
        <w:tc>
          <w:tcPr/>
          <w:p>
            <w:pPr>
              <w:pStyle w:val="Compact"/>
              <w:jc w:val="left"/>
            </w:pPr>
            <w:r>
              <w:rPr>
                <w:rStyle w:val="VerbatimChar"/>
              </w:rPr>
              <w:t xml:space="preserve">EV-35</w:t>
            </w:r>
          </w:p>
        </w:tc>
        <w:tc>
          <w:tcPr/>
          <w:p>
            <w:pPr>
              <w:pStyle w:val="Compact"/>
              <w:jc w:val="left"/>
            </w:pPr>
            <w:r>
              <w:t xml:space="preserve">KSA/GCC SMB vertical SaaS acquisition, cycle and churn benchmarks —</w:t>
            </w:r>
            <w:r>
              <w:t xml:space="preserve"> </w:t>
            </w:r>
            <w:r>
              <w:rPr>
                <w:bCs/>
                <w:b/>
              </w:rPr>
              <w:t xml:space="preserve">all §S9.5 figures are US/global</w:t>
            </w:r>
          </w:p>
        </w:tc>
        <w:tc>
          <w:tcPr/>
          <w:p>
            <w:pPr>
              <w:pStyle w:val="Compact"/>
              <w:jc w:val="left"/>
            </w:pPr>
            <w:r>
              <w:t xml:space="preserve">§S9.5 confidence</w:t>
            </w:r>
          </w:p>
        </w:tc>
      </w:tr>
      <w:tr>
        <w:tc>
          <w:tcPr/>
          <w:p>
            <w:pPr>
              <w:pStyle w:val="Compact"/>
              <w:jc w:val="left"/>
            </w:pPr>
            <w:r>
              <w:rPr>
                <w:rStyle w:val="VerbatimChar"/>
              </w:rPr>
              <w:t xml:space="preserve">EV-36</w:t>
            </w:r>
          </w:p>
        </w:tc>
        <w:tc>
          <w:tcPr/>
          <w:p>
            <w:pPr>
              <w:pStyle w:val="Compact"/>
              <w:jc w:val="left"/>
            </w:pPr>
            <w:r>
              <w:t xml:space="preserve">Multi-site veterinary group ownership in KSA</w:t>
            </w:r>
          </w:p>
        </w:tc>
        <w:tc>
          <w:tcPr/>
          <w:p>
            <w:pPr>
              <w:pStyle w:val="Compact"/>
              <w:jc w:val="left"/>
            </w:pPr>
            <w:r>
              <w:t xml:space="preserve">Whether enterprise contract values are reachable</w:t>
            </w:r>
          </w:p>
        </w:tc>
      </w:tr>
      <w:tr>
        <w:tc>
          <w:tcPr/>
          <w:p>
            <w:pPr>
              <w:pStyle w:val="Compact"/>
              <w:jc w:val="left"/>
            </w:pPr>
            <w:r>
              <w:rPr>
                <w:rStyle w:val="VerbatimChar"/>
              </w:rPr>
              <w:t xml:space="preserve">EV-37</w:t>
            </w:r>
          </w:p>
        </w:tc>
        <w:tc>
          <w:tcPr/>
          <w:p>
            <w:pPr>
              <w:pStyle w:val="Compact"/>
              <w:jc w:val="left"/>
            </w:pPr>
            <w:r>
              <w:t xml:space="preserve">Whether a veterinary-specific localisation quota exists or is planned</w:t>
            </w:r>
          </w:p>
        </w:tc>
        <w:tc>
          <w:tcPr/>
          <w:p>
            <w:pPr>
              <w:pStyle w:val="Compact"/>
              <w:jc w:val="left"/>
            </w:pPr>
            <w:r>
              <w:t xml:space="preserve">§S9.7 value hypothesis</w:t>
            </w:r>
          </w:p>
        </w:tc>
      </w:tr>
      <w:tr>
        <w:tc>
          <w:tcPr/>
          <w:p>
            <w:pPr>
              <w:pStyle w:val="Compact"/>
              <w:jc w:val="left"/>
            </w:pPr>
            <w:r>
              <w:rPr>
                <w:rStyle w:val="VerbatimChar"/>
              </w:rPr>
              <w:t xml:space="preserve">EV-38</w:t>
            </w:r>
          </w:p>
        </w:tc>
        <w:tc>
          <w:tcPr/>
          <w:p>
            <w:pPr>
              <w:pStyle w:val="Compact"/>
              <w:jc w:val="left"/>
            </w:pPr>
            <w:r>
              <w:t xml:space="preserve">Pet insurance: underwriter, premiums, in-force volume, clinic-network terms</w:t>
            </w:r>
          </w:p>
        </w:tc>
        <w:tc>
          <w:tcPr/>
          <w:p>
            <w:pPr>
              <w:pStyle w:val="Compact"/>
              <w:jc w:val="left"/>
            </w:pPr>
            <w:r>
              <w:t xml:space="preserve">§S9.8</w:t>
            </w:r>
          </w:p>
        </w:tc>
      </w:tr>
      <w:tr>
        <w:tc>
          <w:tcPr/>
          <w:p>
            <w:pPr>
              <w:pStyle w:val="Compact"/>
              <w:jc w:val="left"/>
            </w:pPr>
            <w:r>
              <w:rPr>
                <w:rStyle w:val="VerbatimChar"/>
              </w:rPr>
              <w:t xml:space="preserve">EV-39</w:t>
            </w:r>
          </w:p>
        </w:tc>
        <w:tc>
          <w:tcPr/>
          <w:p>
            <w:pPr>
              <w:pStyle w:val="Compact"/>
              <w:jc w:val="left"/>
            </w:pPr>
            <w:r>
              <w:t xml:space="preserve">Saudi Pet &amp; Veterinary Expo visitor composition</w:t>
            </w:r>
          </w:p>
        </w:tc>
        <w:tc>
          <w:tcPr/>
          <w:p>
            <w:pPr>
              <w:pStyle w:val="Compact"/>
              <w:jc w:val="left"/>
            </w:pPr>
            <w:r>
              <w:t xml:space="preserve">§S9.6 budget decision</w:t>
            </w:r>
          </w:p>
        </w:tc>
      </w:tr>
      <w:tr>
        <w:tc>
          <w:tcPr/>
          <w:p>
            <w:pPr>
              <w:pStyle w:val="Compact"/>
              <w:jc w:val="left"/>
            </w:pPr>
            <w:r>
              <w:rPr>
                <w:rStyle w:val="VerbatimChar"/>
              </w:rPr>
              <w:t xml:space="preserve">EV-40</w:t>
            </w:r>
          </w:p>
        </w:tc>
        <w:tc>
          <w:tcPr/>
          <w:p>
            <w:pPr>
              <w:pStyle w:val="Compact"/>
              <w:jc w:val="left"/>
            </w:pPr>
            <w:r>
              <w:t xml:space="preserve">Arabic and code-switched medical dictation accuracy; Arabic handwriting OCR viability; barcode prevalence on Gulf veterinary packaging; connectivity reliability in target clinic locations; nationality mix of companion-animal vets</w:t>
            </w:r>
          </w:p>
        </w:tc>
        <w:tc>
          <w:tcPr/>
          <w:p>
            <w:pPr>
              <w:pStyle w:val="Compact"/>
              <w:jc w:val="left"/>
            </w:pPr>
            <w:r>
              <w:rPr>
                <w:rStyle w:val="VerbatimChar"/>
              </w:rPr>
              <w:t xml:space="preserve">X-075</w:t>
            </w:r>
            <w:r>
              <w:t xml:space="preserve">,</w:t>
            </w:r>
            <w:r>
              <w:t xml:space="preserve"> </w:t>
            </w:r>
            <w:r>
              <w:rPr>
                <w:rStyle w:val="VerbatimChar"/>
              </w:rPr>
              <w:t xml:space="preserve">X-090</w:t>
            </w:r>
            <w:r>
              <w:t xml:space="preserve">,</w:t>
            </w:r>
            <w:r>
              <w:t xml:space="preserve"> </w:t>
            </w:r>
            <w:r>
              <w:rPr>
                <w:rStyle w:val="VerbatimChar"/>
              </w:rPr>
              <w:t xml:space="preserve">E-103</w:t>
            </w:r>
            <w:r>
              <w:t xml:space="preserve">, §S4.7 sizing, persona research</w:t>
            </w:r>
          </w:p>
        </w:tc>
      </w:tr>
    </w:tbl>
    <w:p>
      <w:r>
        <w:pict>
          <v:rect style="width:0;height:1.5pt" o:hralign="center" o:hrstd="t" o:hr="t"/>
        </w:pict>
      </w:r>
    </w:p>
    <w:bookmarkEnd w:id="155"/>
    <w:bookmarkEnd w:id="156"/>
    <w:bookmarkStart w:id="157" w:name="annex-c--requirement-index"/>
    <w:p>
      <w:pPr>
        <w:pStyle w:val="Heading1"/>
      </w:pPr>
      <w:r>
        <w:t xml:space="preserve">Annex C · Requirement index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Prefix</w:t>
            </w:r>
          </w:p>
        </w:tc>
        <w:tc>
          <w:tcPr/>
          <w:p>
            <w:pPr>
              <w:pStyle w:val="Compact"/>
              <w:jc w:val="left"/>
            </w:pPr>
            <w:r>
              <w:t xml:space="preserve">Domain</w:t>
            </w:r>
          </w:p>
        </w:tc>
        <w:tc>
          <w:tcPr/>
          <w:p>
            <w:pPr>
              <w:pStyle w:val="Compact"/>
              <w:jc w:val="left"/>
            </w:pPr>
            <w:r>
              <w:t xml:space="preserve">Count</w:t>
            </w:r>
          </w:p>
        </w:tc>
        <w:tc>
          <w:tcPr/>
          <w:p>
            <w:pPr>
              <w:pStyle w:val="Compact"/>
              <w:jc w:val="left"/>
            </w:pPr>
            <w:r>
              <w:t xml:space="preserve">Section</w:t>
            </w:r>
          </w:p>
        </w:tc>
      </w:tr>
      <w:tr>
        <w:tc>
          <w:tcPr/>
          <w:p>
            <w:pPr>
              <w:pStyle w:val="Compact"/>
              <w:jc w:val="left"/>
            </w:pPr>
            <w:r>
              <w:rPr>
                <w:rStyle w:val="VerbatimChar"/>
              </w:rPr>
              <w:t xml:space="preserve">P-</w:t>
            </w:r>
          </w:p>
        </w:tc>
        <w:tc>
          <w:tcPr/>
          <w:p>
            <w:pPr>
              <w:pStyle w:val="Compact"/>
              <w:jc w:val="left"/>
            </w:pPr>
            <w:r>
              <w:t xml:space="preserve">Product and scope</w:t>
            </w:r>
          </w:p>
        </w:tc>
        <w:tc>
          <w:tcPr/>
          <w:p>
            <w:pPr>
              <w:pStyle w:val="Compact"/>
              <w:jc w:val="left"/>
            </w:pPr>
            <w:r>
              <w:t xml:space="preserve">8</w:t>
            </w:r>
          </w:p>
        </w:tc>
        <w:tc>
          <w:tcPr/>
          <w:p>
            <w:pPr>
              <w:pStyle w:val="Compact"/>
              <w:jc w:val="left"/>
            </w:pPr>
            <w:r>
              <w:t xml:space="preserve">S2, S3</w:t>
            </w:r>
          </w:p>
        </w:tc>
      </w:tr>
      <w:tr>
        <w:tc>
          <w:tcPr/>
          <w:p>
            <w:pPr>
              <w:pStyle w:val="Compact"/>
              <w:jc w:val="left"/>
            </w:pPr>
            <w:r>
              <w:rPr>
                <w:rStyle w:val="VerbatimChar"/>
              </w:rPr>
              <w:t xml:space="preserve">X-</w:t>
            </w:r>
          </w:p>
        </w:tc>
        <w:tc>
          <w:tcPr/>
          <w:p>
            <w:pPr>
              <w:pStyle w:val="Compact"/>
              <w:jc w:val="left"/>
            </w:pPr>
            <w:r>
              <w:t xml:space="preserve">Experience</w:t>
            </w:r>
          </w:p>
        </w:tc>
        <w:tc>
          <w:tcPr/>
          <w:p>
            <w:pPr>
              <w:pStyle w:val="Compact"/>
              <w:jc w:val="left"/>
            </w:pPr>
            <w:r>
              <w:t xml:space="preserve">92</w:t>
            </w:r>
          </w:p>
        </w:tc>
        <w:tc>
          <w:tcPr/>
          <w:p>
            <w:pPr>
              <w:pStyle w:val="Compact"/>
              <w:jc w:val="left"/>
            </w:pPr>
            <w:r>
              <w:t xml:space="preserve">S4</w:t>
            </w:r>
          </w:p>
        </w:tc>
      </w:tr>
      <w:tr>
        <w:tc>
          <w:tcPr/>
          <w:p>
            <w:pPr>
              <w:pStyle w:val="Compact"/>
              <w:jc w:val="left"/>
            </w:pPr>
            <w:r>
              <w:rPr>
                <w:rStyle w:val="VerbatimChar"/>
              </w:rPr>
              <w:t xml:space="preserve">D-</w:t>
            </w:r>
          </w:p>
        </w:tc>
        <w:tc>
          <w:tcPr/>
          <w:p>
            <w:pPr>
              <w:pStyle w:val="Compact"/>
              <w:jc w:val="left"/>
            </w:pPr>
            <w:r>
              <w:t xml:space="preserve">Decision support</w:t>
            </w:r>
          </w:p>
        </w:tc>
        <w:tc>
          <w:tcPr/>
          <w:p>
            <w:pPr>
              <w:pStyle w:val="Compact"/>
              <w:jc w:val="left"/>
            </w:pPr>
            <w:r>
              <w:t xml:space="preserve">22 + capability specs</w:t>
            </w:r>
          </w:p>
        </w:tc>
        <w:tc>
          <w:tcPr/>
          <w:p>
            <w:pPr>
              <w:pStyle w:val="Compact"/>
              <w:jc w:val="left"/>
            </w:pPr>
            <w:r>
              <w:t xml:space="preserve">S5</w:t>
            </w:r>
          </w:p>
        </w:tc>
      </w:tr>
      <w:tr>
        <w:tc>
          <w:tcPr/>
          <w:p>
            <w:pPr>
              <w:pStyle w:val="Compact"/>
              <w:jc w:val="left"/>
            </w:pPr>
            <w:r>
              <w:rPr>
                <w:rStyle w:val="VerbatimChar"/>
              </w:rPr>
              <w:t xml:space="preserve">R-</w:t>
            </w:r>
          </w:p>
        </w:tc>
        <w:tc>
          <w:tcPr/>
          <w:p>
            <w:pPr>
              <w:pStyle w:val="Compact"/>
              <w:jc w:val="left"/>
            </w:pPr>
            <w:r>
              <w:t xml:space="preserve">Regulatory</w:t>
            </w:r>
          </w:p>
        </w:tc>
        <w:tc>
          <w:tcPr/>
          <w:p>
            <w:pPr>
              <w:pStyle w:val="Compact"/>
              <w:jc w:val="left"/>
            </w:pPr>
            <w:r>
              <w:t xml:space="preserve">33 + 5 posture rules</w:t>
            </w:r>
          </w:p>
        </w:tc>
        <w:tc>
          <w:tcPr/>
          <w:p>
            <w:pPr>
              <w:pStyle w:val="Compact"/>
              <w:jc w:val="left"/>
            </w:pPr>
            <w:r>
              <w:t xml:space="preserve">S6</w:t>
            </w:r>
          </w:p>
        </w:tc>
      </w:tr>
      <w:tr>
        <w:tc>
          <w:tcPr/>
          <w:p>
            <w:pPr>
              <w:pStyle w:val="Compact"/>
              <w:jc w:val="left"/>
            </w:pPr>
            <w:r>
              <w:rPr>
                <w:rStyle w:val="VerbatimChar"/>
              </w:rPr>
              <w:t xml:space="preserve">M-</w:t>
            </w:r>
          </w:p>
        </w:tc>
        <w:tc>
          <w:tcPr/>
          <w:p>
            <w:pPr>
              <w:pStyle w:val="Compact"/>
              <w:jc w:val="left"/>
            </w:pPr>
            <w:r>
              <w:t xml:space="preserve">Data model</w:t>
            </w:r>
          </w:p>
        </w:tc>
        <w:tc>
          <w:tcPr/>
          <w:p>
            <w:pPr>
              <w:pStyle w:val="Compact"/>
              <w:jc w:val="left"/>
            </w:pPr>
            <w:r>
              <w:t xml:space="preserve">18</w:t>
            </w:r>
          </w:p>
        </w:tc>
        <w:tc>
          <w:tcPr/>
          <w:p>
            <w:pPr>
              <w:pStyle w:val="Compact"/>
              <w:jc w:val="left"/>
            </w:pPr>
            <w:r>
              <w:t xml:space="preserve">S7</w:t>
            </w:r>
          </w:p>
        </w:tc>
      </w:tr>
      <w:tr>
        <w:tc>
          <w:tcPr/>
          <w:p>
            <w:pPr>
              <w:pStyle w:val="Compact"/>
              <w:jc w:val="left"/>
            </w:pPr>
            <w:r>
              <w:rPr>
                <w:rStyle w:val="VerbatimChar"/>
              </w:rPr>
              <w:t xml:space="preserve">E-</w:t>
            </w:r>
          </w:p>
        </w:tc>
        <w:tc>
          <w:tcPr/>
          <w:p>
            <w:pPr>
              <w:pStyle w:val="Compact"/>
              <w:jc w:val="left"/>
            </w:pPr>
            <w:r>
              <w:t xml:space="preserve">Engineering and integration</w:t>
            </w:r>
          </w:p>
        </w:tc>
        <w:tc>
          <w:tcPr/>
          <w:p>
            <w:pPr>
              <w:pStyle w:val="Compact"/>
              <w:jc w:val="left"/>
            </w:pPr>
            <w:r>
              <w:t xml:space="preserve">21 + 12 integration contracts</w:t>
            </w:r>
          </w:p>
        </w:tc>
        <w:tc>
          <w:tcPr/>
          <w:p>
            <w:pPr>
              <w:pStyle w:val="Compact"/>
              <w:jc w:val="left"/>
            </w:pPr>
            <w:r>
              <w:t xml:space="preserve">S8</w:t>
            </w:r>
          </w:p>
        </w:tc>
      </w:tr>
      <w:tr>
        <w:tc>
          <w:tcPr/>
          <w:p>
            <w:pPr>
              <w:pStyle w:val="Compact"/>
              <w:jc w:val="left"/>
            </w:pPr>
            <w:r>
              <w:rPr>
                <w:rStyle w:val="VerbatimChar"/>
              </w:rPr>
              <w:t xml:space="preserve">C-</w:t>
            </w:r>
          </w:p>
        </w:tc>
        <w:tc>
          <w:tcPr/>
          <w:p>
            <w:pPr>
              <w:pStyle w:val="Compact"/>
              <w:jc w:val="left"/>
            </w:pPr>
            <w:r>
              <w:t xml:space="preserve">Commercial</w:t>
            </w:r>
          </w:p>
        </w:tc>
        <w:tc>
          <w:tcPr/>
          <w:p>
            <w:pPr>
              <w:pStyle w:val="Compact"/>
              <w:jc w:val="left"/>
            </w:pPr>
            <w:r>
              <w:t xml:space="preserve">10</w:t>
            </w:r>
          </w:p>
        </w:tc>
        <w:tc>
          <w:tcPr/>
          <w:p>
            <w:pPr>
              <w:pStyle w:val="Compact"/>
              <w:jc w:val="left"/>
            </w:pPr>
            <w:r>
              <w:t xml:space="preserve">S9</w:t>
            </w:r>
          </w:p>
        </w:tc>
      </w:tr>
      <w:tr>
        <w:tc>
          <w:tcPr/>
          <w:p>
            <w:pPr>
              <w:pStyle w:val="Compact"/>
              <w:jc w:val="left"/>
            </w:pPr>
            <w:r>
              <w:rPr>
                <w:rStyle w:val="VerbatimChar"/>
              </w:rPr>
              <w:t xml:space="preserve">N-</w:t>
            </w:r>
          </w:p>
        </w:tc>
        <w:tc>
          <w:tcPr/>
          <w:p>
            <w:pPr>
              <w:pStyle w:val="Compact"/>
              <w:jc w:val="left"/>
            </w:pPr>
            <w:r>
              <w:t xml:space="preserve">Non-functional</w:t>
            </w:r>
          </w:p>
        </w:tc>
        <w:tc>
          <w:tcPr/>
          <w:p>
            <w:pPr>
              <w:pStyle w:val="Compact"/>
              <w:jc w:val="left"/>
            </w:pPr>
            <w:r>
              <w:t xml:space="preserve">15</w:t>
            </w:r>
          </w:p>
        </w:tc>
        <w:tc>
          <w:tcPr/>
          <w:p>
            <w:pPr>
              <w:pStyle w:val="Compact"/>
              <w:jc w:val="left"/>
            </w:pPr>
            <w:r>
              <w:t xml:space="preserve">S8.7</w:t>
            </w:r>
          </w:p>
        </w:tc>
      </w:tr>
      <w:tr>
        <w:tc>
          <w:tcPr/>
          <w:p>
            <w:pPr>
              <w:pStyle w:val="Compact"/>
              <w:jc w:val="left"/>
            </w:pPr>
            <w:r>
              <w:rPr>
                <w:rStyle w:val="VerbatimChar"/>
              </w:rPr>
              <w:t xml:space="preserve">A-</w:t>
            </w:r>
          </w:p>
        </w:tc>
        <w:tc>
          <w:tcPr/>
          <w:p>
            <w:pPr>
              <w:pStyle w:val="Compact"/>
              <w:jc w:val="left"/>
            </w:pPr>
            <w:r>
              <w:t xml:space="preserve">Acceptance and ratification</w:t>
            </w:r>
          </w:p>
        </w:tc>
        <w:tc>
          <w:tcPr/>
          <w:p>
            <w:pPr>
              <w:pStyle w:val="Compact"/>
              <w:jc w:val="left"/>
            </w:pPr>
            <w:r>
              <w:t xml:space="preserve">10 + 37 P0 criteria</w:t>
            </w:r>
          </w:p>
        </w:tc>
        <w:tc>
          <w:tcPr/>
          <w:p>
            <w:pPr>
              <w:pStyle w:val="Compact"/>
              <w:jc w:val="left"/>
            </w:pPr>
            <w:r>
              <w:t xml:space="preserve">S10</w:t>
            </w:r>
          </w:p>
        </w:tc>
      </w:tr>
    </w:tbl>
    <w:p>
      <w:r>
        <w:pict>
          <v:rect style="width:0;height:1.5pt" o:hralign="center" o:hrstd="t" o:hr="t"/>
        </w:pict>
      </w:r>
    </w:p>
    <w:p>
      <w:pPr>
        <w:pStyle w:val="FirstParagraph"/>
      </w:pPr>
      <w:r>
        <w:rPr>
          <w:iCs/>
          <w:i/>
        </w:rPr>
        <w:t xml:space="preserve">MVC-BRD-001 V3.0 · DRAFT · Non-authorising · Authorises no build · Not for ratification until preconditions P1–P3 are discharged · No register state changed in its production.</w:t>
      </w:r>
    </w:p>
    <w:bookmarkEnd w:id="1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2026-08-28T12:07:30Z</dcterms:created>
  <dcterms:modified xsi:type="dcterms:W3CDTF">2026-08-28T12:07:30Z</dcterms:modified>
</cp:coreProperties>
</file>

<file path=docProps/custom.xml><?xml version="1.0" encoding="utf-8"?>
<Properties xmlns="http://schemas.openxmlformats.org/officeDocument/2006/custom-properties" xmlns:vt="http://schemas.openxmlformats.org/officeDocument/2006/docPropsVTypes"/>
</file>