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372E" w14:textId="77777777" w:rsidR="002A4D37" w:rsidRDefault="00000000">
      <w:pPr>
        <w:pStyle w:val="Title"/>
      </w:pPr>
      <w:r>
        <w:t>PetCare KSA Platform</w:t>
      </w:r>
      <w:r>
        <w:br/>
        <w:t>Business Requirements Document (BRD) v1.1</w:t>
      </w:r>
    </w:p>
    <w:p w14:paraId="4473A1CC" w14:textId="77777777" w:rsidR="002A4D37" w:rsidRDefault="00000000">
      <w:r>
        <w:t>World-Class, AI-Native Integrated Veterinary Health Ecosystem</w:t>
      </w:r>
    </w:p>
    <w:p w14:paraId="2312F0E5" w14:textId="77777777" w:rsidR="002A4D37" w:rsidRDefault="00000000">
      <w:r>
        <w:t>Status: Board-Ready / Regulator-Ready</w:t>
      </w:r>
    </w:p>
    <w:p w14:paraId="28B0363E" w14:textId="77777777" w:rsidR="002A4D37" w:rsidRDefault="00000000">
      <w:r>
        <w:t>Version: 1.1</w:t>
      </w:r>
    </w:p>
    <w:p w14:paraId="0B1DB315" w14:textId="77777777" w:rsidR="002A4D37" w:rsidRDefault="00000000">
      <w:r>
        <w:t>Date: January 2026</w:t>
      </w:r>
    </w:p>
    <w:p w14:paraId="0D6BD5D8" w14:textId="77777777" w:rsidR="002A4D37" w:rsidRDefault="00000000">
      <w:r>
        <w:br w:type="page"/>
      </w:r>
    </w:p>
    <w:p w14:paraId="7CF76F32" w14:textId="77777777" w:rsidR="002A4D37" w:rsidRDefault="00000000">
      <w:pPr>
        <w:pStyle w:val="Heading1"/>
      </w:pPr>
      <w:r>
        <w:lastRenderedPageBreak/>
        <w:t>1. Executive Summary</w:t>
      </w:r>
    </w:p>
    <w:p w14:paraId="3B71C60E" w14:textId="77777777" w:rsidR="002A4D37" w:rsidRDefault="00000000">
      <w:r>
        <w:t>PetCare KSA is a regulated, AI-native veterinary healthcare and pharmacy ecosystem designed to unify tele-veterinary care, physical pharmacy fulfillment, emergency response, and longitudinal pet health records into a single national platform. The platform embeds artificial intelligence across clinical, operational, and governance layers while enforcing strict human-in-the-loop controls to ensure safety, compliance, and trust.</w:t>
      </w:r>
    </w:p>
    <w:p w14:paraId="16C7C85A" w14:textId="77777777" w:rsidR="002A4D37" w:rsidRDefault="00000000">
      <w:pPr>
        <w:pStyle w:val="Heading1"/>
      </w:pPr>
      <w:r>
        <w:t>2. Strategic Objectives</w:t>
      </w:r>
    </w:p>
    <w:p w14:paraId="095DE031" w14:textId="77777777" w:rsidR="002A4D37" w:rsidRDefault="00000000">
      <w:r>
        <w:t>The primary objectives of PetCare KSA are to improve clinical outcomes, expand access to veterinary care, ensure medication safety, enable scalable national operations, and establish a trusted data and AI foundation compliant with Saudi regulations.</w:t>
      </w:r>
    </w:p>
    <w:p w14:paraId="716E73D1" w14:textId="77777777" w:rsidR="002A4D37" w:rsidRDefault="00000000">
      <w:pPr>
        <w:pStyle w:val="Heading1"/>
      </w:pPr>
      <w:r>
        <w:t>3. Target Users</w:t>
      </w:r>
    </w:p>
    <w:p w14:paraId="355E05B9" w14:textId="77777777" w:rsidR="002A4D37" w:rsidRDefault="00000000">
      <w:r>
        <w:t>Primary users include pet owners, licensed veterinarians, and pharmacy operators. Secondary users include emergency clinics, insurance providers, and ecosystem partners.</w:t>
      </w:r>
    </w:p>
    <w:p w14:paraId="730E5A27" w14:textId="77777777" w:rsidR="002A4D37" w:rsidRDefault="00000000">
      <w:pPr>
        <w:pStyle w:val="Heading1"/>
      </w:pPr>
      <w:r>
        <w:t>4. Core Functional Domains</w:t>
      </w:r>
    </w:p>
    <w:p w14:paraId="08A5831B" w14:textId="77777777" w:rsidR="002A4D37" w:rsidRDefault="00000000">
      <w:pPr>
        <w:pStyle w:val="Heading2"/>
      </w:pPr>
      <w:r>
        <w:t>4.1 Unified Pet Health Record (UPHR)</w:t>
      </w:r>
    </w:p>
    <w:p w14:paraId="50A35CE1" w14:textId="77777777" w:rsidR="002A4D37" w:rsidRDefault="00000000">
      <w:r>
        <w:t>A longitudinal, species-specific electronic health record capturing medical history, consultations, medications, vaccinations, laboratory results, and emergency events. All data changes are auditable and governed by owner consent.</w:t>
      </w:r>
    </w:p>
    <w:p w14:paraId="262EF4D0" w14:textId="77777777" w:rsidR="002A4D37" w:rsidRDefault="00000000">
      <w:pPr>
        <w:pStyle w:val="Heading2"/>
      </w:pPr>
      <w:r>
        <w:t>4.2 Tele-Veterinary Care</w:t>
      </w:r>
    </w:p>
    <w:p w14:paraId="72729791" w14:textId="77777777" w:rsidR="002A4D37" w:rsidRDefault="00000000">
      <w:r>
        <w:t>Tele-veterinary services provide AI-assisted intake and vet-led consultations. AI supports documentation and triage but does not replace clinical decision-making. Escalation to emergency or physical care is mandatory when protocols indicate.</w:t>
      </w:r>
    </w:p>
    <w:p w14:paraId="312D84DF" w14:textId="77777777" w:rsidR="002A4D37" w:rsidRDefault="00000000">
      <w:pPr>
        <w:pStyle w:val="Heading2"/>
      </w:pPr>
      <w:r>
        <w:t>4.3 Pharmacy &amp; Medication Lifecycle</w:t>
      </w:r>
    </w:p>
    <w:p w14:paraId="3A4F27C5" w14:textId="77777777" w:rsidR="002A4D37" w:rsidRDefault="00000000">
      <w:r>
        <w:t>End-to-end medication management including prescription validation, safety checks, inventory control, cold-chain monitoring, recalls, and compounding workflows.</w:t>
      </w:r>
    </w:p>
    <w:p w14:paraId="09B5725B" w14:textId="77777777" w:rsidR="002A4D37" w:rsidRDefault="00000000">
      <w:pPr>
        <w:pStyle w:val="Heading2"/>
      </w:pPr>
      <w:r>
        <w:t>4.4 Emergency Care Network</w:t>
      </w:r>
    </w:p>
    <w:p w14:paraId="10F0D2F8" w14:textId="77777777" w:rsidR="002A4D37" w:rsidRDefault="00000000">
      <w:r>
        <w:t>Real-time integration with emergency clinics, including availability tracking, triage categorization, pre-arrival medical summaries, and post-event continuity plans.</w:t>
      </w:r>
    </w:p>
    <w:p w14:paraId="01DA39A2" w14:textId="77777777" w:rsidR="002A4D37" w:rsidRDefault="00000000">
      <w:pPr>
        <w:pStyle w:val="Heading2"/>
      </w:pPr>
      <w:r>
        <w:t>4.5 Partner Network Platform</w:t>
      </w:r>
    </w:p>
    <w:p w14:paraId="2BE19E8B" w14:textId="77777777" w:rsidR="002A4D37" w:rsidRDefault="00000000">
      <w:r>
        <w:t>A B2B platform for onboarding veterinary clinics and pharmacies, managing licenses, SLAs, performance scorecards, settlements, and disputes.</w:t>
      </w:r>
    </w:p>
    <w:p w14:paraId="098C182A" w14:textId="77777777" w:rsidR="002A4D37" w:rsidRDefault="00000000">
      <w:pPr>
        <w:pStyle w:val="Heading1"/>
      </w:pPr>
      <w:r>
        <w:lastRenderedPageBreak/>
        <w:t>5. AI Architecture &amp; Capabilities</w:t>
      </w:r>
    </w:p>
    <w:p w14:paraId="5E87A952" w14:textId="77777777" w:rsidR="002A4D37" w:rsidRDefault="00000000">
      <w:r>
        <w:t>Artificial intelligence is embedded across the platform to enhance care quality, operational efficiency, and decision support while remaining fully explainable, auditable, and governed.</w:t>
      </w:r>
    </w:p>
    <w:p w14:paraId="1577931F" w14:textId="77777777" w:rsidR="002A4D37" w:rsidRDefault="00000000">
      <w:pPr>
        <w:pStyle w:val="Heading1"/>
      </w:pPr>
      <w:r>
        <w:t>6. AI Governance &amp; Safety</w:t>
      </w:r>
    </w:p>
    <w:p w14:paraId="2753C80E" w14:textId="77777777" w:rsidR="002A4D37" w:rsidRDefault="00000000">
      <w:r>
        <w:t>All AI outputs are subject to human review. Model behavior is monitored for drift, bias, and safety. Full prompt and output logs are maintained in compliance with privacy regulations.</w:t>
      </w:r>
    </w:p>
    <w:p w14:paraId="542E98FA" w14:textId="77777777" w:rsidR="002A4D37" w:rsidRDefault="00000000">
      <w:pPr>
        <w:pStyle w:val="Heading1"/>
      </w:pPr>
      <w:r>
        <w:t>7. Clinical Governance &amp; Safety</w:t>
      </w:r>
    </w:p>
    <w:p w14:paraId="1AAF8B22" w14:textId="77777777" w:rsidR="002A4D37" w:rsidRDefault="00000000">
      <w:r>
        <w:t>Clinical governance ensures adherence to standardized protocols, adverse event reporting, peer review, quality assurance audits, and mandatory escalation rules.</w:t>
      </w:r>
    </w:p>
    <w:p w14:paraId="5B7968CC" w14:textId="77777777" w:rsidR="002A4D37" w:rsidRDefault="00000000">
      <w:pPr>
        <w:pStyle w:val="Heading1"/>
      </w:pPr>
      <w:r>
        <w:t>8. Compliance &amp; Regulatory Alignment</w:t>
      </w:r>
    </w:p>
    <w:p w14:paraId="5BB644F5" w14:textId="77777777" w:rsidR="002A4D37" w:rsidRDefault="00000000">
      <w:r>
        <w:t>The platform complies with Saudi PDPL, SFDA pharmaceutical regulations, telemedicine practice requirements, and national data residency mandates.</w:t>
      </w:r>
    </w:p>
    <w:p w14:paraId="7A804597" w14:textId="77777777" w:rsidR="002A4D37" w:rsidRDefault="00000000">
      <w:pPr>
        <w:pStyle w:val="Heading1"/>
      </w:pPr>
      <w:r>
        <w:t>9. Non-Functional Requirements</w:t>
      </w:r>
    </w:p>
    <w:p w14:paraId="25FAA2D9" w14:textId="77777777" w:rsidR="002A4D37" w:rsidRDefault="00000000">
      <w:r>
        <w:t>Key non-functional requirements include high availability, security, auditability, performance, scalability, and AI safety.</w:t>
      </w:r>
    </w:p>
    <w:p w14:paraId="1B463560" w14:textId="77777777" w:rsidR="002A4D37" w:rsidRDefault="00000000">
      <w:pPr>
        <w:pStyle w:val="Heading1"/>
      </w:pPr>
      <w:r>
        <w:t>10. KPIs &amp; Success Metrics</w:t>
      </w:r>
    </w:p>
    <w:p w14:paraId="6F7A75D8" w14:textId="77777777" w:rsidR="002A4D37" w:rsidRDefault="00000000">
      <w:r>
        <w:t>Success is measured through clinical outcomes, SLA adherence, medication safety, user adoption, AI quality signals, and financial performance.</w:t>
      </w:r>
    </w:p>
    <w:p w14:paraId="4807D4BB" w14:textId="77777777" w:rsidR="002A4D37" w:rsidRDefault="00000000">
      <w:pPr>
        <w:pStyle w:val="Heading1"/>
      </w:pPr>
      <w:r>
        <w:t>11. Delivery Roadmap</w:t>
      </w:r>
    </w:p>
    <w:p w14:paraId="6F78EE1C" w14:textId="77777777" w:rsidR="002A4D37" w:rsidRDefault="00000000">
      <w:r>
        <w:t>The roadmap is phased into Foundation, Optimization, and Ecosystem Expansion stages to ensure controlled, compliant growth.</w:t>
      </w:r>
    </w:p>
    <w:sectPr w:rsidR="002A4D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983456">
    <w:abstractNumId w:val="8"/>
  </w:num>
  <w:num w:numId="2" w16cid:durableId="1465082722">
    <w:abstractNumId w:val="6"/>
  </w:num>
  <w:num w:numId="3" w16cid:durableId="1294873234">
    <w:abstractNumId w:val="5"/>
  </w:num>
  <w:num w:numId="4" w16cid:durableId="24212619">
    <w:abstractNumId w:val="4"/>
  </w:num>
  <w:num w:numId="5" w16cid:durableId="1353068053">
    <w:abstractNumId w:val="7"/>
  </w:num>
  <w:num w:numId="6" w16cid:durableId="1957442656">
    <w:abstractNumId w:val="3"/>
  </w:num>
  <w:num w:numId="7" w16cid:durableId="123693976">
    <w:abstractNumId w:val="2"/>
  </w:num>
  <w:num w:numId="8" w16cid:durableId="1313832249">
    <w:abstractNumId w:val="1"/>
  </w:num>
  <w:num w:numId="9" w16cid:durableId="205549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580"/>
    <w:rsid w:val="0029639D"/>
    <w:rsid w:val="002A4D37"/>
    <w:rsid w:val="00326F90"/>
    <w:rsid w:val="00910F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F0645"/>
  <w14:defaultImageDpi w14:val="300"/>
  <w15:docId w15:val="{10C6E9A3-9486-614D-8B00-CF6B7EE7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Waheeb Mahmoud</cp:lastModifiedBy>
  <cp:revision>2</cp:revision>
  <dcterms:created xsi:type="dcterms:W3CDTF">2026-01-16T12:41:00Z</dcterms:created>
  <dcterms:modified xsi:type="dcterms:W3CDTF">2026-01-16T12:41:00Z</dcterms:modified>
  <cp:category/>
</cp:coreProperties>
</file>