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090D" w14:textId="77777777" w:rsidR="00F24A2D" w:rsidRDefault="00000000">
      <w:pPr>
        <w:pStyle w:val="Title"/>
      </w:pPr>
      <w:r>
        <w:t>PetCare KSA — Vendor &amp; System Integrator Enablement Pack (RFP-Ready) v1.0</w:t>
      </w:r>
    </w:p>
    <w:p w14:paraId="28C10D4B" w14:textId="77777777" w:rsidR="00F24A2D" w:rsidRDefault="00000000">
      <w:r>
        <w:t>Defines build vs buy, deliverables, responsibilities, acceptance, and governance | Date: January 2026</w:t>
      </w:r>
    </w:p>
    <w:p w14:paraId="1127BA5C" w14:textId="77777777" w:rsidR="00F24A2D" w:rsidRDefault="00000000">
      <w:r>
        <w:br w:type="page"/>
      </w:r>
    </w:p>
    <w:p w14:paraId="3C25132B" w14:textId="77777777" w:rsidR="00F24A2D" w:rsidRDefault="00000000">
      <w:pPr>
        <w:pStyle w:val="Heading1"/>
      </w:pPr>
      <w:r>
        <w:lastRenderedPageBreak/>
        <w:t>1. Scope Summary</w:t>
      </w:r>
    </w:p>
    <w:p w14:paraId="755D37DA" w14:textId="77777777" w:rsidR="00F24A2D" w:rsidRDefault="00000000">
      <w:r>
        <w:t>This pack defines the scope for vendors/system integrators supporting PetCare KSA. It clarifies what is expected to be built internally versus delivered by partners, including AI and B2B marketplace integration capabilities.</w:t>
      </w:r>
    </w:p>
    <w:p w14:paraId="1434A13B" w14:textId="77777777" w:rsidR="00F24A2D" w:rsidRDefault="00000000">
      <w:pPr>
        <w:pStyle w:val="Heading1"/>
      </w:pPr>
      <w:r>
        <w:t>2. Delivery Model (Build vs Buy)</w:t>
      </w:r>
    </w:p>
    <w:p w14:paraId="421A11CD" w14:textId="77777777" w:rsidR="00F24A2D" w:rsidRDefault="00000000">
      <w:r>
        <w:t>Recommended allocation: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4A2D" w14:paraId="1B41C5FE" w14:textId="77777777">
        <w:tc>
          <w:tcPr>
            <w:tcW w:w="4320" w:type="dxa"/>
          </w:tcPr>
          <w:p w14:paraId="7D29B63E" w14:textId="77777777" w:rsidR="00F24A2D" w:rsidRDefault="00000000">
            <w:r>
              <w:t>Item</w:t>
            </w:r>
          </w:p>
        </w:tc>
        <w:tc>
          <w:tcPr>
            <w:tcW w:w="4320" w:type="dxa"/>
          </w:tcPr>
          <w:p w14:paraId="44416162" w14:textId="77777777" w:rsidR="00F24A2D" w:rsidRDefault="00000000">
            <w:r>
              <w:t>Detail</w:t>
            </w:r>
          </w:p>
        </w:tc>
      </w:tr>
      <w:tr w:rsidR="00F24A2D" w14:paraId="08D78298" w14:textId="77777777">
        <w:tc>
          <w:tcPr>
            <w:tcW w:w="4320" w:type="dxa"/>
          </w:tcPr>
          <w:p w14:paraId="45556F80" w14:textId="77777777" w:rsidR="00F24A2D" w:rsidRDefault="00000000">
            <w:r>
              <w:t>Build (Core IP)</w:t>
            </w:r>
          </w:p>
        </w:tc>
        <w:tc>
          <w:tcPr>
            <w:tcW w:w="4320" w:type="dxa"/>
          </w:tcPr>
          <w:p w14:paraId="79A34D40" w14:textId="77777777" w:rsidR="00F24A2D" w:rsidRDefault="00000000">
            <w:r>
              <w:t>UPHR, clinical workflows, medication safety engine, AI governance layer, partner SLAs/settlement logic</w:t>
            </w:r>
          </w:p>
        </w:tc>
      </w:tr>
      <w:tr w:rsidR="00F24A2D" w14:paraId="65408C22" w14:textId="77777777">
        <w:tc>
          <w:tcPr>
            <w:tcW w:w="4320" w:type="dxa"/>
          </w:tcPr>
          <w:p w14:paraId="4EB9BBE3" w14:textId="77777777" w:rsidR="00F24A2D" w:rsidRDefault="00000000">
            <w:r>
              <w:t>Buy/Partner</w:t>
            </w:r>
          </w:p>
        </w:tc>
        <w:tc>
          <w:tcPr>
            <w:tcW w:w="4320" w:type="dxa"/>
          </w:tcPr>
          <w:p w14:paraId="4669D5EC" w14:textId="77777777" w:rsidR="00F24A2D" w:rsidRDefault="00000000">
            <w:r>
              <w:t>Telecom/video SDK, e-signature (if needed), logistics integrations, analytics tooling, security monitoring</w:t>
            </w:r>
          </w:p>
        </w:tc>
      </w:tr>
      <w:tr w:rsidR="00F24A2D" w14:paraId="49500CE3" w14:textId="77777777">
        <w:tc>
          <w:tcPr>
            <w:tcW w:w="4320" w:type="dxa"/>
          </w:tcPr>
          <w:p w14:paraId="784CE68A" w14:textId="77777777" w:rsidR="00F24A2D" w:rsidRDefault="00000000">
            <w:r>
              <w:t>Hybrid</w:t>
            </w:r>
          </w:p>
        </w:tc>
        <w:tc>
          <w:tcPr>
            <w:tcW w:w="4320" w:type="dxa"/>
          </w:tcPr>
          <w:p w14:paraId="39353571" w14:textId="77777777" w:rsidR="00F24A2D" w:rsidRDefault="00000000">
            <w:r>
              <w:t>AI models (foundation models) + proprietary prompts/evaluations; partner marketplace adapters</w:t>
            </w:r>
          </w:p>
        </w:tc>
      </w:tr>
    </w:tbl>
    <w:p w14:paraId="1F0B3C54" w14:textId="77777777" w:rsidR="00F24A2D" w:rsidRDefault="00000000">
      <w:pPr>
        <w:pStyle w:val="Heading1"/>
      </w:pPr>
      <w:r>
        <w:t>3. Vendor Work Packages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4A2D" w14:paraId="4648C499" w14:textId="77777777">
        <w:tc>
          <w:tcPr>
            <w:tcW w:w="4320" w:type="dxa"/>
          </w:tcPr>
          <w:p w14:paraId="0D163085" w14:textId="77777777" w:rsidR="00F24A2D" w:rsidRDefault="00000000">
            <w:r>
              <w:t>Item</w:t>
            </w:r>
          </w:p>
        </w:tc>
        <w:tc>
          <w:tcPr>
            <w:tcW w:w="4320" w:type="dxa"/>
          </w:tcPr>
          <w:p w14:paraId="2750152A" w14:textId="77777777" w:rsidR="00F24A2D" w:rsidRDefault="00000000">
            <w:r>
              <w:t>Detail</w:t>
            </w:r>
          </w:p>
        </w:tc>
      </w:tr>
      <w:tr w:rsidR="00F24A2D" w14:paraId="41015E1C" w14:textId="77777777">
        <w:tc>
          <w:tcPr>
            <w:tcW w:w="4320" w:type="dxa"/>
          </w:tcPr>
          <w:p w14:paraId="70AB0156" w14:textId="77777777" w:rsidR="00F24A2D" w:rsidRDefault="00000000">
            <w:r>
              <w:t>WP-01 Mobile Apps</w:t>
            </w:r>
          </w:p>
        </w:tc>
        <w:tc>
          <w:tcPr>
            <w:tcW w:w="4320" w:type="dxa"/>
          </w:tcPr>
          <w:p w14:paraId="6B5F45B0" w14:textId="77777777" w:rsidR="00F24A2D" w:rsidRDefault="00000000">
            <w:r>
              <w:t>Owner app, Vet app, Pharmacy ops mobile flows; localization; accessibility</w:t>
            </w:r>
          </w:p>
        </w:tc>
      </w:tr>
      <w:tr w:rsidR="00F24A2D" w14:paraId="54D367B1" w14:textId="77777777">
        <w:tc>
          <w:tcPr>
            <w:tcW w:w="4320" w:type="dxa"/>
          </w:tcPr>
          <w:p w14:paraId="6C8424AC" w14:textId="77777777" w:rsidR="00F24A2D" w:rsidRDefault="00000000">
            <w:r>
              <w:t>WP-02 Integration Adapters</w:t>
            </w:r>
          </w:p>
        </w:tc>
        <w:tc>
          <w:tcPr>
            <w:tcW w:w="4320" w:type="dxa"/>
          </w:tcPr>
          <w:p w14:paraId="247FC5C9" w14:textId="77777777" w:rsidR="00F24A2D" w:rsidRDefault="00000000">
            <w:r>
              <w:t>SFDA (subject to API), courier, ERP/warehouse, payments, SMS/WhatsApp</w:t>
            </w:r>
          </w:p>
        </w:tc>
      </w:tr>
      <w:tr w:rsidR="00F24A2D" w14:paraId="5267F06F" w14:textId="77777777">
        <w:tc>
          <w:tcPr>
            <w:tcW w:w="4320" w:type="dxa"/>
          </w:tcPr>
          <w:p w14:paraId="4D3DC991" w14:textId="77777777" w:rsidR="00F24A2D" w:rsidRDefault="00000000">
            <w:r>
              <w:t>WP-03 B2B Marketplace Adapter</w:t>
            </w:r>
          </w:p>
        </w:tc>
        <w:tc>
          <w:tcPr>
            <w:tcW w:w="4320" w:type="dxa"/>
          </w:tcPr>
          <w:p w14:paraId="566A9877" w14:textId="77777777" w:rsidR="00F24A2D" w:rsidRDefault="00000000">
            <w:r>
              <w:t>Catalog ingestion, order routing, settlement integration, webhooks</w:t>
            </w:r>
          </w:p>
        </w:tc>
      </w:tr>
      <w:tr w:rsidR="00F24A2D" w14:paraId="06D3F874" w14:textId="77777777">
        <w:tc>
          <w:tcPr>
            <w:tcW w:w="4320" w:type="dxa"/>
          </w:tcPr>
          <w:p w14:paraId="787FBF0B" w14:textId="77777777" w:rsidR="00F24A2D" w:rsidRDefault="00000000">
            <w:r>
              <w:t>WP-04 Observability &amp; SRE</w:t>
            </w:r>
          </w:p>
        </w:tc>
        <w:tc>
          <w:tcPr>
            <w:tcW w:w="4320" w:type="dxa"/>
          </w:tcPr>
          <w:p w14:paraId="57D0F857" w14:textId="77777777" w:rsidR="00F24A2D" w:rsidRDefault="00000000">
            <w:r>
              <w:t>SLO dashboards, alerting, tracing, incident process, on-call enablement</w:t>
            </w:r>
          </w:p>
        </w:tc>
      </w:tr>
      <w:tr w:rsidR="00F24A2D" w14:paraId="27CBACB8" w14:textId="77777777">
        <w:tc>
          <w:tcPr>
            <w:tcW w:w="4320" w:type="dxa"/>
          </w:tcPr>
          <w:p w14:paraId="0CEF1B43" w14:textId="77777777" w:rsidR="00F24A2D" w:rsidRDefault="00000000">
            <w:r>
              <w:t>WP-05 Security &amp; Compliance</w:t>
            </w:r>
          </w:p>
        </w:tc>
        <w:tc>
          <w:tcPr>
            <w:tcW w:w="4320" w:type="dxa"/>
          </w:tcPr>
          <w:p w14:paraId="4BF597C1" w14:textId="77777777" w:rsidR="00F24A2D" w:rsidRDefault="00000000">
            <w:r>
              <w:t>Threat model, pen test, PDPL controls verification, audit evidence</w:t>
            </w:r>
          </w:p>
        </w:tc>
      </w:tr>
    </w:tbl>
    <w:p w14:paraId="4BADCE02" w14:textId="77777777" w:rsidR="00F24A2D" w:rsidRDefault="00000000">
      <w:pPr>
        <w:pStyle w:val="Heading1"/>
      </w:pPr>
      <w:r>
        <w:lastRenderedPageBreak/>
        <w:t>4. AI Responsibilities &amp; Governance</w:t>
      </w:r>
    </w:p>
    <w:p w14:paraId="65C50149" w14:textId="77777777" w:rsidR="00F24A2D" w:rsidRDefault="00000000">
      <w:pPr>
        <w:pStyle w:val="ListBullet"/>
      </w:pPr>
      <w:r>
        <w:t>Vendors may propose model providers or toolchains but must integrate with platform AI governance: logging, eval, drift monitoring.</w:t>
      </w:r>
    </w:p>
    <w:p w14:paraId="51CF3033" w14:textId="77777777" w:rsidR="00F24A2D" w:rsidRDefault="00000000">
      <w:pPr>
        <w:pStyle w:val="ListBullet"/>
      </w:pPr>
      <w:r>
        <w:t>All clinical AI features require human-in-the-loop gating and safety filter enforcement.</w:t>
      </w:r>
    </w:p>
    <w:p w14:paraId="1478F6D6" w14:textId="77777777" w:rsidR="00F24A2D" w:rsidRDefault="00000000">
      <w:pPr>
        <w:pStyle w:val="ListBullet"/>
      </w:pPr>
      <w:r>
        <w:t>Deliver AI evaluation packs: test sets, baseline metrics, regression thresholds, and monitoring dashboards.</w:t>
      </w:r>
    </w:p>
    <w:p w14:paraId="7FA22F34" w14:textId="77777777" w:rsidR="00F24A2D" w:rsidRDefault="00000000">
      <w:pPr>
        <w:pStyle w:val="ListBullet"/>
      </w:pPr>
      <w:r>
        <w:t>No vendor may store KSA production PHI/PII outside approved residency without written authorization.</w:t>
      </w:r>
    </w:p>
    <w:p w14:paraId="0BF9D854" w14:textId="77777777" w:rsidR="00F24A2D" w:rsidRDefault="00000000">
      <w:pPr>
        <w:pStyle w:val="Heading1"/>
      </w:pPr>
      <w:r>
        <w:t>5. B2B Marketplace Integration Requirements</w:t>
      </w:r>
    </w:p>
    <w:p w14:paraId="0AECBA81" w14:textId="77777777" w:rsidR="00F24A2D" w:rsidRDefault="00000000">
      <w:pPr>
        <w:pStyle w:val="ListBullet"/>
      </w:pPr>
      <w:r>
        <w:t>Partner onboarding with verification and SLA configuration</w:t>
      </w:r>
    </w:p>
    <w:p w14:paraId="36BB8BE1" w14:textId="77777777" w:rsidR="00F24A2D" w:rsidRDefault="00000000">
      <w:pPr>
        <w:pStyle w:val="ListBullet"/>
      </w:pPr>
      <w:r>
        <w:t>Catalog ingestion (products/services) with normalization and validation rules</w:t>
      </w:r>
    </w:p>
    <w:p w14:paraId="53F2063C" w14:textId="77777777" w:rsidR="00F24A2D" w:rsidRDefault="00000000">
      <w:pPr>
        <w:pStyle w:val="ListBullet"/>
      </w:pPr>
      <w:r>
        <w:t>Pricing rules support (partner price, margin, promos, segmentation)</w:t>
      </w:r>
    </w:p>
    <w:p w14:paraId="06E6214A" w14:textId="77777777" w:rsidR="00F24A2D" w:rsidRDefault="00000000">
      <w:pPr>
        <w:pStyle w:val="ListBullet"/>
      </w:pPr>
      <w:r>
        <w:t>Order/Referral routing and status lifecycle</w:t>
      </w:r>
    </w:p>
    <w:p w14:paraId="4597C02A" w14:textId="77777777" w:rsidR="00F24A2D" w:rsidRDefault="00000000">
      <w:pPr>
        <w:pStyle w:val="ListBullet"/>
      </w:pPr>
      <w:r>
        <w:t>Settlement and reconciliation reports</w:t>
      </w:r>
    </w:p>
    <w:p w14:paraId="69B3F282" w14:textId="77777777" w:rsidR="00F24A2D" w:rsidRDefault="00000000">
      <w:pPr>
        <w:pStyle w:val="ListBullet"/>
      </w:pPr>
      <w:r>
        <w:t>Partner scorecards and dispute workflows</w:t>
      </w:r>
    </w:p>
    <w:p w14:paraId="376B4A9B" w14:textId="77777777" w:rsidR="00F24A2D" w:rsidRDefault="00000000">
      <w:pPr>
        <w:pStyle w:val="Heading1"/>
      </w:pPr>
      <w:r>
        <w:t>6. Acceptance Criteria &amp; Deliverables</w:t>
      </w:r>
    </w:p>
    <w:p w14:paraId="2A19ECEF" w14:textId="77777777" w:rsidR="00F24A2D" w:rsidRDefault="00000000">
      <w:r>
        <w:t>All vendor deliverables must include:</w:t>
      </w:r>
    </w:p>
    <w:p w14:paraId="3FA35162" w14:textId="77777777" w:rsidR="00F24A2D" w:rsidRDefault="00000000">
      <w:pPr>
        <w:pStyle w:val="ListBullet"/>
      </w:pPr>
      <w:r>
        <w:t>Functional completion vs FSD scope</w:t>
      </w:r>
    </w:p>
    <w:p w14:paraId="7775FE28" w14:textId="77777777" w:rsidR="00F24A2D" w:rsidRDefault="00000000">
      <w:pPr>
        <w:pStyle w:val="ListBullet"/>
      </w:pPr>
      <w:r>
        <w:t>Security testing and remediation evidence</w:t>
      </w:r>
    </w:p>
    <w:p w14:paraId="04A43168" w14:textId="77777777" w:rsidR="00F24A2D" w:rsidRDefault="00000000">
      <w:pPr>
        <w:pStyle w:val="ListBullet"/>
      </w:pPr>
      <w:r>
        <w:t>Performance testing evidence (defined targets)</w:t>
      </w:r>
    </w:p>
    <w:p w14:paraId="2A081369" w14:textId="77777777" w:rsidR="00F24A2D" w:rsidRDefault="00000000">
      <w:pPr>
        <w:pStyle w:val="ListBullet"/>
      </w:pPr>
      <w:r>
        <w:t>Documentation: runbooks, SOPs, diagrams</w:t>
      </w:r>
    </w:p>
    <w:p w14:paraId="12DD7891" w14:textId="77777777" w:rsidR="00F24A2D" w:rsidRDefault="00000000">
      <w:pPr>
        <w:pStyle w:val="ListBullet"/>
      </w:pPr>
      <w:r>
        <w:t>Handover: source code, IaC, CI/CD configs</w:t>
      </w:r>
    </w:p>
    <w:p w14:paraId="556708D9" w14:textId="77777777" w:rsidR="00F24A2D" w:rsidRDefault="00000000">
      <w:pPr>
        <w:pStyle w:val="ListBullet"/>
      </w:pPr>
      <w:r>
        <w:t>Knowledge transfer sessions and recorded walkthroughs</w:t>
      </w:r>
    </w:p>
    <w:p w14:paraId="6CCB532F" w14:textId="77777777" w:rsidR="00F24A2D" w:rsidRDefault="00000000">
      <w:pPr>
        <w:pStyle w:val="Heading1"/>
      </w:pPr>
      <w:r>
        <w:t>7. Governance &amp; Reporting</w:t>
      </w:r>
    </w:p>
    <w:p w14:paraId="4F43108F" w14:textId="77777777" w:rsidR="00F24A2D" w:rsidRDefault="00000000">
      <w:pPr>
        <w:pStyle w:val="ListBullet"/>
      </w:pPr>
      <w:r>
        <w:t>Weekly delivery checkpoint + risk register</w:t>
      </w:r>
    </w:p>
    <w:p w14:paraId="5ADF19BC" w14:textId="77777777" w:rsidR="00F24A2D" w:rsidRDefault="00000000">
      <w:pPr>
        <w:pStyle w:val="ListBullet"/>
      </w:pPr>
      <w:r>
        <w:t>Hard gate reviews: Clinical Safety, AI Governance, Regulatory/Privacy, Security, Ops Readiness</w:t>
      </w:r>
    </w:p>
    <w:p w14:paraId="3BEB2EB1" w14:textId="77777777" w:rsidR="00F24A2D" w:rsidRDefault="00000000">
      <w:pPr>
        <w:pStyle w:val="ListBullet"/>
      </w:pPr>
      <w:r>
        <w:t>Change control: scope changes require documented impact on timeline, cost, and compliance</w:t>
      </w:r>
    </w:p>
    <w:p w14:paraId="486B1DA2" w14:textId="77777777" w:rsidR="00F24A2D" w:rsidRDefault="00000000">
      <w:pPr>
        <w:pStyle w:val="ListBullet"/>
      </w:pPr>
      <w:r>
        <w:t>Evidence pack submission required before acceptance</w:t>
      </w:r>
    </w:p>
    <w:p w14:paraId="505CA7D1" w14:textId="77777777" w:rsidR="00F24A2D" w:rsidRDefault="00000000">
      <w:pPr>
        <w:pStyle w:val="Heading1"/>
      </w:pPr>
      <w:r>
        <w:t>8. Proposal Response Template (Vendor)</w:t>
      </w:r>
    </w:p>
    <w:p w14:paraId="0D9EE036" w14:textId="77777777" w:rsidR="00F24A2D" w:rsidRDefault="00000000">
      <w:r>
        <w:t>Vendors must respond with:</w:t>
      </w:r>
    </w:p>
    <w:p w14:paraId="230C1E95" w14:textId="77777777" w:rsidR="00F24A2D" w:rsidRDefault="00000000">
      <w:pPr>
        <w:pStyle w:val="ListBullet"/>
      </w:pPr>
      <w:r>
        <w:t>Company profile &amp; relevant case studies (health/telemedicine/pharmacy/logistics/AI)</w:t>
      </w:r>
    </w:p>
    <w:p w14:paraId="22FDFEFD" w14:textId="77777777" w:rsidR="00F24A2D" w:rsidRDefault="00000000">
      <w:pPr>
        <w:pStyle w:val="ListBullet"/>
      </w:pPr>
      <w:r>
        <w:lastRenderedPageBreak/>
        <w:t>Technical approach and architecture proposal</w:t>
      </w:r>
    </w:p>
    <w:p w14:paraId="052C06FB" w14:textId="77777777" w:rsidR="00F24A2D" w:rsidRDefault="00000000">
      <w:pPr>
        <w:pStyle w:val="ListBullet"/>
      </w:pPr>
      <w:r>
        <w:t>Delivery plan (milestones, staffing, timeline)</w:t>
      </w:r>
    </w:p>
    <w:p w14:paraId="05148136" w14:textId="77777777" w:rsidR="00F24A2D" w:rsidRDefault="00000000">
      <w:pPr>
        <w:pStyle w:val="ListBullet"/>
      </w:pPr>
      <w:r>
        <w:t>Security &amp; compliance approach (PDPL/data residency)</w:t>
      </w:r>
    </w:p>
    <w:p w14:paraId="7EADA6AA" w14:textId="77777777" w:rsidR="00F24A2D" w:rsidRDefault="00000000">
      <w:pPr>
        <w:pStyle w:val="ListBullet"/>
      </w:pPr>
      <w:r>
        <w:t>AI governance alignment plan</w:t>
      </w:r>
    </w:p>
    <w:p w14:paraId="66DFD4D9" w14:textId="77777777" w:rsidR="00F24A2D" w:rsidRDefault="00000000">
      <w:pPr>
        <w:pStyle w:val="ListBullet"/>
      </w:pPr>
      <w:r>
        <w:t>Commercial proposal (fixed price + T&amp;M options)</w:t>
      </w:r>
    </w:p>
    <w:p w14:paraId="33F563DF" w14:textId="77777777" w:rsidR="00F24A2D" w:rsidRDefault="00000000">
      <w:pPr>
        <w:pStyle w:val="ListBullet"/>
      </w:pPr>
      <w:r>
        <w:t>Risks, assumptions, and dependencies</w:t>
      </w:r>
    </w:p>
    <w:sectPr w:rsidR="00F24A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791729">
    <w:abstractNumId w:val="8"/>
  </w:num>
  <w:num w:numId="2" w16cid:durableId="1845122741">
    <w:abstractNumId w:val="6"/>
  </w:num>
  <w:num w:numId="3" w16cid:durableId="605044883">
    <w:abstractNumId w:val="5"/>
  </w:num>
  <w:num w:numId="4" w16cid:durableId="207257079">
    <w:abstractNumId w:val="4"/>
  </w:num>
  <w:num w:numId="5" w16cid:durableId="1826773370">
    <w:abstractNumId w:val="7"/>
  </w:num>
  <w:num w:numId="6" w16cid:durableId="1038046614">
    <w:abstractNumId w:val="3"/>
  </w:num>
  <w:num w:numId="7" w16cid:durableId="1873155475">
    <w:abstractNumId w:val="2"/>
  </w:num>
  <w:num w:numId="8" w16cid:durableId="2135949316">
    <w:abstractNumId w:val="1"/>
  </w:num>
  <w:num w:numId="9" w16cid:durableId="126526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2BEA"/>
    <w:rsid w:val="00910FFC"/>
    <w:rsid w:val="00AA1D8D"/>
    <w:rsid w:val="00B47730"/>
    <w:rsid w:val="00CB0664"/>
    <w:rsid w:val="00F24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A8705"/>
  <w14:defaultImageDpi w14:val="300"/>
  <w15:docId w15:val="{10C6E9A3-9486-614D-8B00-CF6B7EE7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Waheeb Mahmoud</cp:lastModifiedBy>
  <cp:revision>2</cp:revision>
  <dcterms:created xsi:type="dcterms:W3CDTF">2026-01-16T13:13:00Z</dcterms:created>
  <dcterms:modified xsi:type="dcterms:W3CDTF">2026-01-16T13:13:00Z</dcterms:modified>
  <cp:category/>
</cp:coreProperties>
</file>