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2D4E" w:val="clear"/>
            <w:tcMar>
              <w:top w:type="dxa" w:w="800"/>
              <w:left w:type="dxa" w:w="400"/>
              <w:bottom w:type="dxa" w:w="800"/>
              <w:right w:type="dxa" w:w="400"/>
            </w:tcMar>
          </w:tcPr>
          <w:p>
            <w:pPr>
              <w:spacing w:after="120" w:before="0"/>
              <w:jc w:val="center"/>
            </w:pPr>
            <w:r>
              <w:rPr>
                <w:rFonts w:ascii="Arial" w:cs="Arial" w:eastAsia="Arial" w:hAnsi="Arial"/>
                <w:b/>
                <w:bCs/>
                <w:color w:val="FFFFFF"/>
                <w:sz w:val="56"/>
                <w:szCs w:val="56"/>
              </w:rPr>
              <w:t xml:space="preserve">WORKCAPTAIN.AI</w:t>
            </w:r>
          </w:p>
          <w:p>
            <w:pPr>
              <w:spacing w:after="80" w:before="0"/>
              <w:jc w:val="center"/>
            </w:pPr>
            <w:r>
              <w:rPr>
                <w:rFonts w:ascii="Arial" w:cs="Arial" w:eastAsia="Arial" w:hAnsi="Arial"/>
                <w:b/>
                <w:bCs/>
                <w:color w:val="C89B3C"/>
                <w:sz w:val="28"/>
                <w:szCs w:val="28"/>
              </w:rPr>
              <w:t xml:space="preserve">PLATFORM EXCELLENCE EVALUATION</w:t>
            </w:r>
          </w:p>
          <w:p>
            <w:pPr>
              <w:spacing w:after="80" w:before="0"/>
              <w:jc w:val="center"/>
            </w:pPr>
            <w:r>
              <w:rPr>
                <w:rFonts w:ascii="Arial" w:cs="Arial" w:eastAsia="Arial" w:hAnsi="Arial"/>
                <w:color w:val="B0C4D8"/>
                <w:sz w:val="22"/>
                <w:szCs w:val="22"/>
              </w:rPr>
              <w:t xml:space="preserve">BRD Compliance • UX Maturity • Competitive Positioning • Transformation Roadmap</w:t>
            </w:r>
          </w:p>
          <w:p>
            <w:pPr>
              <w:spacing w:after="0" w:before="80"/>
              <w:jc w:val="center"/>
            </w:pPr>
            <w:r>
              <w:rPr>
                <w:rFonts w:ascii="Arial" w:cs="Arial" w:eastAsia="Arial" w:hAnsi="Arial"/>
                <w:color w:val="7B9EC0"/>
                <w:sz w:val="20"/>
                <w:szCs w:val="20"/>
              </w:rPr>
              <w:t xml:space="preserve">Maqaleed Digital • April 2026 • Confidential</w:t>
            </w:r>
          </w:p>
        </w:tc>
      </w:tr>
    </w:tbl>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5F7FA" w:val="clear"/>
            <w:tcMar>
              <w:top w:type="dxa" w:w="300"/>
              <w:left w:type="dxa" w:w="400"/>
              <w:bottom w:type="dxa" w:w="300"/>
              <w:right w:type="dxa" w:w="400"/>
            </w:tcMar>
          </w:tcPr>
          <w:p>
            <w:pPr>
              <w:spacing w:after="160" w:before="0"/>
              <w:jc w:val="center"/>
            </w:pPr>
            <w:r>
              <w:rPr>
                <w:rFonts w:ascii="Arial" w:cs="Arial" w:eastAsia="Arial" w:hAnsi="Arial"/>
                <w:b/>
                <w:bCs/>
                <w:color w:val="0D2D4E"/>
                <w:sz w:val="24"/>
                <w:szCs w:val="24"/>
              </w:rPr>
              <w:t xml:space="preserve">EXECUTIVE READINESS SCORECARD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tcBorders>
                    <w:top w:val="single" w:color="CBD5E0" w:sz="1"/>
                    <w:left w:val="single" w:color="CBD5E0" w:sz="1"/>
                    <w:bottom w:val="single" w:color="CBD5E0" w:sz="1"/>
                    <w:right w:val="single" w:color="CBD5E0" w:sz="1"/>
                  </w:tcBorders>
                  <w:shd w:fill="0D2D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c>
                <w:tcPr>
                  <w:tcW w:type="dxa" w:w="2800"/>
                  <w:tcBorders>
                    <w:top w:val="single" w:color="CBD5E0" w:sz="1"/>
                    <w:left w:val="single" w:color="CBD5E0" w:sz="1"/>
                    <w:bottom w:val="single" w:color="CBD5E0" w:sz="1"/>
                    <w:right w:val="single" w:color="CBD5E0" w:sz="1"/>
                  </w:tcBorders>
                  <w:shd w:fill="0D2D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w:t>
                  </w:r>
                </w:p>
              </w:tc>
              <w:tc>
                <w:tcPr>
                  <w:tcW w:type="dxa" w:w="2800"/>
                  <w:tcBorders>
                    <w:top w:val="single" w:color="CBD5E0" w:sz="1"/>
                    <w:left w:val="single" w:color="CBD5E0" w:sz="1"/>
                    <w:bottom w:val="single" w:color="CBD5E0" w:sz="1"/>
                    <w:right w:val="single" w:color="CBD5E0" w:sz="1"/>
                  </w:tcBorders>
                  <w:shd w:fill="0D2D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r>
            <w:tr>
              <w:tc>
                <w:tcPr>
                  <w:tcW w:type="dxa" w:w="2800"/>
                  <w:tcBorders>
                    <w:top w:val="single" w:color="CBD5E0" w:sz="1"/>
                    <w:left w:val="single" w:color="CBD5E0" w:sz="1"/>
                    <w:bottom w:val="single" w:color="CBD5E0" w:sz="1"/>
                    <w:right w:val="single" w:color="CBD5E0" w:sz="1"/>
                  </w:tcBorders>
                  <w:shd w:fill="F5F7FA" w:val="clear"/>
                  <w:tcMar>
                    <w:top w:type="dxa" w:w="70"/>
                    <w:left w:type="dxa" w:w="120"/>
                    <w:bottom w:type="dxa" w:w="70"/>
                    <w:right w:type="dxa" w:w="120"/>
                  </w:tcMar>
                </w:tcPr>
                <w:p>
                  <w:r>
                    <w:rPr>
                      <w:rFonts w:ascii="Arial" w:cs="Arial" w:eastAsia="Arial" w:hAnsi="Arial"/>
                      <w:b/>
                      <w:bCs/>
                      <w:color w:val="0D2D4E"/>
                      <w:sz w:val="20"/>
                      <w:szCs w:val="20"/>
                    </w:rPr>
                    <w:t xml:space="preserve">BRD Compliance</w:t>
                  </w:r>
                </w:p>
              </w:tc>
              <w:tc>
                <w:tcPr>
                  <w:tcW w:type="dxa" w:w="2800"/>
                  <w:tcBorders>
                    <w:top w:val="single" w:color="CBD5E0" w:sz="1"/>
                    <w:left w:val="single" w:color="CBD5E0" w:sz="1"/>
                    <w:bottom w:val="single" w:color="CBD5E0" w:sz="1"/>
                    <w:right w:val="single" w:color="CBD5E0" w:sz="1"/>
                  </w:tcBorders>
                  <w:shd w:fill="D6891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~65%</w:t>
                  </w:r>
                </w:p>
              </w:tc>
              <w:tc>
                <w:tcPr>
                  <w:tcW w:type="dxa" w:w="2800"/>
                  <w:tcBorders>
                    <w:top w:val="single" w:color="CBD5E0" w:sz="1"/>
                    <w:left w:val="single" w:color="CBD5E0" w:sz="1"/>
                    <w:bottom w:val="single" w:color="CBD5E0" w:sz="1"/>
                    <w:right w:val="single" w:color="CBD5E0" w:sz="1"/>
                  </w:tcBorders>
                  <w:shd w:fill="1A7A4A"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100%</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0D2D4E"/>
                      <w:sz w:val="20"/>
                      <w:szCs w:val="20"/>
                    </w:rPr>
                    <w:t xml:space="preserve">UX Maturity</w:t>
                  </w:r>
                </w:p>
              </w:tc>
              <w:tc>
                <w:tcPr>
                  <w:tcW w:type="dxa" w:w="2800"/>
                  <w:tcBorders>
                    <w:top w:val="single" w:color="CBD5E0" w:sz="1"/>
                    <w:left w:val="single" w:color="CBD5E0" w:sz="1"/>
                    <w:bottom w:val="single" w:color="CBD5E0" w:sz="1"/>
                    <w:right w:val="single" w:color="CBD5E0" w:sz="1"/>
                  </w:tcBorders>
                  <w:shd w:fill="C0392B"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~45%</w:t>
                  </w:r>
                </w:p>
              </w:tc>
              <w:tc>
                <w:tcPr>
                  <w:tcW w:type="dxa" w:w="2800"/>
                  <w:tcBorders>
                    <w:top w:val="single" w:color="CBD5E0" w:sz="1"/>
                    <w:left w:val="single" w:color="CBD5E0" w:sz="1"/>
                    <w:bottom w:val="single" w:color="CBD5E0" w:sz="1"/>
                    <w:right w:val="single" w:color="CBD5E0" w:sz="1"/>
                  </w:tcBorders>
                  <w:shd w:fill="1A7A4A"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95%</w:t>
                  </w:r>
                </w:p>
              </w:tc>
            </w:tr>
            <w:tr>
              <w:tc>
                <w:tcPr>
                  <w:tcW w:type="dxa" w:w="2800"/>
                  <w:tcBorders>
                    <w:top w:val="single" w:color="CBD5E0" w:sz="1"/>
                    <w:left w:val="single" w:color="CBD5E0" w:sz="1"/>
                    <w:bottom w:val="single" w:color="CBD5E0" w:sz="1"/>
                    <w:right w:val="single" w:color="CBD5E0" w:sz="1"/>
                  </w:tcBorders>
                  <w:shd w:fill="F5F7FA" w:val="clear"/>
                  <w:tcMar>
                    <w:top w:type="dxa" w:w="70"/>
                    <w:left w:type="dxa" w:w="120"/>
                    <w:bottom w:type="dxa" w:w="70"/>
                    <w:right w:type="dxa" w:w="120"/>
                  </w:tcMar>
                </w:tcPr>
                <w:p>
                  <w:r>
                    <w:rPr>
                      <w:rFonts w:ascii="Arial" w:cs="Arial" w:eastAsia="Arial" w:hAnsi="Arial"/>
                      <w:b/>
                      <w:bCs/>
                      <w:color w:val="0D2D4E"/>
                      <w:sz w:val="20"/>
                      <w:szCs w:val="20"/>
                    </w:rPr>
                    <w:t xml:space="preserve">AI Governance</w:t>
                  </w:r>
                </w:p>
              </w:tc>
              <w:tc>
                <w:tcPr>
                  <w:tcW w:type="dxa" w:w="2800"/>
                  <w:tcBorders>
                    <w:top w:val="single" w:color="CBD5E0" w:sz="1"/>
                    <w:left w:val="single" w:color="CBD5E0" w:sz="1"/>
                    <w:bottom w:val="single" w:color="CBD5E0" w:sz="1"/>
                    <w:right w:val="single" w:color="CBD5E0" w:sz="1"/>
                  </w:tcBorders>
                  <w:shd w:fill="C0392B"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~35%</w:t>
                  </w:r>
                </w:p>
              </w:tc>
              <w:tc>
                <w:tcPr>
                  <w:tcW w:type="dxa" w:w="2800"/>
                  <w:tcBorders>
                    <w:top w:val="single" w:color="CBD5E0" w:sz="1"/>
                    <w:left w:val="single" w:color="CBD5E0" w:sz="1"/>
                    <w:bottom w:val="single" w:color="CBD5E0" w:sz="1"/>
                    <w:right w:val="single" w:color="CBD5E0" w:sz="1"/>
                  </w:tcBorders>
                  <w:shd w:fill="1A7A4A"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95%</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0D2D4E"/>
                      <w:sz w:val="20"/>
                      <w:szCs w:val="20"/>
                    </w:rPr>
                    <w:t xml:space="preserve">KSA Sovereign Layer</w:t>
                  </w:r>
                </w:p>
              </w:tc>
              <w:tc>
                <w:tcPr>
                  <w:tcW w:type="dxa" w:w="2800"/>
                  <w:tcBorders>
                    <w:top w:val="single" w:color="CBD5E0" w:sz="1"/>
                    <w:left w:val="single" w:color="CBD5E0" w:sz="1"/>
                    <w:bottom w:val="single" w:color="CBD5E0" w:sz="1"/>
                    <w:right w:val="single" w:color="CBD5E0" w:sz="1"/>
                  </w:tcBorders>
                  <w:shd w:fill="C0392B"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~25%</w:t>
                  </w:r>
                </w:p>
              </w:tc>
              <w:tc>
                <w:tcPr>
                  <w:tcW w:type="dxa" w:w="2800"/>
                  <w:tcBorders>
                    <w:top w:val="single" w:color="CBD5E0" w:sz="1"/>
                    <w:left w:val="single" w:color="CBD5E0" w:sz="1"/>
                    <w:bottom w:val="single" w:color="CBD5E0" w:sz="1"/>
                    <w:right w:val="single" w:color="CBD5E0" w:sz="1"/>
                  </w:tcBorders>
                  <w:shd w:fill="1A7A4A"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100%</w:t>
                  </w:r>
                </w:p>
              </w:tc>
            </w:tr>
            <w:tr>
              <w:tc>
                <w:tcPr>
                  <w:tcW w:type="dxa" w:w="2800"/>
                  <w:tcBorders>
                    <w:top w:val="single" w:color="CBD5E0" w:sz="1"/>
                    <w:left w:val="single" w:color="CBD5E0" w:sz="1"/>
                    <w:bottom w:val="single" w:color="CBD5E0" w:sz="1"/>
                    <w:right w:val="single" w:color="CBD5E0" w:sz="1"/>
                  </w:tcBorders>
                  <w:shd w:fill="F5F7FA" w:val="clear"/>
                  <w:tcMar>
                    <w:top w:type="dxa" w:w="70"/>
                    <w:left w:type="dxa" w:w="120"/>
                    <w:bottom w:type="dxa" w:w="70"/>
                    <w:right w:type="dxa" w:w="120"/>
                  </w:tcMar>
                </w:tcPr>
                <w:p>
                  <w:r>
                    <w:rPr>
                      <w:rFonts w:ascii="Arial" w:cs="Arial" w:eastAsia="Arial" w:hAnsi="Arial"/>
                      <w:b/>
                      <w:bCs/>
                      <w:color w:val="0D2D4E"/>
                      <w:sz w:val="20"/>
                      <w:szCs w:val="20"/>
                    </w:rPr>
                    <w:t xml:space="preserve">Payment &amp; Escrow</w:t>
                  </w:r>
                </w:p>
              </w:tc>
              <w:tc>
                <w:tcPr>
                  <w:tcW w:type="dxa" w:w="2800"/>
                  <w:tcBorders>
                    <w:top w:val="single" w:color="CBD5E0" w:sz="1"/>
                    <w:left w:val="single" w:color="CBD5E0" w:sz="1"/>
                    <w:bottom w:val="single" w:color="CBD5E0" w:sz="1"/>
                    <w:right w:val="single" w:color="CBD5E0" w:sz="1"/>
                  </w:tcBorders>
                  <w:shd w:fill="D6891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~70%</w:t>
                  </w:r>
                </w:p>
              </w:tc>
              <w:tc>
                <w:tcPr>
                  <w:tcW w:type="dxa" w:w="2800"/>
                  <w:tcBorders>
                    <w:top w:val="single" w:color="CBD5E0" w:sz="1"/>
                    <w:left w:val="single" w:color="CBD5E0" w:sz="1"/>
                    <w:bottom w:val="single" w:color="CBD5E0" w:sz="1"/>
                    <w:right w:val="single" w:color="CBD5E0" w:sz="1"/>
                  </w:tcBorders>
                  <w:shd w:fill="1A7A4A"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100%</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0D2D4E"/>
                      <w:sz w:val="20"/>
                      <w:szCs w:val="20"/>
                    </w:rPr>
                    <w:t xml:space="preserve">Trust &amp; Evidence Fabric</w:t>
                  </w:r>
                </w:p>
              </w:tc>
              <w:tc>
                <w:tcPr>
                  <w:tcW w:type="dxa" w:w="2800"/>
                  <w:tcBorders>
                    <w:top w:val="single" w:color="CBD5E0" w:sz="1"/>
                    <w:left w:val="single" w:color="CBD5E0" w:sz="1"/>
                    <w:bottom w:val="single" w:color="CBD5E0" w:sz="1"/>
                    <w:right w:val="single" w:color="CBD5E0" w:sz="1"/>
                  </w:tcBorders>
                  <w:shd w:fill="C0392B"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~30%</w:t>
                  </w:r>
                </w:p>
              </w:tc>
              <w:tc>
                <w:tcPr>
                  <w:tcW w:type="dxa" w:w="2800"/>
                  <w:tcBorders>
                    <w:top w:val="single" w:color="CBD5E0" w:sz="1"/>
                    <w:left w:val="single" w:color="CBD5E0" w:sz="1"/>
                    <w:bottom w:val="single" w:color="CBD5E0" w:sz="1"/>
                    <w:right w:val="single" w:color="CBD5E0" w:sz="1"/>
                  </w:tcBorders>
                  <w:shd w:fill="1A7A4A"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95%</w:t>
                  </w:r>
                </w:p>
              </w:tc>
            </w:tr>
            <w:tr>
              <w:tc>
                <w:tcPr>
                  <w:tcW w:type="dxa" w:w="2800"/>
                  <w:tcBorders>
                    <w:top w:val="single" w:color="CBD5E0" w:sz="1"/>
                    <w:left w:val="single" w:color="CBD5E0" w:sz="1"/>
                    <w:bottom w:val="single" w:color="CBD5E0" w:sz="1"/>
                    <w:right w:val="single" w:color="CBD5E0" w:sz="1"/>
                  </w:tcBorders>
                  <w:shd w:fill="F5F7FA" w:val="clear"/>
                  <w:tcMar>
                    <w:top w:type="dxa" w:w="70"/>
                    <w:left w:type="dxa" w:w="120"/>
                    <w:bottom w:type="dxa" w:w="70"/>
                    <w:right w:type="dxa" w:w="120"/>
                  </w:tcMar>
                </w:tcPr>
                <w:p>
                  <w:r>
                    <w:rPr>
                      <w:rFonts w:ascii="Arial" w:cs="Arial" w:eastAsia="Arial" w:hAnsi="Arial"/>
                      <w:b/>
                      <w:bCs/>
                      <w:color w:val="0D2D4E"/>
                      <w:sz w:val="20"/>
                      <w:szCs w:val="20"/>
                    </w:rPr>
                    <w:t xml:space="preserve">Accessibility (WCAG 2.2)</w:t>
                  </w:r>
                </w:p>
              </w:tc>
              <w:tc>
                <w:tcPr>
                  <w:tcW w:type="dxa" w:w="2800"/>
                  <w:tcBorders>
                    <w:top w:val="single" w:color="CBD5E0" w:sz="1"/>
                    <w:left w:val="single" w:color="CBD5E0" w:sz="1"/>
                    <w:bottom w:val="single" w:color="CBD5E0" w:sz="1"/>
                    <w:right w:val="single" w:color="CBD5E0" w:sz="1"/>
                  </w:tcBorders>
                  <w:shd w:fill="C0392B"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~40%</w:t>
                  </w:r>
                </w:p>
              </w:tc>
              <w:tc>
                <w:tcPr>
                  <w:tcW w:type="dxa" w:w="2800"/>
                  <w:tcBorders>
                    <w:top w:val="single" w:color="CBD5E0" w:sz="1"/>
                    <w:left w:val="single" w:color="CBD5E0" w:sz="1"/>
                    <w:bottom w:val="single" w:color="CBD5E0" w:sz="1"/>
                    <w:right w:val="single" w:color="CBD5E0" w:sz="1"/>
                  </w:tcBorders>
                  <w:shd w:fill="1A7A4A"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95%</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0D2D4E"/>
                      <w:sz w:val="20"/>
                      <w:szCs w:val="20"/>
                    </w:rPr>
                    <w:t xml:space="preserve">Multilingual / RTL</w:t>
                  </w:r>
                </w:p>
              </w:tc>
              <w:tc>
                <w:tcPr>
                  <w:tcW w:type="dxa" w:w="2800"/>
                  <w:tcBorders>
                    <w:top w:val="single" w:color="CBD5E0" w:sz="1"/>
                    <w:left w:val="single" w:color="CBD5E0" w:sz="1"/>
                    <w:bottom w:val="single" w:color="CBD5E0" w:sz="1"/>
                    <w:right w:val="single" w:color="CBD5E0" w:sz="1"/>
                  </w:tcBorders>
                  <w:shd w:fill="D6891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~50%</w:t>
                  </w:r>
                </w:p>
              </w:tc>
              <w:tc>
                <w:tcPr>
                  <w:tcW w:type="dxa" w:w="2800"/>
                  <w:tcBorders>
                    <w:top w:val="single" w:color="CBD5E0" w:sz="1"/>
                    <w:left w:val="single" w:color="CBD5E0" w:sz="1"/>
                    <w:bottom w:val="single" w:color="CBD5E0" w:sz="1"/>
                    <w:right w:val="single" w:color="CBD5E0" w:sz="1"/>
                  </w:tcBorders>
                  <w:shd w:fill="1A7A4A"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100%</w:t>
                  </w:r>
                </w:p>
              </w:tc>
            </w:tr>
            <w:tr>
              <w:tc>
                <w:tcPr>
                  <w:tcW w:type="dxa" w:w="2800"/>
                  <w:tcBorders>
                    <w:top w:val="single" w:color="CBD5E0" w:sz="1"/>
                    <w:left w:val="single" w:color="CBD5E0" w:sz="1"/>
                    <w:bottom w:val="single" w:color="CBD5E0" w:sz="1"/>
                    <w:right w:val="single" w:color="CBD5E0" w:sz="1"/>
                  </w:tcBorders>
                  <w:shd w:fill="F5F7FA" w:val="clear"/>
                  <w:tcMar>
                    <w:top w:type="dxa" w:w="70"/>
                    <w:left w:type="dxa" w:w="120"/>
                    <w:bottom w:type="dxa" w:w="70"/>
                    <w:right w:type="dxa" w:w="120"/>
                  </w:tcMar>
                </w:tcPr>
                <w:p>
                  <w:r>
                    <w:rPr>
                      <w:rFonts w:ascii="Arial" w:cs="Arial" w:eastAsia="Arial" w:hAnsi="Arial"/>
                      <w:b/>
                      <w:bCs/>
                      <w:color w:val="0D2D4E"/>
                      <w:sz w:val="20"/>
                      <w:szCs w:val="20"/>
                    </w:rPr>
                    <w:t xml:space="preserve">Overall Platform</w:t>
                  </w:r>
                </w:p>
              </w:tc>
              <w:tc>
                <w:tcPr>
                  <w:tcW w:type="dxa" w:w="2800"/>
                  <w:tcBorders>
                    <w:top w:val="single" w:color="CBD5E0" w:sz="1"/>
                    <w:left w:val="single" w:color="CBD5E0" w:sz="1"/>
                    <w:bottom w:val="single" w:color="CBD5E0" w:sz="1"/>
                    <w:right w:val="single" w:color="CBD5E0" w:sz="1"/>
                  </w:tcBorders>
                  <w:shd w:fill="C0392B"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~48%</w:t>
                  </w:r>
                </w:p>
              </w:tc>
              <w:tc>
                <w:tcPr>
                  <w:tcW w:type="dxa" w:w="2800"/>
                  <w:tcBorders>
                    <w:top w:val="single" w:color="CBD5E0" w:sz="1"/>
                    <w:left w:val="single" w:color="CBD5E0" w:sz="1"/>
                    <w:bottom w:val="single" w:color="CBD5E0" w:sz="1"/>
                    <w:right w:val="single" w:color="CBD5E0" w:sz="1"/>
                  </w:tcBorders>
                  <w:shd w:fill="1A7A4A"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95%</w:t>
                  </w:r>
                </w:p>
              </w:tc>
            </w:tr>
          </w:tbl>
          <w:p/>
        </w:tc>
      </w:tr>
    </w:tbl>
    <w:p>
      <w:pPr>
        <w:spacing w:after="0" w:before="400"/>
      </w:pPr>
    </w:p>
    <w:p>
      <w:pPr>
        <w:spacing w:after="80" w:before="0"/>
        <w:jc w:val="center"/>
      </w:pPr>
      <w:r>
        <w:rPr>
          <w:rFonts w:ascii="Arial" w:cs="Arial" w:eastAsia="Arial" w:hAnsi="Arial"/>
          <w:color w:val="6B7280"/>
          <w:sz w:val="18"/>
          <w:szCs w:val="18"/>
        </w:rPr>
        <w:t xml:space="preserve">Prepared by: Maqaleed Digital  |  Classification: CONFIDENTIAL  |  Version: 1.0 FINAL</w:t>
      </w:r>
    </w:p>
    <w:p>
      <w:r>
        <w:br w:type="page"/>
      </w:r>
    </w:p>
    <w:p>
      <w:pPr>
        <w:sectPr>
          <w:pgSz w:w="12240" w:h="15840" w:orient="portrait"/>
          <w:pgMar w:top="1440" w:right="1440" w:bottom="1440" w:left="1440" w:header="708" w:footer="708" w:gutter="0"/>
          <w:pgNumType/>
          <w:docGrid w:linePitch="360"/>
        </w:sectPr>
      </w:pPr>
    </w:p>
    <w:p>
      <w:pPr>
        <w:pStyle w:val="Heading1"/>
        <w:spacing w:after="120" w:before="400"/>
      </w:pPr>
      <w:r>
        <w:rPr>
          <w:rFonts w:ascii="Arial" w:cs="Arial" w:eastAsia="Arial" w:hAnsi="Arial"/>
          <w:b/>
          <w:bCs/>
          <w:color w:val="0D2D4E"/>
          <w:sz w:val="36"/>
          <w:szCs w:val="36"/>
        </w:rPr>
        <w:t xml:space="preserve">1. Executive Summary</w:t>
      </w:r>
    </w:p>
    <w:p>
      <w:pPr>
        <w:pBdr>
          <w:bottom w:val="single" w:color="C89B3C" w:sz="10" w:space="1"/>
        </w:pBdr>
        <w:spacing w:after="160" w:before="0"/>
      </w:pPr>
    </w:p>
    <w:p>
      <w:pPr>
        <w:spacing w:after="80" w:before="60"/>
      </w:pPr>
      <w:r>
        <w:rPr>
          <w:rFonts w:ascii="Arial" w:cs="Arial" w:eastAsia="Arial" w:hAnsi="Arial"/>
          <w:color w:val="1A202C"/>
          <w:sz w:val="22"/>
          <w:szCs w:val="22"/>
        </w:rPr>
        <w:t xml:space="preserve">WorkCaptain.ai enters the market with a clearly differentiated architecture: a sovereign-first, evidence-backed Remote Delivery Platform targeting KSA and the GCC. The foundation documents — Gold BRD, WOS Addendum, RT-1 Addendum, AI Execution Strategy, and the Consolidated Features Addendum — represent one of the most governance-rigorous BRD stacks evaluated by Maqaleed Digital for a seed-to-Series A platform.</w:t>
      </w:r>
    </w:p>
    <w:p>
      <w:pPr>
        <w:spacing w:after="80" w:before="80"/>
      </w:pPr>
    </w:p>
    <w:p>
      <w:pPr>
        <w:spacing w:after="80" w:before="60"/>
      </w:pPr>
      <w:r>
        <w:rPr>
          <w:rFonts w:ascii="Arial" w:cs="Arial" w:eastAsia="Arial" w:hAnsi="Arial"/>
          <w:color w:val="1A202C"/>
          <w:sz w:val="22"/>
          <w:szCs w:val="22"/>
        </w:rPr>
        <w:t xml:space="preserve">However, a decisive gap exists between documented intent and deployed reality. The current production environment returns a bare React runtime shell ('WorkCaptain Runtime') with no server-rendered content, no discoverable public-facing feature set, and no validated evidence that any BRD binding requirement has reached production. This evaluation therefore assesses the platform against its own contractual obligations and the 2026 competitive standard.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FF3CD" w:val="clear"/>
            <w:tcMar>
              <w:top w:type="dxa" w:w="120"/>
              <w:left w:type="dxa" w:w="200"/>
              <w:bottom w:type="dxa" w:w="120"/>
              <w:right w:type="dxa" w:w="200"/>
            </w:tcMar>
          </w:tcPr>
          <w:p>
            <w:pPr>
              <w:spacing w:after="0" w:before="0"/>
            </w:pPr>
            <w:r>
              <w:rPr>
                <w:rFonts w:ascii="Arial" w:cs="Arial" w:eastAsia="Arial" w:hAnsi="Arial"/>
                <w:b/>
                <w:bCs/>
                <w:color w:val="D68910"/>
                <w:sz w:val="22"/>
                <w:szCs w:val="22"/>
              </w:rPr>
              <w:t xml:space="preserve">VERDICT:  </w:t>
            </w:r>
            <w:r>
              <w:rPr>
                <w:rFonts w:ascii="Arial" w:cs="Arial" w:eastAsia="Arial" w:hAnsi="Arial"/>
                <w:color w:val="1A202C"/>
                <w:sz w:val="22"/>
                <w:szCs w:val="22"/>
              </w:rPr>
              <w:t xml:space="preserve">GO — with 14 critical gaps requiring closure before Series A positioning or enterprise sales motion. The BRD is ~65% execution-ready. The UX is ~45% of world-class standard. The sovereign compliance layer is the most differentiated capability and must be the lead product narrative.</w:t>
            </w:r>
          </w:p>
        </w:tc>
      </w:tr>
    </w:tbl>
    <w:p>
      <w:pPr>
        <w:spacing w:after="0" w:before="200"/>
      </w:pPr>
    </w:p>
    <w:p>
      <w:pPr>
        <w:pStyle w:val="Heading2"/>
        <w:spacing w:after="100" w:before="280"/>
      </w:pPr>
      <w:r>
        <w:rPr>
          <w:rFonts w:ascii="Arial" w:cs="Arial" w:eastAsia="Arial" w:hAnsi="Arial"/>
          <w:b/>
          <w:bCs/>
          <w:color w:val="1E6B6B"/>
          <w:sz w:val="28"/>
          <w:szCs w:val="28"/>
        </w:rPr>
        <w:t xml:space="preserve">1.1 What WorkCaptain Already Does Well</w:t>
      </w:r>
    </w:p>
    <w:p>
      <w:pPr>
        <w:pStyle w:val="ListParagraph"/>
        <w:numPr>
          <w:ilvl w:val="0"/>
          <w:numId w:val="2"/>
        </w:numPr>
        <w:spacing w:after="60" w:before="40"/>
      </w:pPr>
      <w:r>
        <w:rPr>
          <w:rFonts w:ascii="Arial" w:cs="Arial" w:eastAsia="Arial" w:hAnsi="Arial"/>
          <w:color w:val="0D2D4E"/>
          <w:sz w:val="22"/>
          <w:szCs w:val="22"/>
        </w:rPr>
        <w:t xml:space="preserve">BRD governance architecture is among the strongest reviewed — Gold BRD with binding/non-binding separation is best-in-class for this stage</w:t>
      </w:r>
    </w:p>
    <w:p>
      <w:pPr>
        <w:pStyle w:val="ListParagraph"/>
        <w:numPr>
          <w:ilvl w:val="0"/>
          <w:numId w:val="2"/>
        </w:numPr>
        <w:spacing w:after="60" w:before="40"/>
      </w:pPr>
      <w:r>
        <w:rPr>
          <w:rFonts w:ascii="Arial" w:cs="Arial" w:eastAsia="Arial" w:hAnsi="Arial"/>
          <w:color w:val="0D2D4E"/>
          <w:sz w:val="22"/>
          <w:szCs w:val="22"/>
        </w:rPr>
        <w:t xml:space="preserve">Tri-layer AI execution model (ChatGPT / Claude Code / Emergent) is a credible and auditable AI operating framework</w:t>
      </w:r>
    </w:p>
    <w:p>
      <w:pPr>
        <w:pStyle w:val="ListParagraph"/>
        <w:numPr>
          <w:ilvl w:val="0"/>
          <w:numId w:val="2"/>
        </w:numPr>
        <w:spacing w:after="60" w:before="40"/>
      </w:pPr>
      <w:r>
        <w:rPr>
          <w:rFonts w:ascii="Arial" w:cs="Arial" w:eastAsia="Arial" w:hAnsi="Arial"/>
          <w:color w:val="0D2D4E"/>
          <w:sz w:val="22"/>
          <w:szCs w:val="22"/>
        </w:rPr>
        <w:t xml:space="preserve">KSA sovereign compliance design (Nitaqat, Qiwa, GOSI, WPS/Mudad, ESB) is a genuine moat — no GCC competitor offers this at this depth in BRD</w:t>
      </w:r>
    </w:p>
    <w:p>
      <w:pPr>
        <w:pStyle w:val="ListParagraph"/>
        <w:numPr>
          <w:ilvl w:val="0"/>
          <w:numId w:val="2"/>
        </w:numPr>
        <w:spacing w:after="60" w:before="40"/>
      </w:pPr>
      <w:r>
        <w:rPr>
          <w:rFonts w:ascii="Arial" w:cs="Arial" w:eastAsia="Arial" w:hAnsi="Arial"/>
          <w:color w:val="0D2D4E"/>
          <w:sz w:val="22"/>
          <w:szCs w:val="22"/>
        </w:rPr>
        <w:t xml:space="preserve">Evidence-first operations model with immutable audit packs (EP-WOS series) is enterprise and regulatory grade</w:t>
      </w:r>
    </w:p>
    <w:p>
      <w:pPr>
        <w:pStyle w:val="ListParagraph"/>
        <w:numPr>
          <w:ilvl w:val="0"/>
          <w:numId w:val="2"/>
        </w:numPr>
        <w:spacing w:after="60" w:before="40"/>
      </w:pPr>
      <w:r>
        <w:rPr>
          <w:rFonts w:ascii="Arial" w:cs="Arial" w:eastAsia="Arial" w:hAnsi="Arial"/>
          <w:color w:val="0D2D4E"/>
          <w:sz w:val="22"/>
          <w:szCs w:val="22"/>
        </w:rPr>
        <w:t xml:space="preserve">Non-employment operating model safeguards are robustly documented — platform neutrality is correctly enforced</w:t>
      </w:r>
    </w:p>
    <w:p>
      <w:pPr>
        <w:pStyle w:val="ListParagraph"/>
        <w:numPr>
          <w:ilvl w:val="0"/>
          <w:numId w:val="2"/>
        </w:numPr>
        <w:spacing w:after="60" w:before="40"/>
      </w:pPr>
      <w:r>
        <w:rPr>
          <w:rFonts w:ascii="Arial" w:cs="Arial" w:eastAsia="Arial" w:hAnsi="Arial"/>
          <w:color w:val="0D2D4E"/>
          <w:sz w:val="22"/>
          <w:szCs w:val="22"/>
        </w:rPr>
        <w:t xml:space="preserve">Sprint gate architecture (S25-G1 through G5) with human-only closure controls protects governance integrity</w:t>
      </w:r>
    </w:p>
    <w:p>
      <w:pPr>
        <w:pStyle w:val="ListParagraph"/>
        <w:numPr>
          <w:ilvl w:val="0"/>
          <w:numId w:val="2"/>
        </w:numPr>
        <w:spacing w:after="60" w:before="40"/>
      </w:pPr>
      <w:r>
        <w:rPr>
          <w:rFonts w:ascii="Arial" w:cs="Arial" w:eastAsia="Arial" w:hAnsi="Arial"/>
          <w:color w:val="0D2D4E"/>
          <w:sz w:val="22"/>
          <w:szCs w:val="22"/>
        </w:rPr>
        <w:t xml:space="preserve">Seasonal Delivery Program (SDP) design for Hajj/World Cup is a unique demand-capture opportunity unavailable to Upwork or Deel</w:t>
      </w:r>
    </w:p>
    <w:p>
      <w:pPr>
        <w:spacing w:after="0" w:before="200"/>
      </w:pPr>
    </w:p>
    <w:p>
      <w:pPr>
        <w:pStyle w:val="Heading2"/>
        <w:spacing w:after="100" w:before="280"/>
      </w:pPr>
      <w:r>
        <w:rPr>
          <w:rFonts w:ascii="Arial" w:cs="Arial" w:eastAsia="Arial" w:hAnsi="Arial"/>
          <w:b/>
          <w:bCs/>
          <w:color w:val="1E6B6B"/>
          <w:sz w:val="28"/>
          <w:szCs w:val="28"/>
        </w:rPr>
        <w:t xml:space="preserve">1.2 What Must Change Before Best-in-Class Status</w:t>
      </w:r>
    </w:p>
    <w:p>
      <w:pPr>
        <w:pStyle w:val="ListParagraph"/>
        <w:numPr>
          <w:ilvl w:val="0"/>
          <w:numId w:val="2"/>
        </w:numPr>
        <w:spacing w:after="60" w:before="40"/>
      </w:pPr>
      <w:r>
        <w:rPr>
          <w:rFonts w:ascii="Arial" w:cs="Arial" w:eastAsia="Arial" w:hAnsi="Arial"/>
          <w:color w:val="C0392B"/>
          <w:sz w:val="22"/>
          <w:szCs w:val="22"/>
        </w:rPr>
        <w:t xml:space="preserve">UX is not yet a Command Center — it is pages, not a decision OS</w:t>
      </w:r>
    </w:p>
    <w:p>
      <w:pPr>
        <w:pStyle w:val="ListParagraph"/>
        <w:numPr>
          <w:ilvl w:val="0"/>
          <w:numId w:val="2"/>
        </w:numPr>
        <w:spacing w:after="60" w:before="40"/>
      </w:pPr>
      <w:r>
        <w:rPr>
          <w:rFonts w:ascii="Arial" w:cs="Arial" w:eastAsia="Arial" w:hAnsi="Arial"/>
          <w:color w:val="C0392B"/>
          <w:sz w:val="22"/>
          <w:szCs w:val="22"/>
        </w:rPr>
        <w:t xml:space="preserve">AI recommendations are documented but not visibly surfaced or explainable in the deployed UI</w:t>
      </w:r>
    </w:p>
    <w:p>
      <w:pPr>
        <w:pStyle w:val="ListParagraph"/>
        <w:numPr>
          <w:ilvl w:val="0"/>
          <w:numId w:val="2"/>
        </w:numPr>
        <w:spacing w:after="60" w:before="40"/>
      </w:pPr>
      <w:r>
        <w:rPr>
          <w:rFonts w:ascii="Arial" w:cs="Arial" w:eastAsia="Arial" w:hAnsi="Arial"/>
          <w:color w:val="C0392B"/>
          <w:sz w:val="22"/>
          <w:szCs w:val="22"/>
        </w:rPr>
        <w:t xml:space="preserve">KSA sovereign compliance layer has no deployed UI representation</w:t>
      </w:r>
    </w:p>
    <w:p>
      <w:pPr>
        <w:pStyle w:val="ListParagraph"/>
        <w:numPr>
          <w:ilvl w:val="0"/>
          <w:numId w:val="2"/>
        </w:numPr>
        <w:spacing w:after="60" w:before="40"/>
      </w:pPr>
      <w:r>
        <w:rPr>
          <w:rFonts w:ascii="Arial" w:cs="Arial" w:eastAsia="Arial" w:hAnsi="Arial"/>
          <w:color w:val="C0392B"/>
          <w:sz w:val="22"/>
          <w:szCs w:val="22"/>
        </w:rPr>
        <w:t xml:space="preserve">Trust &amp; Evidence fabric (EP packs) are designed but not user-accessible</w:t>
      </w:r>
    </w:p>
    <w:p>
      <w:pPr>
        <w:pStyle w:val="ListParagraph"/>
        <w:numPr>
          <w:ilvl w:val="0"/>
          <w:numId w:val="2"/>
        </w:numPr>
        <w:spacing w:after="60" w:before="40"/>
      </w:pPr>
      <w:r>
        <w:rPr>
          <w:rFonts w:ascii="Arial" w:cs="Arial" w:eastAsia="Arial" w:hAnsi="Arial"/>
          <w:color w:val="D68910"/>
          <w:sz w:val="22"/>
          <w:szCs w:val="22"/>
        </w:rPr>
        <w:t xml:space="preserve">Multilingual RTL architecture is specified but not confirmed live</w:t>
      </w:r>
    </w:p>
    <w:p>
      <w:pPr>
        <w:pStyle w:val="ListParagraph"/>
        <w:numPr>
          <w:ilvl w:val="0"/>
          <w:numId w:val="2"/>
        </w:numPr>
        <w:spacing w:after="60" w:before="40"/>
      </w:pPr>
      <w:r>
        <w:rPr>
          <w:rFonts w:ascii="Arial" w:cs="Arial" w:eastAsia="Arial" w:hAnsi="Arial"/>
          <w:color w:val="D68910"/>
          <w:sz w:val="22"/>
          <w:szCs w:val="22"/>
        </w:rPr>
        <w:t xml:space="preserve">Payment rails for MENA (Tap, HyperPay, PayTabs, mada) are not confirmed integrated</w:t>
      </w:r>
    </w:p>
    <w:p>
      <w:pPr>
        <w:pStyle w:val="ListParagraph"/>
        <w:numPr>
          <w:ilvl w:val="0"/>
          <w:numId w:val="2"/>
        </w:numPr>
        <w:spacing w:after="60" w:before="40"/>
      </w:pPr>
      <w:r>
        <w:rPr>
          <w:rFonts w:ascii="Arial" w:cs="Arial" w:eastAsia="Arial" w:hAnsi="Arial"/>
          <w:color w:val="D68910"/>
          <w:sz w:val="22"/>
          <w:szCs w:val="22"/>
        </w:rPr>
        <w:t xml:space="preserve">WCAG 2.2 AA accessibility has no confirmed test coverage</w:t>
      </w:r>
    </w:p>
    <w:p>
      <w:pPr>
        <w:pStyle w:val="ListParagraph"/>
        <w:numPr>
          <w:ilvl w:val="0"/>
          <w:numId w:val="2"/>
        </w:numPr>
        <w:spacing w:after="60" w:before="40"/>
      </w:pPr>
      <w:r>
        <w:rPr>
          <w:rFonts w:ascii="Arial" w:cs="Arial" w:eastAsia="Arial" w:hAnsi="Arial"/>
          <w:color w:val="C0392B"/>
          <w:sz w:val="22"/>
          <w:szCs w:val="22"/>
        </w:rPr>
        <w:t xml:space="preserve">Work Identity / ERI scoring system has no visible public implementation</w:t>
      </w:r>
    </w:p>
    <w:p>
      <w:r>
        <w:br w:type="page"/>
      </w:r>
    </w:p>
    <w:p>
      <w:pPr>
        <w:pStyle w:val="Heading1"/>
        <w:spacing w:after="120" w:before="400"/>
      </w:pPr>
      <w:r>
        <w:rPr>
          <w:rFonts w:ascii="Arial" w:cs="Arial" w:eastAsia="Arial" w:hAnsi="Arial"/>
          <w:b/>
          <w:bCs/>
          <w:color w:val="0D2D4E"/>
          <w:sz w:val="36"/>
          <w:szCs w:val="36"/>
        </w:rPr>
        <w:t xml:space="preserve">2. BRD Compliance Matrix</w:t>
      </w:r>
    </w:p>
    <w:p>
      <w:pPr>
        <w:pBdr>
          <w:bottom w:val="single" w:color="C89B3C" w:sz="10" w:space="1"/>
        </w:pBdr>
        <w:spacing w:after="160" w:before="0"/>
      </w:pPr>
    </w:p>
    <w:p>
      <w:pPr>
        <w:spacing w:after="80" w:before="60"/>
      </w:pPr>
      <w:r>
        <w:rPr>
          <w:rFonts w:ascii="Arial" w:cs="Arial" w:eastAsia="Arial" w:hAnsi="Arial"/>
          <w:color w:val="1A202C"/>
          <w:sz w:val="22"/>
          <w:szCs w:val="22"/>
        </w:rPr>
        <w:t xml:space="preserve">The following matrix maps each binding BRD requirement (Section A of the Gold BRD, plus all locked addendum clauses) to observed platform status and assigns a compliance grade.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2100"/>
        <w:gridCol w:w="1260"/>
      </w:tblGrid>
      <w:tr>
        <w:trPr>
          <w:tblHeader/>
        </w:trPr>
        <w:tc>
          <w:tcPr>
            <w:tcW w:type="dxa" w:w="21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BRD Reference</w:t>
            </w:r>
          </w:p>
        </w:tc>
        <w:tc>
          <w:tcPr>
            <w:tcW w:type="dxa" w:w="39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21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c>
          <w:tcPr>
            <w:tcW w:type="dxa" w:w="126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Gap Severity</w:t>
            </w:r>
          </w:p>
        </w:tc>
      </w:tr>
      <w:tr>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Gold BRD A1</w:t>
            </w:r>
          </w:p>
        </w:tc>
        <w:tc>
          <w:tcPr>
            <w:tcW w:type="dxa" w:w="3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Remote Delivery Platform mandate — no employment constructs</w:t>
            </w:r>
          </w:p>
        </w:tc>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Documented; not verifiable in UI</w:t>
            </w:r>
          </w:p>
        </w:tc>
        <w:tc>
          <w:tcPr>
            <w:tcW w:type="dxa" w:w="12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D68910"/>
                <w:sz w:val="20"/>
                <w:szCs w:val="20"/>
              </w:rPr>
              <w:t xml:space="preserve">AMBER</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Gold BRD A2</w:t>
            </w:r>
          </w:p>
        </w:tc>
        <w:tc>
          <w:tcPr>
            <w:tcW w:type="dxa" w:w="3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Remote Delivery Workspaces — pods, roles, outcome contracts</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confirmed deployed</w:t>
            </w:r>
          </w:p>
        </w:tc>
        <w:tc>
          <w:tcPr>
            <w:tcW w:type="dxa" w:w="1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C0392B"/>
                <w:sz w:val="20"/>
                <w:szCs w:val="20"/>
              </w:rPr>
              <w:t xml:space="preserve">CRITICAL</w:t>
            </w:r>
          </w:p>
        </w:tc>
      </w:tr>
      <w:tr>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Gold BRD A3</w:t>
            </w:r>
          </w:p>
        </w:tc>
        <w:tc>
          <w:tcPr>
            <w:tcW w:type="dxa" w:w="3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Pods &amp; Roles — milestone-linked, no hours/shifts</w:t>
            </w:r>
          </w:p>
        </w:tc>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confirmed deployed</w:t>
            </w:r>
          </w:p>
        </w:tc>
        <w:tc>
          <w:tcPr>
            <w:tcW w:type="dxa" w:w="12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CRITICAL</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Gold BRD A4</w:t>
            </w:r>
          </w:p>
        </w:tc>
        <w:tc>
          <w:tcPr>
            <w:tcW w:type="dxa" w:w="3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AI-assisted assembly with RecommendationAuditLog</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deployed / not visible</w:t>
            </w:r>
          </w:p>
        </w:tc>
        <w:tc>
          <w:tcPr>
            <w:tcW w:type="dxa" w:w="1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C0392B"/>
                <w:sz w:val="20"/>
                <w:szCs w:val="20"/>
              </w:rPr>
              <w:t xml:space="preserve">CRITICAL</w:t>
            </w:r>
          </w:p>
        </w:tc>
      </w:tr>
      <w:tr>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Gold BRD A5</w:t>
            </w:r>
          </w:p>
        </w:tc>
        <w:tc>
          <w:tcPr>
            <w:tcW w:type="dxa" w:w="3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Seasonal Delivery Programs (SDP) — time-boxed, auditable</w:t>
            </w:r>
          </w:p>
        </w:tc>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deployed</w:t>
            </w:r>
          </w:p>
        </w:tc>
        <w:tc>
          <w:tcPr>
            <w:tcW w:type="dxa" w:w="12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CRITICAL</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Gold BRD A6</w:t>
            </w:r>
          </w:p>
        </w:tc>
        <w:tc>
          <w:tcPr>
            <w:tcW w:type="dxa" w:w="3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Multilingual RTL-first (EN + AR Tier-1)</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Partially present</w:t>
            </w:r>
          </w:p>
        </w:tc>
        <w:tc>
          <w:tcPr>
            <w:tcW w:type="dxa" w:w="1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D68910"/>
                <w:sz w:val="20"/>
                <w:szCs w:val="20"/>
              </w:rPr>
              <w:t xml:space="preserve">AMBER</w:t>
            </w:r>
          </w:p>
        </w:tc>
      </w:tr>
      <w:tr>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Gold BRD A7</w:t>
            </w:r>
          </w:p>
        </w:tc>
        <w:tc>
          <w:tcPr>
            <w:tcW w:type="dxa" w:w="3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Immutable audit layer — contracts, escrow, AI, SDP</w:t>
            </w:r>
          </w:p>
        </w:tc>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Designed; not confirmed active</w:t>
            </w:r>
          </w:p>
        </w:tc>
        <w:tc>
          <w:tcPr>
            <w:tcW w:type="dxa" w:w="12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CRITICAL</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Gold BRD A8</w:t>
            </w:r>
          </w:p>
        </w:tc>
        <w:tc>
          <w:tcPr>
            <w:tcW w:type="dxa" w:w="3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Phase 1 scope boundaries strictly enforced</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 evidence of gate enforcement</w:t>
            </w:r>
          </w:p>
        </w:tc>
        <w:tc>
          <w:tcPr>
            <w:tcW w:type="dxa" w:w="1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D68910"/>
                <w:sz w:val="20"/>
                <w:szCs w:val="20"/>
              </w:rPr>
              <w:t xml:space="preserve">AMBER</w:t>
            </w:r>
          </w:p>
        </w:tc>
      </w:tr>
      <w:tr>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WOS §6.1</w:t>
            </w:r>
          </w:p>
        </w:tc>
        <w:tc>
          <w:tcPr>
            <w:tcW w:type="dxa" w:w="3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Unified FTE + Freelancer profile, capacity model</w:t>
            </w:r>
          </w:p>
        </w:tc>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deployed</w:t>
            </w:r>
          </w:p>
        </w:tc>
        <w:tc>
          <w:tcPr>
            <w:tcW w:type="dxa" w:w="12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CRITICAL</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WOS §7.1</w:t>
            </w:r>
          </w:p>
        </w:tc>
        <w:tc>
          <w:tcPr>
            <w:tcW w:type="dxa" w:w="3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Nitaqat Impact Preview with confidence band</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deployed</w:t>
            </w:r>
          </w:p>
        </w:tc>
        <w:tc>
          <w:tcPr>
            <w:tcW w:type="dxa" w:w="1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C0392B"/>
                <w:sz w:val="20"/>
                <w:szCs w:val="20"/>
              </w:rPr>
              <w:t xml:space="preserve">CRITICAL</w:t>
            </w:r>
          </w:p>
        </w:tc>
      </w:tr>
      <w:tr>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WOS §8.1</w:t>
            </w:r>
          </w:p>
        </w:tc>
        <w:tc>
          <w:tcPr>
            <w:tcW w:type="dxa" w:w="3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Contract lifecycle — Draft→Signed→Activated→Terminated</w:t>
            </w:r>
          </w:p>
        </w:tc>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confirmed</w:t>
            </w:r>
          </w:p>
        </w:tc>
        <w:tc>
          <w:tcPr>
            <w:tcW w:type="dxa" w:w="12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CRITICAL</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WOS §9.1</w:t>
            </w:r>
          </w:p>
        </w:tc>
        <w:tc>
          <w:tcPr>
            <w:tcW w:type="dxa" w:w="3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WPS Readiness Pack — IBAN, identity, bank confirmation</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deployed</w:t>
            </w:r>
          </w:p>
        </w:tc>
        <w:tc>
          <w:tcPr>
            <w:tcW w:type="dxa" w:w="1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C0392B"/>
                <w:sz w:val="20"/>
                <w:szCs w:val="20"/>
              </w:rPr>
              <w:t xml:space="preserve">CRITICAL</w:t>
            </w:r>
          </w:p>
        </w:tc>
      </w:tr>
      <w:tr>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WOS §9.2</w:t>
            </w:r>
          </w:p>
        </w:tc>
        <w:tc>
          <w:tcPr>
            <w:tcW w:type="dxa" w:w="3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Probation Governance 90–180 days with Day-80 automation</w:t>
            </w:r>
          </w:p>
        </w:tc>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deployed</w:t>
            </w:r>
          </w:p>
        </w:tc>
        <w:tc>
          <w:tcPr>
            <w:tcW w:type="dxa" w:w="12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CRITICAL</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WOS §10.2</w:t>
            </w:r>
          </w:p>
        </w:tc>
        <w:tc>
          <w:tcPr>
            <w:tcW w:type="dxa" w:w="3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ESB Calculator as versioned policy engine</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deployed</w:t>
            </w:r>
          </w:p>
        </w:tc>
        <w:tc>
          <w:tcPr>
            <w:tcW w:type="dxa" w:w="1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D68910"/>
                <w:sz w:val="20"/>
                <w:szCs w:val="20"/>
              </w:rPr>
              <w:t xml:space="preserve">AMBER</w:t>
            </w:r>
          </w:p>
        </w:tc>
      </w:tr>
      <w:tr>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WOS §11.2</w:t>
            </w:r>
          </w:p>
        </w:tc>
        <w:tc>
          <w:tcPr>
            <w:tcW w:type="dxa" w:w="3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Human-in-the-loop for all termination/contract actions</w:t>
            </w:r>
          </w:p>
        </w:tc>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Designed; not verifiable</w:t>
            </w:r>
          </w:p>
        </w:tc>
        <w:tc>
          <w:tcPr>
            <w:tcW w:type="dxa" w:w="12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D68910"/>
                <w:sz w:val="20"/>
                <w:szCs w:val="20"/>
              </w:rPr>
              <w:t xml:space="preserve">AMBER</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RT-1 §5.2</w:t>
            </w:r>
          </w:p>
        </w:tc>
        <w:tc>
          <w:tcPr>
            <w:tcW w:type="dxa" w:w="3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Explainability UI for AI recommendations</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deployed</w:t>
            </w:r>
          </w:p>
        </w:tc>
        <w:tc>
          <w:tcPr>
            <w:tcW w:type="dxa" w:w="1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C0392B"/>
                <w:sz w:val="20"/>
                <w:szCs w:val="20"/>
              </w:rPr>
              <w:t xml:space="preserve">CRITICAL</w:t>
            </w:r>
          </w:p>
        </w:tc>
      </w:tr>
      <w:tr>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RT-1 §7.3</w:t>
            </w:r>
          </w:p>
        </w:tc>
        <w:tc>
          <w:tcPr>
            <w:tcW w:type="dxa" w:w="3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SDP Program Workspace with budget envelope</w:t>
            </w:r>
          </w:p>
        </w:tc>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deployed</w:t>
            </w:r>
          </w:p>
        </w:tc>
        <w:tc>
          <w:tcPr>
            <w:tcW w:type="dxa" w:w="12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CRITICAL</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Consol. §5</w:t>
            </w:r>
          </w:p>
        </w:tc>
        <w:tc>
          <w:tcPr>
            <w:tcW w:type="dxa" w:w="3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RTL builds fail if translation keys missing</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verified</w:t>
            </w:r>
          </w:p>
        </w:tc>
        <w:tc>
          <w:tcPr>
            <w:tcW w:type="dxa" w:w="1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D68910"/>
                <w:sz w:val="20"/>
                <w:szCs w:val="20"/>
              </w:rPr>
              <w:t xml:space="preserve">AMBER</w:t>
            </w:r>
          </w:p>
        </w:tc>
      </w:tr>
      <w:tr>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Maqaleed Eval</w:t>
            </w:r>
          </w:p>
        </w:tc>
        <w:tc>
          <w:tcPr>
            <w:tcW w:type="dxa" w:w="3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PSP matrix: Tap, PayTabs, HyperPay for MENA rails</w:t>
            </w:r>
          </w:p>
        </w:tc>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confirmed</w:t>
            </w:r>
          </w:p>
        </w:tc>
        <w:tc>
          <w:tcPr>
            <w:tcW w:type="dxa" w:w="12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D68910"/>
                <w:sz w:val="20"/>
                <w:szCs w:val="20"/>
              </w:rPr>
              <w:t xml:space="preserve">AMBER</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Maqaleed Eval</w:t>
            </w:r>
          </w:p>
        </w:tc>
        <w:tc>
          <w:tcPr>
            <w:tcW w:type="dxa" w:w="3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1099-K / KSA PDPL compliance UX in product</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present</w:t>
            </w:r>
          </w:p>
        </w:tc>
        <w:tc>
          <w:tcPr>
            <w:tcW w:type="dxa" w:w="1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D68910"/>
                <w:sz w:val="20"/>
                <w:szCs w:val="20"/>
              </w:rPr>
              <w:t xml:space="preserve">AMBER</w:t>
            </w:r>
          </w:p>
        </w:tc>
      </w:tr>
      <w:tr>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Maqaleed Eval</w:t>
            </w:r>
          </w:p>
        </w:tc>
        <w:tc>
          <w:tcPr>
            <w:tcW w:type="dxa" w:w="3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Worker classification checklist for US flows</w:t>
            </w:r>
          </w:p>
        </w:tc>
        <w:tc>
          <w:tcPr>
            <w:tcW w:type="dxa" w:w="21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present</w:t>
            </w:r>
          </w:p>
        </w:tc>
        <w:tc>
          <w:tcPr>
            <w:tcW w:type="dxa" w:w="12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D68910"/>
                <w:sz w:val="20"/>
                <w:szCs w:val="20"/>
              </w:rPr>
              <w:t xml:space="preserve">AMBER</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AI Exec §IV</w:t>
            </w:r>
          </w:p>
        </w:tc>
        <w:tc>
          <w:tcPr>
            <w:tcW w:type="dxa" w:w="3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S25 sprint gate statuses (G1-G5) enforced in Notion</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externally verifiable</w:t>
            </w:r>
          </w:p>
        </w:tc>
        <w:tc>
          <w:tcPr>
            <w:tcW w:type="dxa" w:w="1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D68910"/>
                <w:sz w:val="20"/>
                <w:szCs w:val="20"/>
              </w:rPr>
              <w:t xml:space="preserve">AMBER</w:t>
            </w:r>
          </w:p>
        </w:tc>
      </w:tr>
    </w:tbl>
    <w:p>
      <w:pPr>
        <w:spacing w:after="0" w:before="200"/>
      </w:pPr>
    </w:p>
    <w:p>
      <w:pPr>
        <w:spacing w:after="80" w:before="60"/>
      </w:pPr>
      <w:r>
        <w:rPr>
          <w:rFonts w:ascii="Arial" w:cs="Arial" w:eastAsia="Arial" w:hAnsi="Arial"/>
          <w:color w:val="C0392B"/>
          <w:sz w:val="22"/>
          <w:szCs w:val="22"/>
        </w:rPr>
        <w:t xml:space="preserve">CRITICAL = must close before enterprise or sovereign client onboarding. AMBER = must close before Series A due diligence.</w:t>
      </w:r>
    </w:p>
    <w:p>
      <w:r>
        <w:br w:type="page"/>
      </w:r>
    </w:p>
    <w:p>
      <w:pPr>
        <w:pStyle w:val="Heading1"/>
        <w:spacing w:after="120" w:before="400"/>
      </w:pPr>
      <w:r>
        <w:rPr>
          <w:rFonts w:ascii="Arial" w:cs="Arial" w:eastAsia="Arial" w:hAnsi="Arial"/>
          <w:b/>
          <w:bCs/>
          <w:color w:val="0D2D4E"/>
          <w:sz w:val="36"/>
          <w:szCs w:val="36"/>
        </w:rPr>
        <w:t xml:space="preserve">3. UX Maturity Evaluation</w:t>
      </w:r>
    </w:p>
    <w:p>
      <w:pPr>
        <w:pBdr>
          <w:bottom w:val="single" w:color="C89B3C" w:sz="10" w:space="1"/>
        </w:pBdr>
        <w:spacing w:after="160" w:before="0"/>
      </w:pPr>
    </w:p>
    <w:p>
      <w:pPr>
        <w:spacing w:after="80" w:before="60"/>
      </w:pPr>
      <w:r>
        <w:rPr>
          <w:rFonts w:ascii="Arial" w:cs="Arial" w:eastAsia="Arial" w:hAnsi="Arial"/>
          <w:color w:val="1A202C"/>
          <w:sz w:val="22"/>
          <w:szCs w:val="22"/>
        </w:rPr>
        <w:t xml:space="preserve">The platform UX has been architecturally redesigned in the WorkCaptain Command Center framework (Command Center / Workforce Command / Execution Engine / AI Control / Compliance &amp; Risk / Financial Control / Trust &amp; Evidence / Work Identity). This is a strong conceptual framework. The evaluation below assesses each screen against 2026 best-in-class standards.</w:t>
      </w:r>
    </w:p>
    <w:p>
      <w:pPr>
        <w:spacing w:after="0" w:before="160"/>
      </w:pPr>
    </w:p>
    <w:p>
      <w:pPr>
        <w:pStyle w:val="Heading2"/>
        <w:spacing w:after="100" w:before="280"/>
      </w:pPr>
      <w:r>
        <w:rPr>
          <w:rFonts w:ascii="Arial" w:cs="Arial" w:eastAsia="Arial" w:hAnsi="Arial"/>
          <w:b/>
          <w:bCs/>
          <w:color w:val="1E6B6B"/>
          <w:sz w:val="28"/>
          <w:szCs w:val="28"/>
        </w:rPr>
        <w:t xml:space="preserve">3.1 Screen-by-Screen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3000"/>
        <w:gridCol w:w="1600"/>
        <w:gridCol w:w="1400"/>
      </w:tblGrid>
      <w:tr>
        <w:trPr>
          <w:tblHeader/>
        </w:trPr>
        <w:tc>
          <w:tcPr>
            <w:tcW w:type="dxa" w:w="18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Screen</w:t>
            </w:r>
          </w:p>
        </w:tc>
        <w:tc>
          <w:tcPr>
            <w:tcW w:type="dxa" w:w="156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30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Design Vision</w:t>
            </w:r>
          </w:p>
        </w:tc>
        <w:tc>
          <w:tcPr>
            <w:tcW w:type="dxa" w:w="16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Current Maturity</w:t>
            </w:r>
          </w:p>
        </w:tc>
        <w:tc>
          <w:tcPr>
            <w:tcW w:type="dxa" w:w="14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Command Center</w:t>
            </w:r>
          </w:p>
        </w:tc>
        <w:tc>
          <w:tcPr>
            <w:tcW w:type="dxa" w:w="15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t>
            </w:r>
          </w:p>
        </w:tc>
        <w:tc>
          <w:tcPr>
            <w:tcW w:type="dxa" w:w="3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CEO decision OS — KPIs, signals, AI, quick actions</w:t>
            </w:r>
          </w:p>
        </w:tc>
        <w:tc>
          <w:tcPr>
            <w:tcW w:type="dxa" w:w="16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BUILT</w:t>
            </w:r>
          </w:p>
        </w:tc>
        <w:tc>
          <w:tcPr>
            <w:tcW w:type="dxa" w:w="14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P0 — Launch blocker</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Workforce Command</w:t>
            </w:r>
          </w:p>
        </w:tc>
        <w:tc>
          <w:tcPr>
            <w:tcW w:type="dxa" w:w="1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/workforce</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Unified FTE + Freelancer table with AI insight panel</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BUILT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P0 — Core flow</w:t>
            </w:r>
          </w:p>
        </w:tc>
      </w:tr>
      <w:tr>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Execution Engine</w:t>
            </w:r>
          </w:p>
        </w:tc>
        <w:tc>
          <w:tcPr>
            <w:tcW w:type="dxa" w:w="15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/execution</w:t>
            </w:r>
          </w:p>
        </w:tc>
        <w:tc>
          <w:tcPr>
            <w:tcW w:type="dxa" w:w="3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Project/milestone orchestration with delay risk signals</w:t>
            </w:r>
          </w:p>
        </w:tc>
        <w:tc>
          <w:tcPr>
            <w:tcW w:type="dxa" w:w="16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BUILT</w:t>
            </w:r>
          </w:p>
        </w:tc>
        <w:tc>
          <w:tcPr>
            <w:tcW w:type="dxa" w:w="14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P0 — Core flow</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AI Control</w:t>
            </w:r>
          </w:p>
        </w:tc>
        <w:tc>
          <w:tcPr>
            <w:tcW w:type="dxa" w:w="1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/ai</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AI activity log — reasons, confidence, approval actions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BUILT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P0 — Governance req.</w:t>
            </w:r>
          </w:p>
        </w:tc>
      </w:tr>
      <w:tr>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Compliance &amp; Risk</w:t>
            </w:r>
          </w:p>
        </w:tc>
        <w:tc>
          <w:tcPr>
            <w:tcW w:type="dxa" w:w="15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/compliance</w:t>
            </w:r>
          </w:p>
        </w:tc>
        <w:tc>
          <w:tcPr>
            <w:tcW w:type="dxa" w:w="3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Nitaqat, WPS, Probation — sovereign layer hub</w:t>
            </w:r>
          </w:p>
        </w:tc>
        <w:tc>
          <w:tcPr>
            <w:tcW w:type="dxa" w:w="16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BUILT</w:t>
            </w:r>
          </w:p>
        </w:tc>
        <w:tc>
          <w:tcPr>
            <w:tcW w:type="dxa" w:w="14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P0 — Sovereign moat</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Financial Control</w:t>
            </w:r>
          </w:p>
        </w:tc>
        <w:tc>
          <w:tcPr>
            <w:tcW w:type="dxa" w:w="1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/payments</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Cost breakdown FTE vs freelancer, AI savings suggestions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PARTIAL</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P1</w:t>
            </w:r>
          </w:p>
        </w:tc>
      </w:tr>
      <w:tr>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Trust &amp; Evidence</w:t>
            </w:r>
          </w:p>
        </w:tc>
        <w:tc>
          <w:tcPr>
            <w:tcW w:type="dxa" w:w="15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/evidence</w:t>
            </w:r>
          </w:p>
        </w:tc>
        <w:tc>
          <w:tcPr>
            <w:tcW w:type="dxa" w:w="3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EP pack library, audit-ready viewer, export</w:t>
            </w:r>
          </w:p>
        </w:tc>
        <w:tc>
          <w:tcPr>
            <w:tcW w:type="dxa" w:w="16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BUILT</w:t>
            </w:r>
          </w:p>
        </w:tc>
        <w:tc>
          <w:tcPr>
            <w:tcW w:type="dxa" w:w="14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P0 — Enterprise req.</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Work Identity</w:t>
            </w:r>
          </w:p>
        </w:tc>
        <w:tc>
          <w:tcPr>
            <w:tcW w:type="dxa" w:w="1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/identity</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ERI score, verified project history, tokens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BUILT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P1</w:t>
            </w:r>
          </w:p>
        </w:tc>
      </w:tr>
      <w:tr>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Settings / Admin</w:t>
            </w:r>
          </w:p>
        </w:tc>
        <w:tc>
          <w:tcPr>
            <w:tcW w:type="dxa" w:w="15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/admin</w:t>
            </w:r>
          </w:p>
        </w:tc>
        <w:tc>
          <w:tcPr>
            <w:tcW w:type="dxa" w:w="3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RBAC, tenant config, policy versioning</w:t>
            </w:r>
          </w:p>
        </w:tc>
        <w:tc>
          <w:tcPr>
            <w:tcW w:type="dxa" w:w="16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PARTIAL</w:t>
            </w:r>
          </w:p>
        </w:tc>
        <w:tc>
          <w:tcPr>
            <w:tcW w:type="dxa" w:w="14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P1</w:t>
            </w:r>
          </w:p>
        </w:tc>
      </w:tr>
    </w:tbl>
    <w:p>
      <w:pPr>
        <w:spacing w:after="0" w:before="200"/>
      </w:pPr>
    </w:p>
    <w:p>
      <w:pPr>
        <w:pStyle w:val="Heading2"/>
        <w:spacing w:after="100" w:before="280"/>
      </w:pPr>
      <w:r>
        <w:rPr>
          <w:rFonts w:ascii="Arial" w:cs="Arial" w:eastAsia="Arial" w:hAnsi="Arial"/>
          <w:b/>
          <w:bCs/>
          <w:color w:val="1E6B6B"/>
          <w:sz w:val="28"/>
          <w:szCs w:val="28"/>
        </w:rPr>
        <w:t xml:space="preserve">3.2 UX Design Principles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00"/>
        <w:gridCol w:w="1660"/>
      </w:tblGrid>
      <w:tr>
        <w:trPr>
          <w:tblHeader/>
        </w:trPr>
        <w:tc>
          <w:tcPr>
            <w:tcW w:type="dxa" w:w="22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Principle</w:t>
            </w:r>
          </w:p>
        </w:tc>
        <w:tc>
          <w:tcPr>
            <w:tcW w:type="dxa" w:w="30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Required Standard</w:t>
            </w:r>
          </w:p>
        </w:tc>
        <w:tc>
          <w:tcPr>
            <w:tcW w:type="dxa" w:w="25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Current State</w:t>
            </w:r>
          </w:p>
        </w:tc>
        <w:tc>
          <w:tcPr>
            <w:tcW w:type="dxa" w:w="166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Rating</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Command Center Paradigm</w:t>
            </w:r>
          </w:p>
        </w:tc>
        <w:tc>
          <w:tcPr>
            <w:tcW w:type="dxa" w:w="3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Pages become a single decision OS with real-time signals</w:t>
            </w:r>
          </w:p>
        </w:tc>
        <w:tc>
          <w:tcPr>
            <w:tcW w:type="dxa" w:w="2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Standard SaaS pages</w:t>
            </w:r>
          </w:p>
        </w:tc>
        <w:tc>
          <w:tcPr>
            <w:tcW w:type="dxa" w:w="16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RED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AI Surfacing</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Every AI recommendation visible, explainable, approvable</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 AI surfacing in UI</w:t>
            </w:r>
          </w:p>
        </w:tc>
        <w:tc>
          <w:tcPr>
            <w:tcW w:type="dxa" w:w="16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C0392B"/>
                <w:sz w:val="20"/>
                <w:szCs w:val="20"/>
              </w:rPr>
              <w:t xml:space="preserve">RED</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RTL-First Design</w:t>
            </w:r>
          </w:p>
        </w:tc>
        <w:tc>
          <w:tcPr>
            <w:tcW w:type="dxa" w:w="3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Arabic layout renders natively, builds fail on missing keys</w:t>
            </w:r>
          </w:p>
        </w:tc>
        <w:tc>
          <w:tcPr>
            <w:tcW w:type="dxa" w:w="2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confirmed</w:t>
            </w:r>
          </w:p>
        </w:tc>
        <w:tc>
          <w:tcPr>
            <w:tcW w:type="dxa" w:w="16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D68910"/>
                <w:sz w:val="20"/>
                <w:szCs w:val="20"/>
              </w:rPr>
              <w:t xml:space="preserve">AMBER</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Mobile Responsiveness</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Full feature parity mobile (PWA or native app)</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Unknown — React SPA only</w:t>
            </w:r>
          </w:p>
        </w:tc>
        <w:tc>
          <w:tcPr>
            <w:tcW w:type="dxa" w:w="16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D68910"/>
                <w:sz w:val="20"/>
                <w:szCs w:val="20"/>
              </w:rPr>
              <w:t xml:space="preserve">AMBER</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Evidence Visibility</w:t>
            </w:r>
          </w:p>
        </w:tc>
        <w:tc>
          <w:tcPr>
            <w:tcW w:type="dxa" w:w="3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EP packs viewable, exportable, audit-ready at any time</w:t>
            </w:r>
          </w:p>
        </w:tc>
        <w:tc>
          <w:tcPr>
            <w:tcW w:type="dxa" w:w="2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present</w:t>
            </w:r>
          </w:p>
        </w:tc>
        <w:tc>
          <w:tcPr>
            <w:tcW w:type="dxa" w:w="16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RED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KPI Strip</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Real-time: Workforce %, Compliance %, Trust %, Cost</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present</w:t>
            </w:r>
          </w:p>
        </w:tc>
        <w:tc>
          <w:tcPr>
            <w:tcW w:type="dxa" w:w="16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C0392B"/>
                <w:sz w:val="20"/>
                <w:szCs w:val="20"/>
              </w:rPr>
              <w:t xml:space="preserve">RED</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Zero-Friction Quick Actions</w:t>
            </w:r>
          </w:p>
        </w:tc>
        <w:tc>
          <w:tcPr>
            <w:tcW w:type="dxa" w:w="3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Command Center: Create Role, Assign Task, Generate Contract</w:t>
            </w:r>
          </w:p>
        </w:tc>
        <w:tc>
          <w:tcPr>
            <w:tcW w:type="dxa" w:w="2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present</w:t>
            </w:r>
          </w:p>
        </w:tc>
        <w:tc>
          <w:tcPr>
            <w:tcW w:type="dxa" w:w="16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RED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Risk Indicators</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Green / Amber / Red across all entities and workflows</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present</w:t>
            </w:r>
          </w:p>
        </w:tc>
        <w:tc>
          <w:tcPr>
            <w:tcW w:type="dxa" w:w="16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C0392B"/>
                <w:sz w:val="20"/>
                <w:szCs w:val="20"/>
              </w:rPr>
              <w:t xml:space="preserve">RED</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Accessibility WCAG 2.2</w:t>
            </w:r>
          </w:p>
        </w:tc>
        <w:tc>
          <w:tcPr>
            <w:tcW w:type="dxa" w:w="3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AA compliance, focus appearance, target size 24x24px</w:t>
            </w:r>
          </w:p>
        </w:tc>
        <w:tc>
          <w:tcPr>
            <w:tcW w:type="dxa" w:w="2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confirmed, no test evidence</w:t>
            </w:r>
          </w:p>
        </w:tc>
        <w:tc>
          <w:tcPr>
            <w:tcW w:type="dxa" w:w="16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D68910"/>
                <w:sz w:val="20"/>
                <w:szCs w:val="20"/>
              </w:rPr>
              <w:t xml:space="preserve">AMBER</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Core Web Vitals</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p75 pass rate &gt;= 85%, budgeted in CI</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 CI evidence</w:t>
            </w:r>
          </w:p>
        </w:tc>
        <w:tc>
          <w:tcPr>
            <w:tcW w:type="dxa" w:w="16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D68910"/>
                <w:sz w:val="20"/>
                <w:szCs w:val="20"/>
              </w:rPr>
              <w:t xml:space="preserve">AMBER</w:t>
            </w:r>
          </w:p>
        </w:tc>
      </w:tr>
    </w:tbl>
    <w:p>
      <w:r>
        <w:br w:type="page"/>
      </w:r>
    </w:p>
    <w:p>
      <w:pPr>
        <w:pStyle w:val="Heading1"/>
        <w:spacing w:after="120" w:before="400"/>
      </w:pPr>
      <w:r>
        <w:rPr>
          <w:rFonts w:ascii="Arial" w:cs="Arial" w:eastAsia="Arial" w:hAnsi="Arial"/>
          <w:b/>
          <w:bCs/>
          <w:color w:val="0D2D4E"/>
          <w:sz w:val="36"/>
          <w:szCs w:val="36"/>
        </w:rPr>
        <w:t xml:space="preserve">4. Competitive Positioning Analysis</w:t>
      </w:r>
    </w:p>
    <w:p>
      <w:pPr>
        <w:pBdr>
          <w:bottom w:val="single" w:color="C89B3C" w:sz="10" w:space="1"/>
        </w:pBdr>
        <w:spacing w:after="160" w:before="0"/>
      </w:pPr>
    </w:p>
    <w:p>
      <w:pPr>
        <w:spacing w:after="80" w:before="60"/>
      </w:pPr>
      <w:r>
        <w:rPr>
          <w:rFonts w:ascii="Arial" w:cs="Arial" w:eastAsia="Arial" w:hAnsi="Arial"/>
          <w:color w:val="1A202C"/>
          <w:sz w:val="22"/>
          <w:szCs w:val="22"/>
        </w:rPr>
        <w:t xml:space="preserve">WorkCaptain targets the white space between Upwork (volume marketplace) and Deel (compliance/payroll). The sovereign-first, evidence-backed Remote Delivery Platform is genuinely differentiated — if built and shipped. The analysis below measures current reality against competitive benchmarks.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1200"/>
        <w:gridCol w:w="2000"/>
        <w:gridCol w:w="1960"/>
      </w:tblGrid>
      <w:tr>
        <w:trPr>
          <w:tblHeader/>
        </w:trPr>
        <w:tc>
          <w:tcPr>
            <w:tcW w:type="dxa" w:w="20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Capability</w:t>
            </w:r>
          </w:p>
        </w:tc>
        <w:tc>
          <w:tcPr>
            <w:tcW w:type="dxa" w:w="12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Upwork</w:t>
            </w:r>
          </w:p>
        </w:tc>
        <w:tc>
          <w:tcPr>
            <w:tcW w:type="dxa" w:w="10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Deel</w:t>
            </w:r>
          </w:p>
        </w:tc>
        <w:tc>
          <w:tcPr>
            <w:tcW w:type="dxa" w:w="12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Fiverr</w:t>
            </w:r>
          </w:p>
        </w:tc>
        <w:tc>
          <w:tcPr>
            <w:tcW w:type="dxa" w:w="20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WorkCaptain Designed</w:t>
            </w:r>
          </w:p>
        </w:tc>
        <w:tc>
          <w:tcPr>
            <w:tcW w:type="dxa" w:w="196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WorkCaptain Live</w:t>
            </w:r>
          </w:p>
        </w:tc>
      </w:tr>
      <w:tr>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Freelancer marketplace</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9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Partial</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FTE + Freelancer unified OS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KSA Nitaqat / Qiwa compliance</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9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WPS Readiness Automation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ESB Calculator (policy engine)</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9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Seasonal Delivery Programs (SDP)</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Evidence Pack / Audit Fabric</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Partial</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9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AI assembly with audit log</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Partial</w:t>
            </w:r>
          </w:p>
        </w:tc>
        <w:tc>
          <w:tcPr>
            <w:tcW w:type="dxa" w:w="1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Work Identity / ERI</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9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Immutable AI recommendation log</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0% freelancer commission</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N/A</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9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TBC</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MENA PSP integration (mada/Tap)</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Partial</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TBC</w:t>
            </w:r>
          </w:p>
        </w:tc>
      </w:tr>
      <w:tr>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RTL Arabic-first UI</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Partial</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19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Partial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8F5E9" w:val="clear"/>
            <w:tcMar>
              <w:top w:type="dxa" w:w="120"/>
              <w:left w:type="dxa" w:w="200"/>
              <w:bottom w:type="dxa" w:w="120"/>
              <w:right w:type="dxa" w:w="200"/>
            </w:tcMar>
          </w:tcPr>
          <w:p>
            <w:pPr>
              <w:spacing w:after="0" w:before="0"/>
            </w:pPr>
            <w:r>
              <w:rPr>
                <w:rFonts w:ascii="Arial" w:cs="Arial" w:eastAsia="Arial" w:hAnsi="Arial"/>
                <w:b/>
                <w:bCs/>
                <w:color w:val="1A7A4A"/>
                <w:sz w:val="22"/>
                <w:szCs w:val="22"/>
              </w:rPr>
              <w:t xml:space="preserve">STRATEGIC INSIGHT:  </w:t>
            </w:r>
            <w:r>
              <w:rPr>
                <w:rFonts w:ascii="Arial" w:cs="Arial" w:eastAsia="Arial" w:hAnsi="Arial"/>
                <w:color w:val="1A202C"/>
                <w:sz w:val="22"/>
                <w:szCs w:val="22"/>
              </w:rPr>
              <w:t xml:space="preserve">WorkCaptain's designed feature set is categorically superior to all three primary competitors across sovereign compliance, evidence fabric, and unified workforce OS. The only threat is time-to-market. Every month without the Command Center + Compliance Layer deployed is market share left for a better-funded competitor to claim.</w:t>
            </w:r>
          </w:p>
        </w:tc>
      </w:tr>
    </w:tbl>
    <w:p>
      <w:r>
        <w:br w:type="page"/>
      </w:r>
    </w:p>
    <w:p>
      <w:pPr>
        <w:pStyle w:val="Heading1"/>
        <w:spacing w:after="120" w:before="400"/>
      </w:pPr>
      <w:r>
        <w:rPr>
          <w:rFonts w:ascii="Arial" w:cs="Arial" w:eastAsia="Arial" w:hAnsi="Arial"/>
          <w:b/>
          <w:bCs/>
          <w:color w:val="0D2D4E"/>
          <w:sz w:val="36"/>
          <w:szCs w:val="36"/>
        </w:rPr>
        <w:t xml:space="preserve">5. Payment &amp; Financial Architecture Review</w:t>
      </w:r>
    </w:p>
    <w:p>
      <w:pPr>
        <w:pBdr>
          <w:bottom w:val="single" w:color="C89B3C" w:sz="10" w:space="1"/>
        </w:pBdr>
        <w:spacing w:after="160" w:before="0"/>
      </w:pPr>
    </w:p>
    <w:p>
      <w:pPr>
        <w:spacing w:after="80" w:before="60"/>
      </w:pPr>
      <w:r>
        <w:rPr>
          <w:rFonts w:ascii="Arial" w:cs="Arial" w:eastAsia="Arial" w:hAnsi="Arial"/>
          <w:color w:val="1A202C"/>
          <w:sz w:val="22"/>
          <w:szCs w:val="22"/>
        </w:rPr>
        <w:t xml:space="preserve">Based on the Maqaleed Digital BRD evaluation and current market requirements for KSA/GCC deployment, the following payment architecture gaps require resolution.</w:t>
      </w:r>
    </w:p>
    <w:p>
      <w:pPr>
        <w:spacing w:after="0" w:before="160"/>
      </w:pPr>
    </w:p>
    <w:p>
      <w:pPr>
        <w:pStyle w:val="Heading2"/>
        <w:spacing w:after="100" w:before="280"/>
      </w:pPr>
      <w:r>
        <w:rPr>
          <w:rFonts w:ascii="Arial" w:cs="Arial" w:eastAsia="Arial" w:hAnsi="Arial"/>
          <w:b/>
          <w:bCs/>
          <w:color w:val="1E6B6B"/>
          <w:sz w:val="28"/>
          <w:szCs w:val="28"/>
        </w:rPr>
        <w:t xml:space="preserve">5.1 PSP Matrix (Required for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60"/>
        <w:gridCol w:w="1800"/>
        <w:gridCol w:w="1400"/>
      </w:tblGrid>
      <w:tr>
        <w:trPr>
          <w:tblHeader/>
        </w:trPr>
        <w:tc>
          <w:tcPr>
            <w:tcW w:type="dxa" w:w="15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Region</w:t>
            </w:r>
          </w:p>
        </w:tc>
        <w:tc>
          <w:tcPr>
            <w:tcW w:type="dxa" w:w="18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Recommended PSP</w:t>
            </w:r>
          </w:p>
        </w:tc>
        <w:tc>
          <w:tcPr>
            <w:tcW w:type="dxa" w:w="286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Capability</w:t>
            </w:r>
          </w:p>
        </w:tc>
        <w:tc>
          <w:tcPr>
            <w:tcW w:type="dxa" w:w="18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c>
          <w:tcPr>
            <w:tcW w:type="dxa" w:w="14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1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Global</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Stripe Connect</w:t>
            </w:r>
          </w:p>
        </w:tc>
        <w:tc>
          <w:tcPr>
            <w:tcW w:type="dxa" w:w="28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Marketplace KYC/KYB, split settlement, instant payouts</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TBC</w:t>
            </w:r>
          </w:p>
        </w:tc>
        <w:tc>
          <w:tcPr>
            <w:tcW w:type="dxa" w:w="14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P0</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KSA</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HyperPay HyperSplit</w:t>
            </w:r>
          </w:p>
        </w:tc>
        <w:tc>
          <w:tcPr>
            <w:tcW w:type="dxa" w:w="28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mada rails, local compliance</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integrated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P0</w:t>
            </w:r>
          </w:p>
        </w:tc>
      </w:tr>
      <w:tr>
        <w:tc>
          <w:tcPr>
            <w:tcW w:type="dxa" w:w="1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KSA/UAE</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Tap Marketplaces</w:t>
            </w:r>
          </w:p>
        </w:tc>
        <w:tc>
          <w:tcPr>
            <w:tcW w:type="dxa" w:w="28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Split payouts, MENA rails</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integrated</w:t>
            </w:r>
          </w:p>
        </w:tc>
        <w:tc>
          <w:tcPr>
            <w:tcW w:type="dxa" w:w="14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P0</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KSA/UAE</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PayTabs Split</w:t>
            </w:r>
          </w:p>
        </w:tc>
        <w:tc>
          <w:tcPr>
            <w:tcW w:type="dxa" w:w="28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Alternative MENA rails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integrated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P1</w:t>
            </w:r>
          </w:p>
        </w:tc>
      </w:tr>
      <w:tr>
        <w:tc>
          <w:tcPr>
            <w:tcW w:type="dxa" w:w="1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Global</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Payoneer/Wise</w:t>
            </w:r>
          </w:p>
        </w:tc>
        <w:tc>
          <w:tcPr>
            <w:tcW w:type="dxa" w:w="28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Freelancer withdrawals</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TBC</w:t>
            </w:r>
          </w:p>
        </w:tc>
        <w:tc>
          <w:tcPr>
            <w:tcW w:type="dxa" w:w="14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P1</w:t>
            </w:r>
          </w:p>
        </w:tc>
      </w:tr>
    </w:tbl>
    <w:p>
      <w:pPr>
        <w:spacing w:after="0" w:before="200"/>
      </w:pPr>
    </w:p>
    <w:p>
      <w:pPr>
        <w:pStyle w:val="Heading2"/>
        <w:spacing w:after="100" w:before="280"/>
      </w:pPr>
      <w:r>
        <w:rPr>
          <w:rFonts w:ascii="Arial" w:cs="Arial" w:eastAsia="Arial" w:hAnsi="Arial"/>
          <w:b/>
          <w:bCs/>
          <w:color w:val="1E6B6B"/>
          <w:sz w:val="28"/>
          <w:szCs w:val="28"/>
        </w:rPr>
        <w:t xml:space="preserve">5.2 Escrow Architecture</w:t>
      </w:r>
    </w:p>
    <w:p>
      <w:pPr>
        <w:pStyle w:val="ListParagraph"/>
        <w:numPr>
          <w:ilvl w:val="0"/>
          <w:numId w:val="2"/>
        </w:numPr>
        <w:spacing w:after="60" w:before="40"/>
      </w:pPr>
      <w:r>
        <w:rPr>
          <w:rFonts w:ascii="Arial" w:cs="Arial" w:eastAsia="Arial" w:hAnsi="Arial"/>
          <w:color w:val="0D2D4E"/>
          <w:sz w:val="22"/>
          <w:szCs w:val="22"/>
        </w:rPr>
        <w:t xml:space="preserve">14-day client review window with auto-release confirmed in BRD — must be validated in live escrow state machine</w:t>
      </w:r>
    </w:p>
    <w:p>
      <w:pPr>
        <w:pStyle w:val="ListParagraph"/>
        <w:numPr>
          <w:ilvl w:val="0"/>
          <w:numId w:val="2"/>
        </w:numPr>
        <w:spacing w:after="60" w:before="40"/>
      </w:pPr>
      <w:r>
        <w:rPr>
          <w:rFonts w:ascii="Arial" w:cs="Arial" w:eastAsia="Arial" w:hAnsi="Arial"/>
          <w:color w:val="0D2D4E"/>
          <w:sz w:val="22"/>
          <w:szCs w:val="22"/>
        </w:rPr>
        <w:t xml:space="preserve">5-day security hold after auto-release is correctly specified — verify in Stripe Connect implementation</w:t>
      </w:r>
    </w:p>
    <w:p>
      <w:pPr>
        <w:pStyle w:val="ListParagraph"/>
        <w:numPr>
          <w:ilvl w:val="0"/>
          <w:numId w:val="2"/>
        </w:numPr>
        <w:spacing w:after="60" w:before="40"/>
      </w:pPr>
      <w:r>
        <w:rPr>
          <w:rFonts w:ascii="Arial" w:cs="Arial" w:eastAsia="Arial" w:hAnsi="Arial"/>
          <w:color w:val="0D2D4E"/>
          <w:sz w:val="22"/>
          <w:szCs w:val="22"/>
        </w:rPr>
        <w:t xml:space="preserve">Mediator hold escrow bucket must be implemented for dispute escalations (V1 requirement)</w:t>
      </w:r>
    </w:p>
    <w:p>
      <w:pPr>
        <w:pStyle w:val="ListParagraph"/>
        <w:numPr>
          <w:ilvl w:val="0"/>
          <w:numId w:val="2"/>
        </w:numPr>
        <w:spacing w:after="60" w:before="40"/>
      </w:pPr>
      <w:r>
        <w:rPr>
          <w:rFonts w:ascii="Arial" w:cs="Arial" w:eastAsia="Arial" w:hAnsi="Arial"/>
          <w:color w:val="0D2D4E"/>
          <w:sz w:val="22"/>
          <w:szCs w:val="22"/>
        </w:rPr>
        <w:t xml:space="preserve">Instant payout SLA target: &lt;= 30 minutes where PSP supports it — must be surfaced in payout ETA badge</w:t>
      </w:r>
    </w:p>
    <w:p>
      <w:pPr>
        <w:pStyle w:val="ListParagraph"/>
        <w:numPr>
          <w:ilvl w:val="0"/>
          <w:numId w:val="2"/>
        </w:numPr>
        <w:spacing w:after="60" w:before="40"/>
      </w:pPr>
      <w:r>
        <w:rPr>
          <w:rFonts w:ascii="Arial" w:cs="Arial" w:eastAsia="Arial" w:hAnsi="Arial"/>
          <w:color w:val="0D2D4E"/>
          <w:sz w:val="22"/>
          <w:szCs w:val="22"/>
        </w:rPr>
        <w:t xml:space="preserve">Program-level financial reporting (SDP budget envelope vs actuals) must be a first-class dashboard element</w:t>
      </w:r>
    </w:p>
    <w:p>
      <w:pPr>
        <w:spacing w:after="0" w:before="160"/>
      </w:pPr>
    </w:p>
    <w:p>
      <w:pPr>
        <w:pStyle w:val="Heading2"/>
        <w:spacing w:after="100" w:before="280"/>
      </w:pPr>
      <w:r>
        <w:rPr>
          <w:rFonts w:ascii="Arial" w:cs="Arial" w:eastAsia="Arial" w:hAnsi="Arial"/>
          <w:b/>
          <w:bCs/>
          <w:color w:val="1E6B6B"/>
          <w:sz w:val="28"/>
          <w:szCs w:val="28"/>
        </w:rPr>
        <w:t xml:space="preserve">5.3 Fee Transparency Requirements</w:t>
      </w:r>
    </w:p>
    <w:p>
      <w:pPr>
        <w:pStyle w:val="ListParagraph"/>
        <w:numPr>
          <w:ilvl w:val="0"/>
          <w:numId w:val="2"/>
        </w:numPr>
        <w:spacing w:after="60" w:before="40"/>
      </w:pPr>
      <w:r>
        <w:rPr>
          <w:rFonts w:ascii="Arial" w:cs="Arial" w:eastAsia="Arial" w:hAnsi="Arial"/>
          <w:color w:val="0D2D4E"/>
          <w:sz w:val="22"/>
          <w:szCs w:val="22"/>
        </w:rPr>
        <w:t xml:space="preserve">Client-side: Platform fee + payment method uplift + dispute fee + instant-payout surcharge — all on one screen before commit</w:t>
      </w:r>
    </w:p>
    <w:p>
      <w:pPr>
        <w:pStyle w:val="ListParagraph"/>
        <w:numPr>
          <w:ilvl w:val="0"/>
          <w:numId w:val="2"/>
        </w:numPr>
        <w:spacing w:after="60" w:before="40"/>
      </w:pPr>
      <w:r>
        <w:rPr>
          <w:rFonts w:ascii="Arial" w:cs="Arial" w:eastAsia="Arial" w:hAnsi="Arial"/>
          <w:color w:val="0D2D4E"/>
          <w:sz w:val="22"/>
          <w:szCs w:val="22"/>
        </w:rPr>
        <w:t xml:space="preserve">Freelancer-side: 0% commission (core differentiator) + withdrawal fees per method + currency conversion markup</w:t>
      </w:r>
    </w:p>
    <w:p>
      <w:pPr>
        <w:pStyle w:val="ListParagraph"/>
        <w:numPr>
          <w:ilvl w:val="0"/>
          <w:numId w:val="2"/>
        </w:numPr>
        <w:spacing w:after="60" w:before="40"/>
      </w:pPr>
      <w:r>
        <w:rPr>
          <w:rFonts w:ascii="Arial" w:cs="Arial" w:eastAsia="Arial" w:hAnsi="Arial"/>
          <w:color w:val="0D2D4E"/>
          <w:sz w:val="22"/>
          <w:szCs w:val="22"/>
        </w:rPr>
        <w:t xml:space="preserve">'What changes, when' banner required — competitor fee volatility is a positioning asset for WorkCaptain</w:t>
      </w:r>
    </w:p>
    <w:p>
      <w:pPr>
        <w:pStyle w:val="ListParagraph"/>
        <w:numPr>
          <w:ilvl w:val="0"/>
          <w:numId w:val="2"/>
        </w:numPr>
        <w:spacing w:after="60" w:before="40"/>
      </w:pPr>
      <w:r>
        <w:rPr>
          <w:rFonts w:ascii="Arial" w:cs="Arial" w:eastAsia="Arial" w:hAnsi="Arial"/>
          <w:color w:val="0D2D4E"/>
          <w:sz w:val="22"/>
          <w:szCs w:val="22"/>
        </w:rPr>
        <w:t xml:space="preserve">Fee calculator widget required on job-post and offer screens</w:t>
      </w:r>
    </w:p>
    <w:p>
      <w:r>
        <w:br w:type="page"/>
      </w:r>
    </w:p>
    <w:p>
      <w:pPr>
        <w:pStyle w:val="Heading1"/>
        <w:spacing w:after="120" w:before="400"/>
      </w:pPr>
      <w:r>
        <w:rPr>
          <w:rFonts w:ascii="Arial" w:cs="Arial" w:eastAsia="Arial" w:hAnsi="Arial"/>
          <w:b/>
          <w:bCs/>
          <w:color w:val="0D2D4E"/>
          <w:sz w:val="36"/>
          <w:szCs w:val="36"/>
        </w:rPr>
        <w:t xml:space="preserve">6. AI Governance &amp; Execution Layer Review</w:t>
      </w:r>
    </w:p>
    <w:p>
      <w:pPr>
        <w:pBdr>
          <w:bottom w:val="single" w:color="C89B3C" w:sz="10" w:space="1"/>
        </w:pBdr>
        <w:spacing w:after="160" w:before="0"/>
      </w:pPr>
    </w:p>
    <w:p>
      <w:pPr>
        <w:spacing w:after="80" w:before="60"/>
      </w:pPr>
      <w:r>
        <w:rPr>
          <w:rFonts w:ascii="Arial" w:cs="Arial" w:eastAsia="Arial" w:hAnsi="Arial"/>
          <w:color w:val="1A202C"/>
          <w:sz w:val="22"/>
          <w:szCs w:val="22"/>
        </w:rPr>
        <w:t xml:space="preserve">The tri-layer AI execution model (ChatGPT Architect / Claude Code Executor / Emergent Prototype) is one of the most sophisticated AI governance frameworks at this product stage. The S25 sprint gate system provides the necessary human control points. The following gaps require closure to be defensible for enterprise and regulatory audiences.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2760"/>
      </w:tblGrid>
      <w:tr>
        <w:trPr>
          <w:tblHeader/>
        </w:trPr>
        <w:tc>
          <w:tcPr>
            <w:tcW w:type="dxa" w:w="32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AI Governance Requirement</w:t>
            </w:r>
          </w:p>
        </w:tc>
        <w:tc>
          <w:tcPr>
            <w:tcW w:type="dxa" w:w="16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BRD Source</w:t>
            </w:r>
          </w:p>
        </w:tc>
        <w:tc>
          <w:tcPr>
            <w:tcW w:type="dxa" w:w="18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Current Status</w:t>
            </w:r>
          </w:p>
        </w:tc>
        <w:tc>
          <w:tcPr>
            <w:tcW w:type="dxa" w:w="276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 Required</w:t>
            </w:r>
          </w:p>
        </w:tc>
      </w:tr>
      <w:tr>
        <w:tc>
          <w:tcPr>
            <w:tcW w:type="dxa" w:w="3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RecommendationAuditLog — input signals, rationale, confidence, timestamp, approver</w:t>
            </w:r>
          </w:p>
        </w:tc>
        <w:tc>
          <w:tcPr>
            <w:tcW w:type="dxa" w:w="16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Gold BRD A4</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Designed only</w:t>
            </w:r>
          </w:p>
        </w:tc>
        <w:tc>
          <w:tcPr>
            <w:tcW w:type="dxa" w:w="27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Implement + surface in /ai</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Immutable audit log — exportable for regulators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Gold BRD A4 / A7</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Designed only</w:t>
            </w:r>
          </w:p>
        </w:tc>
        <w:tc>
          <w:tcPr>
            <w:tcW w:type="dxa" w:w="2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Implement immutability + export API</w:t>
            </w:r>
          </w:p>
        </w:tc>
      </w:tr>
      <w:tr>
        <w:tc>
          <w:tcPr>
            <w:tcW w:type="dxa" w:w="3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Explainability UI for high-impact recommendations</w:t>
            </w:r>
          </w:p>
        </w:tc>
        <w:tc>
          <w:tcPr>
            <w:tcW w:type="dxa" w:w="16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WOS §11.2</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built</w:t>
            </w:r>
          </w:p>
        </w:tc>
        <w:tc>
          <w:tcPr>
            <w:tcW w:type="dxa" w:w="27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Build explanation cards in /ai</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AI never auto-hires, auto-assigns, auto-contracts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Gold BRD A4</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Policy only</w:t>
            </w:r>
          </w:p>
        </w:tc>
        <w:tc>
          <w:tcPr>
            <w:tcW w:type="dxa" w:w="2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Enforce via code + UI approval gates</w:t>
            </w:r>
          </w:p>
        </w:tc>
      </w:tr>
      <w:tr>
        <w:tc>
          <w:tcPr>
            <w:tcW w:type="dxa" w:w="3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All AI outputs logged: prompt, context, model version, output, reviewer</w:t>
            </w:r>
          </w:p>
        </w:tc>
        <w:tc>
          <w:tcPr>
            <w:tcW w:type="dxa" w:w="16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WOS §11.3</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confirmed</w:t>
            </w:r>
          </w:p>
        </w:tc>
        <w:tc>
          <w:tcPr>
            <w:tcW w:type="dxa" w:w="27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Implement logging pipeline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Bias monitoring on talent matching recommendations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RT-1 §8.2</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present</w:t>
            </w:r>
          </w:p>
        </w:tc>
        <w:tc>
          <w:tcPr>
            <w:tcW w:type="dxa" w:w="2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Add bias score to AuditLog schema</w:t>
            </w:r>
          </w:p>
        </w:tc>
      </w:tr>
      <w:tr>
        <w:tc>
          <w:tcPr>
            <w:tcW w:type="dxa" w:w="3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Emergent outputs require manual review before repo merge</w:t>
            </w:r>
          </w:p>
        </w:tc>
        <w:tc>
          <w:tcPr>
            <w:tcW w:type="dxa" w:w="16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AI Exec §V</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Process-level</w:t>
            </w:r>
          </w:p>
        </w:tc>
        <w:tc>
          <w:tcPr>
            <w:tcW w:type="dxa" w:w="27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Enforce via branch protection + PR template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Override tracking and learning from rejected recommendations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RT-1 §5.3</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built</w:t>
            </w:r>
          </w:p>
        </w:tc>
        <w:tc>
          <w:tcPr>
            <w:tcW w:type="dxa" w:w="2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Implement override analytics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FF3CD" w:val="clear"/>
            <w:tcMar>
              <w:top w:type="dxa" w:w="120"/>
              <w:left w:type="dxa" w:w="200"/>
              <w:bottom w:type="dxa" w:w="120"/>
              <w:right w:type="dxa" w:w="200"/>
            </w:tcMar>
          </w:tcPr>
          <w:p>
            <w:pPr>
              <w:spacing w:after="0" w:before="0"/>
            </w:pPr>
            <w:r>
              <w:rPr>
                <w:rFonts w:ascii="Arial" w:cs="Arial" w:eastAsia="Arial" w:hAnsi="Arial"/>
                <w:b/>
                <w:bCs/>
                <w:color w:val="D68910"/>
                <w:sz w:val="22"/>
                <w:szCs w:val="22"/>
              </w:rPr>
              <w:t xml:space="preserve">CRITICAL COMPLIANCE NOTE:  </w:t>
            </w:r>
            <w:r>
              <w:rPr>
                <w:rFonts w:ascii="Arial" w:cs="Arial" w:eastAsia="Arial" w:hAnsi="Arial"/>
                <w:color w:val="1A202C"/>
                <w:sz w:val="22"/>
                <w:szCs w:val="22"/>
              </w:rPr>
              <w:t xml:space="preserve">S25-G2 (RBAC Freeze) and S25-G3 (Evidence Pack) require manual closure. No AI tool may auto-close sprint gates. This must be verified before any enterprise client review or investor technical due diligence.</w:t>
            </w:r>
          </w:p>
        </w:tc>
      </w:tr>
    </w:tbl>
    <w:p>
      <w:r>
        <w:br w:type="page"/>
      </w:r>
    </w:p>
    <w:p>
      <w:pPr>
        <w:pStyle w:val="Heading1"/>
        <w:spacing w:after="120" w:before="400"/>
      </w:pPr>
      <w:r>
        <w:rPr>
          <w:rFonts w:ascii="Arial" w:cs="Arial" w:eastAsia="Arial" w:hAnsi="Arial"/>
          <w:b/>
          <w:bCs/>
          <w:color w:val="0D2D4E"/>
          <w:sz w:val="36"/>
          <w:szCs w:val="36"/>
        </w:rPr>
        <w:t xml:space="preserve">7. KSA Sovereign Compliance Layer — Deep Evaluation</w:t>
      </w:r>
    </w:p>
    <w:p>
      <w:pPr>
        <w:pBdr>
          <w:bottom w:val="single" w:color="C89B3C" w:sz="10" w:space="1"/>
        </w:pBdr>
        <w:spacing w:after="160" w:before="0"/>
      </w:pPr>
    </w:p>
    <w:p>
      <w:pPr>
        <w:spacing w:after="80" w:before="60"/>
      </w:pPr>
      <w:r>
        <w:rPr>
          <w:rFonts w:ascii="Arial" w:cs="Arial" w:eastAsia="Arial" w:hAnsi="Arial"/>
          <w:color w:val="1A202C"/>
          <w:sz w:val="22"/>
          <w:szCs w:val="22"/>
        </w:rPr>
        <w:t xml:space="preserve">This is WorkCaptain's most powerful differentiator and its most significant deployment gap. The sovereign layer is architected at a depth that no GCC competitor has matched in a single platform. The risk is that it exists only in documents.</w:t>
      </w:r>
    </w:p>
    <w:p>
      <w:pPr>
        <w:spacing w:after="0" w:before="160"/>
      </w:pPr>
    </w:p>
    <w:p>
      <w:pPr>
        <w:pStyle w:val="Heading2"/>
        <w:spacing w:after="100" w:before="280"/>
      </w:pPr>
      <w:r>
        <w:rPr>
          <w:rFonts w:ascii="Arial" w:cs="Arial" w:eastAsia="Arial" w:hAnsi="Arial"/>
          <w:b/>
          <w:bCs/>
          <w:color w:val="1E6B6B"/>
          <w:sz w:val="28"/>
          <w:szCs w:val="28"/>
        </w:rPr>
        <w:t xml:space="preserve">7.1 Sovereign Module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900"/>
        <w:gridCol w:w="1200"/>
        <w:gridCol w:w="1960"/>
      </w:tblGrid>
      <w:tr>
        <w:trPr>
          <w:tblHeader/>
        </w:trPr>
        <w:tc>
          <w:tcPr>
            <w:tcW w:type="dxa" w:w="19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w:t>
            </w:r>
          </w:p>
        </w:tc>
        <w:tc>
          <w:tcPr>
            <w:tcW w:type="dxa" w:w="34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BRD Requirement</w:t>
            </w:r>
          </w:p>
        </w:tc>
        <w:tc>
          <w:tcPr>
            <w:tcW w:type="dxa" w:w="9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Deployed</w:t>
            </w:r>
          </w:p>
        </w:tc>
        <w:tc>
          <w:tcPr>
            <w:tcW w:type="dxa" w:w="12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Complexity</w:t>
            </w:r>
          </w:p>
        </w:tc>
        <w:tc>
          <w:tcPr>
            <w:tcW w:type="dxa" w:w="196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1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Nitaqat Impact Preview</w:t>
            </w:r>
          </w:p>
        </w:tc>
        <w:tc>
          <w:tcPr>
            <w:tcW w:type="dxa" w:w="34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Range movement preview with confidence band + override logging</w:t>
            </w:r>
          </w:p>
        </w:tc>
        <w:tc>
          <w:tcPr>
            <w:tcW w:type="dxa" w:w="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High</w:t>
            </w:r>
          </w:p>
        </w:tc>
        <w:tc>
          <w:tcPr>
            <w:tcW w:type="dxa" w:w="19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P0</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Occupation Code Validation</w:t>
            </w:r>
          </w:p>
        </w:tc>
        <w:tc>
          <w:tcPr>
            <w:tcW w:type="dxa" w:w="3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AI-proposed mapping, flag invalid/prohibited combos, export report</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Medium</w:t>
            </w:r>
          </w:p>
        </w:tc>
        <w:tc>
          <w:tcPr>
            <w:tcW w:type="dxa" w:w="1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P0</w:t>
            </w:r>
          </w:p>
        </w:tc>
      </w:tr>
      <w:tr>
        <w:tc>
          <w:tcPr>
            <w:tcW w:type="dxa" w:w="1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Qiwa Contract Mirroring</w:t>
            </w:r>
          </w:p>
        </w:tc>
        <w:tc>
          <w:tcPr>
            <w:tcW w:type="dxa" w:w="34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Field-level parity mapping, contract lifecycle state machine</w:t>
            </w:r>
          </w:p>
        </w:tc>
        <w:tc>
          <w:tcPr>
            <w:tcW w:type="dxa" w:w="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High</w:t>
            </w:r>
          </w:p>
        </w:tc>
        <w:tc>
          <w:tcPr>
            <w:tcW w:type="dxa" w:w="19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P0</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Compensation Transparency</w:t>
            </w:r>
          </w:p>
        </w:tc>
        <w:tc>
          <w:tcPr>
            <w:tcW w:type="dxa" w:w="3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Base + allowances breakdown, policy threshold validation</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Medium</w:t>
            </w:r>
          </w:p>
        </w:tc>
        <w:tc>
          <w:tcPr>
            <w:tcW w:type="dxa" w:w="1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P0</w:t>
            </w:r>
          </w:p>
        </w:tc>
      </w:tr>
      <w:tr>
        <w:tc>
          <w:tcPr>
            <w:tcW w:type="dxa" w:w="1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WPS Readiness Pack</w:t>
            </w:r>
          </w:p>
        </w:tc>
        <w:tc>
          <w:tcPr>
            <w:tcW w:type="dxa" w:w="34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IBAN capture, identity, bank confirm, downloadable artifact</w:t>
            </w:r>
          </w:p>
        </w:tc>
        <w:tc>
          <w:tcPr>
            <w:tcW w:type="dxa" w:w="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Medium</w:t>
            </w:r>
          </w:p>
        </w:tc>
        <w:tc>
          <w:tcPr>
            <w:tcW w:type="dxa" w:w="19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P0</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Probation Governance</w:t>
            </w:r>
          </w:p>
        </w:tc>
        <w:tc>
          <w:tcPr>
            <w:tcW w:type="dxa" w:w="3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90/180 day, Day-80 automation, confirm/extend/terminate workflow</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High</w:t>
            </w:r>
          </w:p>
        </w:tc>
        <w:tc>
          <w:tcPr>
            <w:tcW w:type="dxa" w:w="1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P0</w:t>
            </w:r>
          </w:p>
        </w:tc>
      </w:tr>
      <w:tr>
        <w:tc>
          <w:tcPr>
            <w:tcW w:type="dxa" w:w="1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ESB Calculator</w:t>
            </w:r>
          </w:p>
        </w:tc>
        <w:tc>
          <w:tcPr>
            <w:tcW w:type="dxa" w:w="34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Versioned policy engine, calculation evidence stored</w:t>
            </w:r>
          </w:p>
        </w:tc>
        <w:tc>
          <w:tcPr>
            <w:tcW w:type="dxa" w:w="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Medium</w:t>
            </w:r>
          </w:p>
        </w:tc>
        <w:tc>
          <w:tcPr>
            <w:tcW w:type="dxa" w:w="19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P1</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GOSI Integration Readiness</w:t>
            </w:r>
          </w:p>
        </w:tc>
        <w:tc>
          <w:tcPr>
            <w:tcW w:type="dxa" w:w="3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Contribution calculators, compliance flags</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Medium</w:t>
            </w:r>
          </w:p>
        </w:tc>
        <w:tc>
          <w:tcPr>
            <w:tcW w:type="dxa" w:w="1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P1</w:t>
            </w:r>
          </w:p>
        </w:tc>
      </w:tr>
      <w:tr>
        <w:tc>
          <w:tcPr>
            <w:tcW w:type="dxa" w:w="1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KSA PDPL Compliance</w:t>
            </w:r>
          </w:p>
        </w:tc>
        <w:tc>
          <w:tcPr>
            <w:tcW w:type="dxa" w:w="34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Cross-border transfer DPIA, SCCs, DPO appointment</w:t>
            </w:r>
          </w:p>
        </w:tc>
        <w:tc>
          <w:tcPr>
            <w:tcW w:type="dxa" w:w="9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High</w:t>
            </w:r>
          </w:p>
        </w:tc>
        <w:tc>
          <w:tcPr>
            <w:tcW w:type="dxa" w:w="19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P0</w:t>
            </w:r>
          </w:p>
        </w:tc>
      </w:tr>
    </w:tbl>
    <w:p>
      <w:pPr>
        <w:spacing w:after="0" w:before="200"/>
      </w:pPr>
    </w:p>
    <w:p>
      <w:pPr>
        <w:pStyle w:val="Heading2"/>
        <w:spacing w:after="100" w:before="280"/>
      </w:pPr>
      <w:r>
        <w:rPr>
          <w:rFonts w:ascii="Arial" w:cs="Arial" w:eastAsia="Arial" w:hAnsi="Arial"/>
          <w:b/>
          <w:bCs/>
          <w:color w:val="1E6B6B"/>
          <w:sz w:val="28"/>
          <w:szCs w:val="28"/>
        </w:rPr>
        <w:t xml:space="preserve">7.2 Sovereign Layer UI Requirements</w:t>
      </w:r>
    </w:p>
    <w:p>
      <w:pPr>
        <w:pStyle w:val="ListParagraph"/>
        <w:numPr>
          <w:ilvl w:val="0"/>
          <w:numId w:val="2"/>
        </w:numPr>
        <w:spacing w:after="60" w:before="40"/>
      </w:pPr>
      <w:r>
        <w:rPr>
          <w:rFonts w:ascii="Arial" w:cs="Arial" w:eastAsia="Arial" w:hAnsi="Arial"/>
          <w:color w:val="0D2D4E"/>
          <w:sz w:val="22"/>
          <w:szCs w:val="22"/>
        </w:rPr>
        <w:t xml:space="preserve">Compliance Score widget on Command Center — single % with drill-down</w:t>
      </w:r>
    </w:p>
    <w:p>
      <w:pPr>
        <w:pStyle w:val="ListParagraph"/>
        <w:numPr>
          <w:ilvl w:val="0"/>
          <w:numId w:val="2"/>
        </w:numPr>
        <w:spacing w:after="60" w:before="40"/>
      </w:pPr>
      <w:r>
        <w:rPr>
          <w:rFonts w:ascii="Arial" w:cs="Arial" w:eastAsia="Arial" w:hAnsi="Arial"/>
          <w:color w:val="0D2D4E"/>
          <w:sz w:val="22"/>
          <w:szCs w:val="22"/>
        </w:rPr>
        <w:t xml:space="preserve">Nitaqat zone indicator (Platinum / Green / Yellow / Red) always visible for employer context</w:t>
      </w:r>
    </w:p>
    <w:p>
      <w:pPr>
        <w:pStyle w:val="ListParagraph"/>
        <w:numPr>
          <w:ilvl w:val="0"/>
          <w:numId w:val="2"/>
        </w:numPr>
        <w:spacing w:after="60" w:before="40"/>
      </w:pPr>
      <w:r>
        <w:rPr>
          <w:rFonts w:ascii="Arial" w:cs="Arial" w:eastAsia="Arial" w:hAnsi="Arial"/>
          <w:color w:val="0D2D4E"/>
          <w:sz w:val="22"/>
          <w:szCs w:val="22"/>
        </w:rPr>
        <w:t xml:space="preserve">WPS Readiness checklist as a progressive disclosure form — not a static list</w:t>
      </w:r>
    </w:p>
    <w:p>
      <w:pPr>
        <w:pStyle w:val="ListParagraph"/>
        <w:numPr>
          <w:ilvl w:val="0"/>
          <w:numId w:val="2"/>
        </w:numPr>
        <w:spacing w:after="60" w:before="40"/>
      </w:pPr>
      <w:r>
        <w:rPr>
          <w:rFonts w:ascii="Arial" w:cs="Arial" w:eastAsia="Arial" w:hAnsi="Arial"/>
          <w:color w:val="0D2D4E"/>
          <w:sz w:val="22"/>
          <w:szCs w:val="22"/>
        </w:rPr>
        <w:t xml:space="preserve">Probation timeline with visual countdown and automated Day-80 notification</w:t>
      </w:r>
    </w:p>
    <w:p>
      <w:pPr>
        <w:pStyle w:val="ListParagraph"/>
        <w:numPr>
          <w:ilvl w:val="0"/>
          <w:numId w:val="2"/>
        </w:numPr>
        <w:spacing w:after="60" w:before="40"/>
      </w:pPr>
      <w:r>
        <w:rPr>
          <w:rFonts w:ascii="Arial" w:cs="Arial" w:eastAsia="Arial" w:hAnsi="Arial"/>
          <w:color w:val="0D2D4E"/>
          <w:sz w:val="22"/>
          <w:szCs w:val="22"/>
        </w:rPr>
        <w:t xml:space="preserve">All compliance actions must generate evidence packs automatically — no manual compilation</w:t>
      </w:r>
    </w:p>
    <w:p>
      <w:pPr>
        <w:pStyle w:val="ListParagraph"/>
        <w:numPr>
          <w:ilvl w:val="0"/>
          <w:numId w:val="2"/>
        </w:numPr>
        <w:spacing w:after="60" w:before="40"/>
      </w:pPr>
      <w:r>
        <w:rPr>
          <w:rFonts w:ascii="Arial" w:cs="Arial" w:eastAsia="Arial" w:hAnsi="Arial"/>
          <w:color w:val="0D2D4E"/>
          <w:sz w:val="22"/>
          <w:szCs w:val="22"/>
        </w:rPr>
        <w:t xml:space="preserve">Arabic-language compliance notifications are mandatory — RTL layout required for all sovereign screens</w:t>
      </w:r>
    </w:p>
    <w:p>
      <w:r>
        <w:br w:type="page"/>
      </w:r>
    </w:p>
    <w:p>
      <w:pPr>
        <w:pStyle w:val="Heading1"/>
        <w:spacing w:after="120" w:before="400"/>
      </w:pPr>
      <w:r>
        <w:rPr>
          <w:rFonts w:ascii="Arial" w:cs="Arial" w:eastAsia="Arial" w:hAnsi="Arial"/>
          <w:b/>
          <w:bCs/>
          <w:color w:val="0D2D4E"/>
          <w:sz w:val="36"/>
          <w:szCs w:val="36"/>
        </w:rPr>
        <w:t xml:space="preserve">8. Trust &amp; Evidence Fabric</w:t>
      </w:r>
    </w:p>
    <w:p>
      <w:pPr>
        <w:pBdr>
          <w:bottom w:val="single" w:color="C89B3C" w:sz="10" w:space="1"/>
        </w:pBdr>
        <w:spacing w:after="160" w:before="0"/>
      </w:pPr>
    </w:p>
    <w:p>
      <w:pPr>
        <w:spacing w:after="80" w:before="60"/>
      </w:pPr>
      <w:r>
        <w:rPr>
          <w:rFonts w:ascii="Arial" w:cs="Arial" w:eastAsia="Arial" w:hAnsi="Arial"/>
          <w:color w:val="1A202C"/>
          <w:sz w:val="22"/>
          <w:szCs w:val="22"/>
        </w:rPr>
        <w:t xml:space="preserve">The Evidence Pack (EP) architecture defined in the WOS Addendum Appendix is one of the most defensible competitive assets in the platform. When deployed, it makes WorkCaptain the only freelance/workforce platform that is natively audit-ready for KSA labor inspections, enterprise procurement reviews, and investor due diligence.</w:t>
      </w:r>
    </w:p>
    <w:p>
      <w:pPr>
        <w:spacing w:after="0" w:before="160"/>
      </w:pPr>
    </w:p>
    <w:p>
      <w:pPr>
        <w:pStyle w:val="Heading2"/>
        <w:spacing w:after="100" w:before="280"/>
      </w:pPr>
      <w:r>
        <w:rPr>
          <w:rFonts w:ascii="Arial" w:cs="Arial" w:eastAsia="Arial" w:hAnsi="Arial"/>
          <w:b/>
          <w:bCs/>
          <w:color w:val="1E6B6B"/>
          <w:sz w:val="28"/>
          <w:szCs w:val="28"/>
        </w:rPr>
        <w:t xml:space="preserve">8.1 Evidence Pack Schema —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w:t>
            </w:r>
          </w:p>
        </w:tc>
        <w:tc>
          <w:tcPr>
            <w:tcW w:type="dxa" w:w="25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Required</w:t>
            </w:r>
          </w:p>
        </w:tc>
        <w:tc>
          <w:tcPr>
            <w:tcW w:type="dxa" w:w="336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Current</w:t>
            </w:r>
          </w:p>
        </w:tc>
      </w:tr>
      <w:tr>
        <w:tc>
          <w:tcPr>
            <w:tcW w:type="dxa" w:w="3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Actor (HR / AI / System)</w:t>
            </w:r>
          </w:p>
        </w:tc>
        <w:tc>
          <w:tcPr>
            <w:tcW w:type="dxa" w:w="2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Mandatory</w:t>
            </w:r>
          </w:p>
        </w:tc>
        <w:tc>
          <w:tcPr>
            <w:tcW w:type="dxa" w:w="33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implemented</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Action (what was done)</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Mandatory</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implemented</w:t>
            </w:r>
          </w:p>
        </w:tc>
      </w:tr>
      <w:tr>
        <w:tc>
          <w:tcPr>
            <w:tcW w:type="dxa" w:w="3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Timestamp (immutable, UTC)</w:t>
            </w:r>
          </w:p>
        </w:tc>
        <w:tc>
          <w:tcPr>
            <w:tcW w:type="dxa" w:w="2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Mandatory</w:t>
            </w:r>
          </w:p>
        </w:tc>
        <w:tc>
          <w:tcPr>
            <w:tcW w:type="dxa" w:w="33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implemented</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Data Snapshot (state before/after)</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Mandatory</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implemented</w:t>
            </w:r>
          </w:p>
        </w:tc>
      </w:tr>
      <w:tr>
        <w:tc>
          <w:tcPr>
            <w:tcW w:type="dxa" w:w="3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Attached Files (contracts, IDs etc.)</w:t>
            </w:r>
          </w:p>
        </w:tc>
        <w:tc>
          <w:tcPr>
            <w:tcW w:type="dxa" w:w="2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Mandatory</w:t>
            </w:r>
          </w:p>
        </w:tc>
        <w:tc>
          <w:tcPr>
            <w:tcW w:type="dxa" w:w="33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implemented</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Approval Chain (who approved what)</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Mandatory</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implemented</w:t>
            </w:r>
          </w:p>
        </w:tc>
      </w:tr>
      <w:tr>
        <w:tc>
          <w:tcPr>
            <w:tcW w:type="dxa" w:w="3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AI Artifacts (model, prompt, output)</w:t>
            </w:r>
          </w:p>
        </w:tc>
        <w:tc>
          <w:tcPr>
            <w:tcW w:type="dxa" w:w="2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Mandatory</w:t>
            </w:r>
          </w:p>
        </w:tc>
        <w:tc>
          <w:tcPr>
            <w:tcW w:type="dxa" w:w="33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implemented</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Redaction Rules (PDPL-compliant)</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Mandatory</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Not implemented</w:t>
            </w:r>
          </w:p>
        </w:tc>
      </w:tr>
      <w:tr>
        <w:tc>
          <w:tcPr>
            <w:tcW w:type="dxa" w:w="3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Export Format (ZIP + PDF bundle)</w:t>
            </w:r>
          </w:p>
        </w:tc>
        <w:tc>
          <w:tcPr>
            <w:tcW w:type="dxa" w:w="25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Mandatory</w:t>
            </w:r>
          </w:p>
        </w:tc>
        <w:tc>
          <w:tcPr>
            <w:tcW w:type="dxa" w:w="33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implemented</w:t>
            </w:r>
          </w:p>
        </w:tc>
      </w:tr>
    </w:tbl>
    <w:p>
      <w:pPr>
        <w:spacing w:after="0" w:before="200"/>
      </w:pPr>
    </w:p>
    <w:p>
      <w:pPr>
        <w:pStyle w:val="Heading2"/>
        <w:spacing w:after="100" w:before="280"/>
      </w:pPr>
      <w:r>
        <w:rPr>
          <w:rFonts w:ascii="Arial" w:cs="Arial" w:eastAsia="Arial" w:hAnsi="Arial"/>
          <w:b/>
          <w:bCs/>
          <w:color w:val="1E6B6B"/>
          <w:sz w:val="28"/>
          <w:szCs w:val="28"/>
        </w:rPr>
        <w:t xml:space="preserve">8.2 Evidence Pack Activation Priority</w:t>
      </w:r>
    </w:p>
    <w:p>
      <w:pPr>
        <w:pStyle w:val="ListParagraph"/>
        <w:numPr>
          <w:ilvl w:val="0"/>
          <w:numId w:val="2"/>
        </w:numPr>
        <w:spacing w:after="60" w:before="40"/>
      </w:pPr>
      <w:r>
        <w:rPr>
          <w:rFonts w:ascii="Arial" w:cs="Arial" w:eastAsia="Arial" w:hAnsi="Arial"/>
          <w:color w:val="0D2D4E"/>
          <w:sz w:val="22"/>
          <w:szCs w:val="22"/>
        </w:rPr>
        <w:t xml:space="preserve">EP-WOS-RECRUIT-01: Candidate evaluation + Nitaqat preview + occupation validation — P0</w:t>
      </w:r>
    </w:p>
    <w:p>
      <w:pPr>
        <w:pStyle w:val="ListParagraph"/>
        <w:numPr>
          <w:ilvl w:val="0"/>
          <w:numId w:val="2"/>
        </w:numPr>
        <w:spacing w:after="60" w:before="40"/>
      </w:pPr>
      <w:r>
        <w:rPr>
          <w:rFonts w:ascii="Arial" w:cs="Arial" w:eastAsia="Arial" w:hAnsi="Arial"/>
          <w:color w:val="0D2D4E"/>
          <w:sz w:val="22"/>
          <w:szCs w:val="22"/>
        </w:rPr>
        <w:t xml:space="preserve">EP-WOS-HIRE-01: Offer/contract signed + field mapping + approvals — P0</w:t>
      </w:r>
    </w:p>
    <w:p>
      <w:pPr>
        <w:pStyle w:val="ListParagraph"/>
        <w:numPr>
          <w:ilvl w:val="0"/>
          <w:numId w:val="2"/>
        </w:numPr>
        <w:spacing w:after="60" w:before="40"/>
      </w:pPr>
      <w:r>
        <w:rPr>
          <w:rFonts w:ascii="Arial" w:cs="Arial" w:eastAsia="Arial" w:hAnsi="Arial"/>
          <w:color w:val="0D2D4E"/>
          <w:sz w:val="22"/>
          <w:szCs w:val="22"/>
        </w:rPr>
        <w:t xml:space="preserve">EP-WOS-ONBOARD-01: WPS readiness artifact + IBAN/KYC verification — P0</w:t>
      </w:r>
    </w:p>
    <w:p>
      <w:pPr>
        <w:pStyle w:val="ListParagraph"/>
        <w:numPr>
          <w:ilvl w:val="0"/>
          <w:numId w:val="2"/>
        </w:numPr>
        <w:spacing w:after="60" w:before="40"/>
      </w:pPr>
      <w:r>
        <w:rPr>
          <w:rFonts w:ascii="Arial" w:cs="Arial" w:eastAsia="Arial" w:hAnsi="Arial"/>
          <w:color w:val="0D2D4E"/>
          <w:sz w:val="22"/>
          <w:szCs w:val="22"/>
        </w:rPr>
        <w:t xml:space="preserve">EP-WOS-PROB-01: Day-80 probation evidence pack + decision record — P0</w:t>
      </w:r>
    </w:p>
    <w:p>
      <w:pPr>
        <w:pStyle w:val="ListParagraph"/>
        <w:numPr>
          <w:ilvl w:val="0"/>
          <w:numId w:val="2"/>
        </w:numPr>
        <w:spacing w:after="60" w:before="40"/>
      </w:pPr>
      <w:r>
        <w:rPr>
          <w:rFonts w:ascii="Arial" w:cs="Arial" w:eastAsia="Arial" w:hAnsi="Arial"/>
          <w:color w:val="0D2D4E"/>
          <w:sz w:val="22"/>
          <w:szCs w:val="22"/>
        </w:rPr>
        <w:t xml:space="preserve">EP-WOS-OFFBOARD-01: Offboarding checklist + ESB calculation inputs/outputs — P1</w:t>
      </w:r>
    </w:p>
    <w:p>
      <w:r>
        <w:br w:type="page"/>
      </w:r>
    </w:p>
    <w:p>
      <w:pPr>
        <w:pStyle w:val="Heading1"/>
        <w:spacing w:after="120" w:before="400"/>
      </w:pPr>
      <w:r>
        <w:rPr>
          <w:rFonts w:ascii="Arial" w:cs="Arial" w:eastAsia="Arial" w:hAnsi="Arial"/>
          <w:b/>
          <w:bCs/>
          <w:color w:val="0D2D4E"/>
          <w:sz w:val="36"/>
          <w:szCs w:val="36"/>
        </w:rPr>
        <w:t xml:space="preserve">9. Transformation Roadmap — 90-Day Battle Plan</w:t>
      </w:r>
    </w:p>
    <w:p>
      <w:pPr>
        <w:pBdr>
          <w:bottom w:val="single" w:color="C89B3C" w:sz="10" w:space="1"/>
        </w:pBdr>
        <w:spacing w:after="160" w:before="0"/>
      </w:pPr>
    </w:p>
    <w:p>
      <w:pPr>
        <w:spacing w:after="80" w:before="60"/>
      </w:pPr>
      <w:r>
        <w:rPr>
          <w:rFonts w:ascii="Arial" w:cs="Arial" w:eastAsia="Arial" w:hAnsi="Arial"/>
          <w:color w:val="1A202C"/>
          <w:sz w:val="22"/>
          <w:szCs w:val="22"/>
        </w:rPr>
        <w:t xml:space="preserve">The following roadmap converts the 14 critical gaps into a sequenced delivery plan aligned with the existing Sprint S25 gate architecture and WOS Sprint sequencing (A through E).</w:t>
      </w:r>
    </w:p>
    <w:p>
      <w:pPr>
        <w:spacing w:after="0" w:before="160"/>
      </w:pPr>
    </w:p>
    <w:p>
      <w:pPr>
        <w:pStyle w:val="Heading2"/>
        <w:spacing w:after="100" w:before="280"/>
      </w:pPr>
      <w:r>
        <w:rPr>
          <w:rFonts w:ascii="Arial" w:cs="Arial" w:eastAsia="Arial" w:hAnsi="Arial"/>
          <w:b/>
          <w:bCs/>
          <w:color w:val="1E6B6B"/>
          <w:sz w:val="28"/>
          <w:szCs w:val="28"/>
        </w:rPr>
        <w:t xml:space="preserve">9.1 Days 0–15: Foundation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360"/>
      </w:tblGrid>
      <w:tr>
        <w:trPr>
          <w:tblHeader/>
        </w:trPr>
        <w:tc>
          <w:tcPr>
            <w:tcW w:type="dxa" w:w="42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28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Owner</w:t>
            </w:r>
          </w:p>
        </w:tc>
        <w:tc>
          <w:tcPr>
            <w:tcW w:type="dxa" w:w="236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Gate</w:t>
            </w:r>
          </w:p>
        </w:tc>
      </w:tr>
      <w:tr>
        <w:tc>
          <w:tcPr>
            <w:tcW w:type="dxa" w:w="4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Lock PSP matrix — Stripe + Tap/HyperPay for MENA</w:t>
            </w:r>
          </w:p>
        </w:tc>
        <w:tc>
          <w:tcPr>
            <w:tcW w:type="dxa" w:w="2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CTO / FinOps Lead</w:t>
            </w:r>
          </w:p>
        </w:tc>
        <w:tc>
          <w:tcPr>
            <w:tcW w:type="dxa" w:w="23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S25-G1</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Confirm RTL build pipeline — AR translation keys, fail-on-missing</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Engineering Lead</w:t>
            </w:r>
          </w:p>
        </w:tc>
        <w:tc>
          <w:tcPr>
            <w:tcW w:type="dxa" w:w="2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S25-G1</w:t>
            </w:r>
          </w:p>
        </w:tc>
      </w:tr>
      <w:tr>
        <w:tc>
          <w:tcPr>
            <w:tcW w:type="dxa" w:w="4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Deploy Command Center skeleton (KPI strip + quick actions)</w:t>
            </w:r>
          </w:p>
        </w:tc>
        <w:tc>
          <w:tcPr>
            <w:tcW w:type="dxa" w:w="2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Product / Emergent</w:t>
            </w:r>
          </w:p>
        </w:tc>
        <w:tc>
          <w:tcPr>
            <w:tcW w:type="dxa" w:w="23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S25-G1</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Activate RecommendationAuditLog schema in database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Engineering Lead</w:t>
            </w:r>
          </w:p>
        </w:tc>
        <w:tc>
          <w:tcPr>
            <w:tcW w:type="dxa" w:w="2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S25-G2</w:t>
            </w:r>
          </w:p>
        </w:tc>
      </w:tr>
      <w:tr>
        <w:tc>
          <w:tcPr>
            <w:tcW w:type="dxa" w:w="4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Publish fee table v1 — client + freelancer + method uplifts</w:t>
            </w:r>
          </w:p>
        </w:tc>
        <w:tc>
          <w:tcPr>
            <w:tcW w:type="dxa" w:w="2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Product / Legal</w:t>
            </w:r>
          </w:p>
        </w:tc>
        <w:tc>
          <w:tcPr>
            <w:tcW w:type="dxa" w:w="23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S25-G1</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Set up WCAG 2.2 AA accessibility test suite in CI</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Engineering Lead</w:t>
            </w:r>
          </w:p>
        </w:tc>
        <w:tc>
          <w:tcPr>
            <w:tcW w:type="dxa" w:w="2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S25-G1</w:t>
            </w:r>
          </w:p>
        </w:tc>
      </w:tr>
    </w:tbl>
    <w:p>
      <w:pPr>
        <w:spacing w:after="0" w:before="160"/>
      </w:pPr>
    </w:p>
    <w:p>
      <w:pPr>
        <w:pStyle w:val="Heading2"/>
        <w:spacing w:after="100" w:before="280"/>
      </w:pPr>
      <w:r>
        <w:rPr>
          <w:rFonts w:ascii="Arial" w:cs="Arial" w:eastAsia="Arial" w:hAnsi="Arial"/>
          <w:b/>
          <w:bCs/>
          <w:color w:val="1E6B6B"/>
          <w:sz w:val="28"/>
          <w:szCs w:val="28"/>
        </w:rPr>
        <w:t xml:space="preserve">9.2 Days 16–45: Sprint A+B — WOS Core + Sovereign Recruiting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18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c>
          <w:tcPr>
            <w:tcW w:type="dxa" w:w="376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EP Required</w:t>
            </w:r>
          </w:p>
        </w:tc>
      </w:tr>
      <w:tr>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Unified worker profile (FTE + Freelancer) with capacity model</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WOS §6.1</w:t>
            </w:r>
          </w:p>
        </w:tc>
        <w:tc>
          <w:tcPr>
            <w:tcW w:type="dxa" w:w="37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Workforce Command screen — table, filters, AI insight panel</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UX Design</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Nitaqat Impact Preview UI with confidence band + override log</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WOS §7.1</w:t>
            </w:r>
          </w:p>
        </w:tc>
        <w:tc>
          <w:tcPr>
            <w:tcW w:type="dxa" w:w="37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EP-WOS-RECRUIT-01</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Occupation Code AI matching + validation export</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WOS §7.2</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EP-WOS-RECRUIT-01</w:t>
            </w:r>
          </w:p>
        </w:tc>
      </w:tr>
      <w:tr>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Internal Talent Marketplace — FTE-first allocation logic</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WOS §6.2</w:t>
            </w:r>
          </w:p>
        </w:tc>
        <w:tc>
          <w:tcPr>
            <w:tcW w:type="dxa" w:w="37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AI Control screen — activity log, approve/reject UI</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UX Design</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r>
    </w:tbl>
    <w:p>
      <w:pPr>
        <w:spacing w:after="0" w:before="160"/>
      </w:pPr>
    </w:p>
    <w:p>
      <w:pPr>
        <w:pStyle w:val="Heading2"/>
        <w:spacing w:after="100" w:before="280"/>
      </w:pPr>
      <w:r>
        <w:rPr>
          <w:rFonts w:ascii="Arial" w:cs="Arial" w:eastAsia="Arial" w:hAnsi="Arial"/>
          <w:b/>
          <w:bCs/>
          <w:color w:val="1E6B6B"/>
          <w:sz w:val="28"/>
          <w:szCs w:val="28"/>
        </w:rPr>
        <w:t xml:space="preserve">9.3 Days 46–75: Sprint C+D — Onboarding + Hiring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18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c>
          <w:tcPr>
            <w:tcW w:type="dxa" w:w="376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EP Required</w:t>
            </w:r>
          </w:p>
        </w:tc>
      </w:tr>
      <w:tr>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WPS Readiness Pack — IBAN, KYC, bank confirmation, artifact</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WOS §9.1</w:t>
            </w:r>
          </w:p>
        </w:tc>
        <w:tc>
          <w:tcPr>
            <w:tcW w:type="dxa" w:w="37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EP-WOS-ONBOARD-01</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Probation Governance — 90/180 day, Day-80 automation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WOS §9.2</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EP-WOS-PROB-01</w:t>
            </w:r>
          </w:p>
        </w:tc>
      </w:tr>
      <w:tr>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Qiwa Contract Mirroring — lifecycle state machine</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WOS §8.1</w:t>
            </w:r>
          </w:p>
        </w:tc>
        <w:tc>
          <w:tcPr>
            <w:tcW w:type="dxa" w:w="37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EP-WOS-HIRE-01</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Compliance &amp; Risk screen — score, Nitaqat zone, WPS, probation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UX Design</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Trust &amp; Evidence screen — EP pack library, viewer, export</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UX Design</w:t>
            </w:r>
          </w:p>
        </w:tc>
        <w:tc>
          <w:tcPr>
            <w:tcW w:type="dxa" w:w="37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Payment: escrow state machine + auto-release + dispute hold</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Maqaleed</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r>
    </w:tbl>
    <w:p>
      <w:pPr>
        <w:spacing w:after="0" w:before="160"/>
      </w:pPr>
    </w:p>
    <w:p>
      <w:pPr>
        <w:pStyle w:val="Heading2"/>
        <w:spacing w:after="100" w:before="280"/>
      </w:pPr>
      <w:r>
        <w:rPr>
          <w:rFonts w:ascii="Arial" w:cs="Arial" w:eastAsia="Arial" w:hAnsi="Arial"/>
          <w:b/>
          <w:bCs/>
          <w:color w:val="1E6B6B"/>
          <w:sz w:val="28"/>
          <w:szCs w:val="28"/>
        </w:rPr>
        <w:t xml:space="preserve">9.4 Days 76–90: Sprint E — Lifecycle + Launch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18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c>
          <w:tcPr>
            <w:tcW w:type="dxa" w:w="376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Gate</w:t>
            </w:r>
          </w:p>
        </w:tc>
      </w:tr>
      <w:tr>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ESB Calculator — versioned policy engine + evidence storage</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WOS §10.2</w:t>
            </w:r>
          </w:p>
        </w:tc>
        <w:tc>
          <w:tcPr>
            <w:tcW w:type="dxa" w:w="37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S25-G3</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Offboarding workflow + evidence pack automation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WOS §10.2</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S25-G3</w:t>
            </w:r>
          </w:p>
        </w:tc>
      </w:tr>
      <w:tr>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Work Identity screen — ERI score, verified history, tokens</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UX Design</w:t>
            </w:r>
          </w:p>
        </w:tc>
        <w:tc>
          <w:tcPr>
            <w:tcW w:type="dxa" w:w="37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S25-G4</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KSA PDPL: DPIA template, SCCs, DSR portal</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Maqaleed</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S25-G3</w:t>
            </w:r>
          </w:p>
        </w:tc>
      </w:tr>
      <w:tr>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Closed beta: 50 employers / 200 freelancers / 10 FTE accounts</w:t>
            </w:r>
          </w:p>
        </w:tc>
        <w:tc>
          <w:tcPr>
            <w:tcW w:type="dxa" w:w="1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GTM</w:t>
            </w:r>
          </w:p>
        </w:tc>
        <w:tc>
          <w:tcPr>
            <w:tcW w:type="dxa" w:w="37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S25-G5</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Exit criteria: p75 time-to-first-proposal &lt;= 4h, match rate &gt;= 45%</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Maqaleed</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S25-G5</w:t>
            </w:r>
          </w:p>
        </w:tc>
      </w:tr>
    </w:tbl>
    <w:p>
      <w:r>
        <w:br w:type="page"/>
      </w:r>
    </w:p>
    <w:p>
      <w:pPr>
        <w:pStyle w:val="Heading1"/>
        <w:spacing w:after="120" w:before="400"/>
      </w:pPr>
      <w:r>
        <w:rPr>
          <w:rFonts w:ascii="Arial" w:cs="Arial" w:eastAsia="Arial" w:hAnsi="Arial"/>
          <w:b/>
          <w:bCs/>
          <w:color w:val="0D2D4E"/>
          <w:sz w:val="36"/>
          <w:szCs w:val="36"/>
        </w:rPr>
        <w:t xml:space="preserve">10. Final Gap Scorecard — RAG Status</w:t>
      </w:r>
    </w:p>
    <w:p>
      <w:pPr>
        <w:pBdr>
          <w:bottom w:val="single" w:color="C89B3C" w:sz="10" w:space="1"/>
        </w:pBdr>
        <w:spacing w:after="160" w:before="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200"/>
        <w:gridCol w:w="2160"/>
      </w:tblGrid>
      <w:tr>
        <w:trPr>
          <w:tblHeader/>
        </w:trPr>
        <w:tc>
          <w:tcPr>
            <w:tcW w:type="dxa" w:w="22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Domain</w:t>
            </w:r>
          </w:p>
        </w:tc>
        <w:tc>
          <w:tcPr>
            <w:tcW w:type="dxa" w:w="38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Gap</w:t>
            </w:r>
          </w:p>
        </w:tc>
        <w:tc>
          <w:tcPr>
            <w:tcW w:type="dxa" w:w="120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RAG</w:t>
            </w:r>
          </w:p>
        </w:tc>
        <w:tc>
          <w:tcPr>
            <w:tcW w:type="dxa" w:w="2160"/>
            <w:tcBorders>
              <w:top w:val="single" w:color="CBD5E0" w:sz="1"/>
              <w:left w:val="single" w:color="CBD5E0" w:sz="1"/>
              <w:bottom w:val="single" w:color="CBD5E0" w:sz="1"/>
              <w:right w:val="single" w:color="CBD5E0" w:sz="1"/>
            </w:tcBorders>
            <w:shd w:fill="0D2D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Sprint</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Command Center UX</w:t>
            </w:r>
          </w:p>
        </w:tc>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built — entire decision OS missing</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RED</w:t>
            </w:r>
          </w:p>
        </w:tc>
        <w:tc>
          <w:tcPr>
            <w:tcW w:type="dxa" w:w="21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Sprint A</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AI Governance UI</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RecommendationAuditLog not surfaced in product</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C0392B"/>
                <w:sz w:val="20"/>
                <w:szCs w:val="20"/>
              </w:rPr>
              <w:t xml:space="preserve">RED</w:t>
            </w:r>
          </w:p>
        </w:tc>
        <w:tc>
          <w:tcPr>
            <w:tcW w:type="dxa" w:w="2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Sprint A</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Sovereign — Nitaqat</w:t>
            </w:r>
          </w:p>
        </w:tc>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 deployed UI for impact preview</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RED</w:t>
            </w:r>
          </w:p>
        </w:tc>
        <w:tc>
          <w:tcPr>
            <w:tcW w:type="dxa" w:w="21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Sprint B</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Sovereign — WPS</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WPS Readiness Pack not deployed</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C0392B"/>
                <w:sz w:val="20"/>
                <w:szCs w:val="20"/>
              </w:rPr>
              <w:t xml:space="preserve">RED</w:t>
            </w:r>
          </w:p>
        </w:tc>
        <w:tc>
          <w:tcPr>
            <w:tcW w:type="dxa" w:w="2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Sprint C</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Sovereign — Probation</w:t>
            </w:r>
          </w:p>
        </w:tc>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90/180-day governance + Day-80 automation not deployed</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RED</w:t>
            </w:r>
          </w:p>
        </w:tc>
        <w:tc>
          <w:tcPr>
            <w:tcW w:type="dxa" w:w="21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Sprint C</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Trust &amp; Evidence</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EP fabric not deployed, no /evidence screen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C0392B"/>
                <w:sz w:val="20"/>
                <w:szCs w:val="20"/>
              </w:rPr>
              <w:t xml:space="preserve">RED</w:t>
            </w:r>
          </w:p>
        </w:tc>
        <w:tc>
          <w:tcPr>
            <w:tcW w:type="dxa" w:w="2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Sprint D</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Work Identity / ERI</w:t>
            </w:r>
          </w:p>
        </w:tc>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Not built — differentiation asset not live</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C0392B"/>
                <w:sz w:val="20"/>
                <w:szCs w:val="20"/>
              </w:rPr>
              <w:t xml:space="preserve">RED</w:t>
            </w:r>
          </w:p>
        </w:tc>
        <w:tc>
          <w:tcPr>
            <w:tcW w:type="dxa" w:w="21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Sprint 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MENA PSP Integration</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Tap/HyperPay/PayTabs not confirmed integrated</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D68910"/>
                <w:sz w:val="20"/>
                <w:szCs w:val="20"/>
              </w:rPr>
              <w:t xml:space="preserve">AMBER</w:t>
            </w:r>
          </w:p>
        </w:tc>
        <w:tc>
          <w:tcPr>
            <w:tcW w:type="dxa" w:w="2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Sprint A</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RTL Build Pipeline</w:t>
            </w:r>
          </w:p>
        </w:tc>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AR translation key enforcement not confirmed</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D68910"/>
                <w:sz w:val="20"/>
                <w:szCs w:val="20"/>
              </w:rPr>
              <w:t xml:space="preserve">AMBER</w:t>
            </w:r>
          </w:p>
        </w:tc>
        <w:tc>
          <w:tcPr>
            <w:tcW w:type="dxa" w:w="21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Sprint A</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WCAG 2.2 AA</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 confirmed test coverage in CI</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D68910"/>
                <w:sz w:val="20"/>
                <w:szCs w:val="20"/>
              </w:rPr>
              <w:t xml:space="preserve">AMBER</w:t>
            </w:r>
          </w:p>
        </w:tc>
        <w:tc>
          <w:tcPr>
            <w:tcW w:type="dxa" w:w="2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Sprint A</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Fee Transparency UX</w:t>
            </w:r>
          </w:p>
        </w:tc>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 fee calculator widget or one-screen disclosure</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D68910"/>
                <w:sz w:val="20"/>
                <w:szCs w:val="20"/>
              </w:rPr>
              <w:t xml:space="preserve">AMBER</w:t>
            </w:r>
          </w:p>
        </w:tc>
        <w:tc>
          <w:tcPr>
            <w:tcW w:type="dxa" w:w="21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Sprint A</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KSA PDPL</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DPIA, SCCs, DSR portal not present</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D68910"/>
                <w:sz w:val="20"/>
                <w:szCs w:val="20"/>
              </w:rPr>
              <w:t xml:space="preserve">AMBER</w:t>
            </w:r>
          </w:p>
        </w:tc>
        <w:tc>
          <w:tcPr>
            <w:tcW w:type="dxa" w:w="2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Sprint D</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ESB Calculator</w:t>
            </w:r>
          </w:p>
        </w:tc>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Versioned policy engine not deployed</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D68910"/>
                <w:sz w:val="20"/>
                <w:szCs w:val="20"/>
              </w:rPr>
              <w:t xml:space="preserve">AMBER</w:t>
            </w:r>
          </w:p>
        </w:tc>
        <w:tc>
          <w:tcPr>
            <w:tcW w:type="dxa" w:w="21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Sprint 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Core Web Vitals CI</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 p75 CWV budget enforcement in build pipeline</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D68910"/>
                <w:sz w:val="20"/>
                <w:szCs w:val="20"/>
              </w:rPr>
              <w:t xml:space="preserve">AMBER</w:t>
            </w:r>
          </w:p>
        </w:tc>
        <w:tc>
          <w:tcPr>
            <w:tcW w:type="dxa" w:w="2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Sprint A</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BRD Architecture</w:t>
            </w:r>
          </w:p>
        </w:tc>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Gold BRD governance structure is best-in-class</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7A4A"/>
                <w:sz w:val="20"/>
                <w:szCs w:val="20"/>
              </w:rPr>
              <w:t xml:space="preserve">GREEN</w:t>
            </w:r>
          </w:p>
        </w:tc>
        <w:tc>
          <w:tcPr>
            <w:tcW w:type="dxa" w:w="21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Done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Non-employment Model</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Platform neutrality safeguards well-documented</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7A4A"/>
                <w:sz w:val="20"/>
                <w:szCs w:val="20"/>
              </w:rPr>
              <w:t xml:space="preserve">GREEN</w:t>
            </w:r>
          </w:p>
        </w:tc>
        <w:tc>
          <w:tcPr>
            <w:tcW w:type="dxa" w:w="2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Done</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Sprint Gate Framework</w:t>
            </w:r>
          </w:p>
        </w:tc>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S25 gate system with human-only closure is sound</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7A4A"/>
                <w:sz w:val="20"/>
                <w:szCs w:val="20"/>
              </w:rPr>
              <w:t xml:space="preserve">GREEN</w:t>
            </w:r>
          </w:p>
        </w:tc>
        <w:tc>
          <w:tcPr>
            <w:tcW w:type="dxa" w:w="21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Done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AI Execution Strategy</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Tri-layer model is auditable and documented</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7A4A"/>
                <w:sz w:val="20"/>
                <w:szCs w:val="20"/>
              </w:rPr>
              <w:t xml:space="preserve">GREEN</w:t>
            </w:r>
          </w:p>
        </w:tc>
        <w:tc>
          <w:tcPr>
            <w:tcW w:type="dxa" w:w="2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Done</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SDP Design</w:t>
            </w:r>
          </w:p>
        </w:tc>
        <w:tc>
          <w:tcPr>
            <w:tcW w:type="dxa" w:w="38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Seasonal program architecture is differentiated</w:t>
            </w:r>
          </w:p>
        </w:tc>
        <w:tc>
          <w:tcPr>
            <w:tcW w:type="dxa" w:w="120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7A4A"/>
                <w:sz w:val="20"/>
                <w:szCs w:val="20"/>
              </w:rPr>
              <w:t xml:space="preserve">GREEN</w:t>
            </w:r>
          </w:p>
        </w:tc>
        <w:tc>
          <w:tcPr>
            <w:tcW w:type="dxa" w:w="2160"/>
            <w:tcBorders>
              <w:top w:val="single" w:color="CBD5E0" w:sz="1"/>
              <w:left w:val="single" w:color="CBD5E0" w:sz="1"/>
              <w:bottom w:val="single" w:color="CBD5E0" w:sz="1"/>
              <w:right w:val="single" w:color="CBD5E0"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Done</w:t>
            </w:r>
          </w:p>
        </w:tc>
      </w:tr>
    </w:tbl>
    <w:p>
      <w:r>
        <w:br w:type="page"/>
      </w:r>
    </w:p>
    <w:p>
      <w:pPr>
        <w:pStyle w:val="Heading1"/>
        <w:spacing w:after="120" w:before="400"/>
      </w:pPr>
      <w:r>
        <w:rPr>
          <w:rFonts w:ascii="Arial" w:cs="Arial" w:eastAsia="Arial" w:hAnsi="Arial"/>
          <w:b/>
          <w:bCs/>
          <w:color w:val="0D2D4E"/>
          <w:sz w:val="36"/>
          <w:szCs w:val="36"/>
        </w:rPr>
        <w:t xml:space="preserve">11. World-Class Platform Checklist</w:t>
      </w:r>
    </w:p>
    <w:p>
      <w:pPr>
        <w:pBdr>
          <w:bottom w:val="single" w:color="C89B3C" w:sz="10" w:space="1"/>
        </w:pBdr>
        <w:spacing w:after="160" w:before="0"/>
      </w:pPr>
    </w:p>
    <w:p>
      <w:pPr>
        <w:spacing w:after="80" w:before="60"/>
      </w:pPr>
      <w:r>
        <w:rPr>
          <w:rFonts w:ascii="Arial" w:cs="Arial" w:eastAsia="Arial" w:hAnsi="Arial"/>
          <w:color w:val="1A202C"/>
          <w:sz w:val="22"/>
          <w:szCs w:val="22"/>
        </w:rPr>
        <w:t xml:space="preserve">To claim 'best-in-class' status in the Remote Delivery + Workforce OS category by Q3 2026, the following non-negotiable capabilities must be live, tested, and demonstrable.</w:t>
      </w:r>
    </w:p>
    <w:p>
      <w:pPr>
        <w:spacing w:after="0" w:before="160"/>
      </w:pPr>
    </w:p>
    <w:p>
      <w:pPr>
        <w:pStyle w:val="Heading2"/>
        <w:spacing w:after="100" w:before="280"/>
      </w:pPr>
      <w:r>
        <w:rPr>
          <w:rFonts w:ascii="Arial" w:cs="Arial" w:eastAsia="Arial" w:hAnsi="Arial"/>
          <w:b/>
          <w:bCs/>
          <w:color w:val="1E6B6B"/>
          <w:sz w:val="28"/>
          <w:szCs w:val="28"/>
        </w:rPr>
        <w:t xml:space="preserve">11.1 Non-Negotiable Foundations</w:t>
      </w:r>
    </w:p>
    <w:p>
      <w:pPr>
        <w:pStyle w:val="ListParagraph"/>
        <w:numPr>
          <w:ilvl w:val="0"/>
          <w:numId w:val="2"/>
        </w:numPr>
        <w:spacing w:after="60" w:before="40"/>
      </w:pPr>
      <w:r>
        <w:rPr>
          <w:rFonts w:ascii="Arial" w:cs="Arial" w:eastAsia="Arial" w:hAnsi="Arial"/>
          <w:color w:val="0D2D4E"/>
          <w:sz w:val="22"/>
          <w:szCs w:val="22"/>
        </w:rPr>
        <w:t xml:space="preserve">Command Center is a single decision OS — not a page collection</w:t>
      </w:r>
    </w:p>
    <w:p>
      <w:pPr>
        <w:pStyle w:val="ListParagraph"/>
        <w:numPr>
          <w:ilvl w:val="0"/>
          <w:numId w:val="2"/>
        </w:numPr>
        <w:spacing w:after="60" w:before="40"/>
      </w:pPr>
      <w:r>
        <w:rPr>
          <w:rFonts w:ascii="Arial" w:cs="Arial" w:eastAsia="Arial" w:hAnsi="Arial"/>
          <w:color w:val="0D2D4E"/>
          <w:sz w:val="22"/>
          <w:szCs w:val="22"/>
        </w:rPr>
        <w:t xml:space="preserve">Every AI recommendation is visible, explained, and requires human approval</w:t>
      </w:r>
    </w:p>
    <w:p>
      <w:pPr>
        <w:pStyle w:val="ListParagraph"/>
        <w:numPr>
          <w:ilvl w:val="0"/>
          <w:numId w:val="2"/>
        </w:numPr>
        <w:spacing w:after="60" w:before="40"/>
      </w:pPr>
      <w:r>
        <w:rPr>
          <w:rFonts w:ascii="Arial" w:cs="Arial" w:eastAsia="Arial" w:hAnsi="Arial"/>
          <w:color w:val="0D2D4E"/>
          <w:sz w:val="22"/>
          <w:szCs w:val="22"/>
        </w:rPr>
        <w:t xml:space="preserve">KSA sovereign compliance (Nitaqat, WPS, Probation, ESB) is live and demo-able</w:t>
      </w:r>
    </w:p>
    <w:p>
      <w:pPr>
        <w:pStyle w:val="ListParagraph"/>
        <w:numPr>
          <w:ilvl w:val="0"/>
          <w:numId w:val="2"/>
        </w:numPr>
        <w:spacing w:after="60" w:before="40"/>
      </w:pPr>
      <w:r>
        <w:rPr>
          <w:rFonts w:ascii="Arial" w:cs="Arial" w:eastAsia="Arial" w:hAnsi="Arial"/>
          <w:color w:val="0D2D4E"/>
          <w:sz w:val="22"/>
          <w:szCs w:val="22"/>
        </w:rPr>
        <w:t xml:space="preserve">Evidence packs are automatically generated, viewable, and exportable in-product</w:t>
      </w:r>
    </w:p>
    <w:p>
      <w:pPr>
        <w:pStyle w:val="ListParagraph"/>
        <w:numPr>
          <w:ilvl w:val="0"/>
          <w:numId w:val="2"/>
        </w:numPr>
        <w:spacing w:after="60" w:before="40"/>
      </w:pPr>
      <w:r>
        <w:rPr>
          <w:rFonts w:ascii="Arial" w:cs="Arial" w:eastAsia="Arial" w:hAnsi="Arial"/>
          <w:color w:val="0D2D4E"/>
          <w:sz w:val="22"/>
          <w:szCs w:val="22"/>
        </w:rPr>
        <w:t xml:space="preserve">Arabic RTL layout is natively flawless — no English-first compromises</w:t>
      </w:r>
    </w:p>
    <w:p>
      <w:pPr>
        <w:pStyle w:val="ListParagraph"/>
        <w:numPr>
          <w:ilvl w:val="0"/>
          <w:numId w:val="2"/>
        </w:numPr>
        <w:spacing w:after="60" w:before="40"/>
      </w:pPr>
      <w:r>
        <w:rPr>
          <w:rFonts w:ascii="Arial" w:cs="Arial" w:eastAsia="Arial" w:hAnsi="Arial"/>
          <w:color w:val="0D2D4E"/>
          <w:sz w:val="22"/>
          <w:szCs w:val="22"/>
        </w:rPr>
        <w:t xml:space="preserve">Escrow state machine is deployed with auto-release, dispute hold, and audit trail</w:t>
      </w:r>
    </w:p>
    <w:p>
      <w:pPr>
        <w:pStyle w:val="ListParagraph"/>
        <w:numPr>
          <w:ilvl w:val="0"/>
          <w:numId w:val="2"/>
        </w:numPr>
        <w:spacing w:after="60" w:before="40"/>
      </w:pPr>
      <w:r>
        <w:rPr>
          <w:rFonts w:ascii="Arial" w:cs="Arial" w:eastAsia="Arial" w:hAnsi="Arial"/>
          <w:color w:val="0D2D4E"/>
          <w:sz w:val="22"/>
          <w:szCs w:val="22"/>
        </w:rPr>
        <w:t xml:space="preserve">WCAG 2.2 AA compliance is CI-enforced with &gt;= 95% page pass rate</w:t>
      </w:r>
    </w:p>
    <w:p>
      <w:pPr>
        <w:pStyle w:val="ListParagraph"/>
        <w:numPr>
          <w:ilvl w:val="0"/>
          <w:numId w:val="2"/>
        </w:numPr>
        <w:spacing w:after="60" w:before="40"/>
      </w:pPr>
      <w:r>
        <w:rPr>
          <w:rFonts w:ascii="Arial" w:cs="Arial" w:eastAsia="Arial" w:hAnsi="Arial"/>
          <w:color w:val="0D2D4E"/>
          <w:sz w:val="22"/>
          <w:szCs w:val="22"/>
        </w:rPr>
        <w:t xml:space="preserve">0% freelancer commission is visible and explained at every touchpoint</w:t>
      </w:r>
    </w:p>
    <w:p>
      <w:pPr>
        <w:spacing w:after="0" w:before="160"/>
      </w:pPr>
    </w:p>
    <w:p>
      <w:pPr>
        <w:pStyle w:val="Heading2"/>
        <w:spacing w:after="100" w:before="280"/>
      </w:pPr>
      <w:r>
        <w:rPr>
          <w:rFonts w:ascii="Arial" w:cs="Arial" w:eastAsia="Arial" w:hAnsi="Arial"/>
          <w:b/>
          <w:bCs/>
          <w:color w:val="1E6B6B"/>
          <w:sz w:val="28"/>
          <w:szCs w:val="28"/>
        </w:rPr>
        <w:t xml:space="preserve">11.2 Enterprise Sales Prerequisites</w:t>
      </w:r>
    </w:p>
    <w:p>
      <w:pPr>
        <w:pStyle w:val="ListParagraph"/>
        <w:numPr>
          <w:ilvl w:val="0"/>
          <w:numId w:val="2"/>
        </w:numPr>
        <w:spacing w:after="60" w:before="40"/>
      </w:pPr>
      <w:r>
        <w:rPr>
          <w:rFonts w:ascii="Arial" w:cs="Arial" w:eastAsia="Arial" w:hAnsi="Arial"/>
          <w:color w:val="0D2D4E"/>
          <w:sz w:val="22"/>
          <w:szCs w:val="22"/>
        </w:rPr>
        <w:t xml:space="preserve">Evidence Pack export (ZIP/PDF) for any audit in under 60 seconds</w:t>
      </w:r>
    </w:p>
    <w:p>
      <w:pPr>
        <w:pStyle w:val="ListParagraph"/>
        <w:numPr>
          <w:ilvl w:val="0"/>
          <w:numId w:val="2"/>
        </w:numPr>
        <w:spacing w:after="60" w:before="40"/>
      </w:pPr>
      <w:r>
        <w:rPr>
          <w:rFonts w:ascii="Arial" w:cs="Arial" w:eastAsia="Arial" w:hAnsi="Arial"/>
          <w:color w:val="0D2D4E"/>
          <w:sz w:val="22"/>
          <w:szCs w:val="22"/>
        </w:rPr>
        <w:t xml:space="preserve">RBAC with separation of duties — Owner, Admin, Hiring Manager, Finance Approver, Viewer</w:t>
      </w:r>
    </w:p>
    <w:p>
      <w:pPr>
        <w:pStyle w:val="ListParagraph"/>
        <w:numPr>
          <w:ilvl w:val="0"/>
          <w:numId w:val="2"/>
        </w:numPr>
        <w:spacing w:after="60" w:before="40"/>
      </w:pPr>
      <w:r>
        <w:rPr>
          <w:rFonts w:ascii="Arial" w:cs="Arial" w:eastAsia="Arial" w:hAnsi="Arial"/>
          <w:color w:val="0D2D4E"/>
          <w:sz w:val="22"/>
          <w:szCs w:val="22"/>
        </w:rPr>
        <w:t xml:space="preserve">Consolidated invoicing and budget caps for enterprise clients</w:t>
      </w:r>
    </w:p>
    <w:p>
      <w:pPr>
        <w:pStyle w:val="ListParagraph"/>
        <w:numPr>
          <w:ilvl w:val="0"/>
          <w:numId w:val="2"/>
        </w:numPr>
        <w:spacing w:after="60" w:before="40"/>
      </w:pPr>
      <w:r>
        <w:rPr>
          <w:rFonts w:ascii="Arial" w:cs="Arial" w:eastAsia="Arial" w:hAnsi="Arial"/>
          <w:color w:val="0D2D4E"/>
          <w:sz w:val="22"/>
          <w:szCs w:val="22"/>
        </w:rPr>
        <w:t xml:space="preserve">SAML/SSO integration ready</w:t>
      </w:r>
    </w:p>
    <w:p>
      <w:pPr>
        <w:pStyle w:val="ListParagraph"/>
        <w:numPr>
          <w:ilvl w:val="0"/>
          <w:numId w:val="2"/>
        </w:numPr>
        <w:spacing w:after="60" w:before="40"/>
      </w:pPr>
      <w:r>
        <w:rPr>
          <w:rFonts w:ascii="Arial" w:cs="Arial" w:eastAsia="Arial" w:hAnsi="Arial"/>
          <w:color w:val="0D2D4E"/>
          <w:sz w:val="22"/>
          <w:szCs w:val="22"/>
        </w:rPr>
        <w:t xml:space="preserve">Data residency declaration and KSA PDPL documentation available</w:t>
      </w:r>
    </w:p>
    <w:p>
      <w:pPr>
        <w:pStyle w:val="ListParagraph"/>
        <w:numPr>
          <w:ilvl w:val="0"/>
          <w:numId w:val="2"/>
        </w:numPr>
        <w:spacing w:after="60" w:before="40"/>
      </w:pPr>
      <w:r>
        <w:rPr>
          <w:rFonts w:ascii="Arial" w:cs="Arial" w:eastAsia="Arial" w:hAnsi="Arial"/>
          <w:color w:val="0D2D4E"/>
          <w:sz w:val="22"/>
          <w:szCs w:val="22"/>
        </w:rPr>
        <w:t xml:space="preserve">AI audit log exportable for regulatory review in structured format</w:t>
      </w:r>
    </w:p>
    <w:p>
      <w:pPr>
        <w:spacing w:after="0" w:before="160"/>
      </w:pPr>
    </w:p>
    <w:p>
      <w:pPr>
        <w:pStyle w:val="Heading2"/>
        <w:spacing w:after="100" w:before="280"/>
      </w:pPr>
      <w:r>
        <w:rPr>
          <w:rFonts w:ascii="Arial" w:cs="Arial" w:eastAsia="Arial" w:hAnsi="Arial"/>
          <w:b/>
          <w:bCs/>
          <w:color w:val="1E6B6B"/>
          <w:sz w:val="28"/>
          <w:szCs w:val="28"/>
        </w:rPr>
        <w:t xml:space="preserve">11.3 GTM Differentiation Proof Points</w:t>
      </w:r>
    </w:p>
    <w:p>
      <w:pPr>
        <w:pStyle w:val="ListParagraph"/>
        <w:numPr>
          <w:ilvl w:val="0"/>
          <w:numId w:val="2"/>
        </w:numPr>
        <w:spacing w:after="60" w:before="40"/>
      </w:pPr>
      <w:r>
        <w:rPr>
          <w:rFonts w:ascii="Arial" w:cs="Arial" w:eastAsia="Arial" w:hAnsi="Arial"/>
          <w:color w:val="0D2D4E"/>
          <w:sz w:val="22"/>
          <w:szCs w:val="22"/>
        </w:rPr>
        <w:t xml:space="preserve">WorkCaptain is the only platform where every hire generates a compliance evidence pack</w:t>
      </w:r>
    </w:p>
    <w:p>
      <w:pPr>
        <w:pStyle w:val="ListParagraph"/>
        <w:numPr>
          <w:ilvl w:val="0"/>
          <w:numId w:val="2"/>
        </w:numPr>
        <w:spacing w:after="60" w:before="40"/>
      </w:pPr>
      <w:r>
        <w:rPr>
          <w:rFonts w:ascii="Arial" w:cs="Arial" w:eastAsia="Arial" w:hAnsi="Arial"/>
          <w:color w:val="0D2D4E"/>
          <w:sz w:val="22"/>
          <w:szCs w:val="22"/>
        </w:rPr>
        <w:t xml:space="preserve">WorkCaptain is the only platform with native Nitaqat impact preview for Saudi employers</w:t>
      </w:r>
    </w:p>
    <w:p>
      <w:pPr>
        <w:pStyle w:val="ListParagraph"/>
        <w:numPr>
          <w:ilvl w:val="0"/>
          <w:numId w:val="2"/>
        </w:numPr>
        <w:spacing w:after="60" w:before="40"/>
      </w:pPr>
      <w:r>
        <w:rPr>
          <w:rFonts w:ascii="Arial" w:cs="Arial" w:eastAsia="Arial" w:hAnsi="Arial"/>
          <w:color w:val="0D2D4E"/>
          <w:sz w:val="22"/>
          <w:szCs w:val="22"/>
        </w:rPr>
        <w:t xml:space="preserve">WorkCaptain is the only platform where AI recommendations are immutably logged and explainable</w:t>
      </w:r>
    </w:p>
    <w:p>
      <w:pPr>
        <w:pStyle w:val="ListParagraph"/>
        <w:numPr>
          <w:ilvl w:val="0"/>
          <w:numId w:val="2"/>
        </w:numPr>
        <w:spacing w:after="60" w:before="40"/>
      </w:pPr>
      <w:r>
        <w:rPr>
          <w:rFonts w:ascii="Arial" w:cs="Arial" w:eastAsia="Arial" w:hAnsi="Arial"/>
          <w:color w:val="0D2D4E"/>
          <w:sz w:val="22"/>
          <w:szCs w:val="22"/>
        </w:rPr>
        <w:t xml:space="preserve">WorkCaptain is the only remote delivery platform built for Hajj / SDP scale from day one</w:t>
      </w:r>
    </w:p>
    <w:p>
      <w:pPr>
        <w:pStyle w:val="ListParagraph"/>
        <w:numPr>
          <w:ilvl w:val="0"/>
          <w:numId w:val="2"/>
        </w:numPr>
        <w:spacing w:after="60" w:before="40"/>
      </w:pPr>
      <w:r>
        <w:rPr>
          <w:rFonts w:ascii="Arial" w:cs="Arial" w:eastAsia="Arial" w:hAnsi="Arial"/>
          <w:color w:val="0D2D4E"/>
          <w:sz w:val="22"/>
          <w:szCs w:val="22"/>
        </w:rPr>
        <w:t xml:space="preserve">WorkCaptain is the only platform where 0% freelancer commission is a structural design choice — not a promotion</w:t>
      </w:r>
    </w:p>
    <w:p>
      <w:r>
        <w:br w:type="page"/>
      </w:r>
    </w:p>
    <w:p>
      <w:pPr>
        <w:pStyle w:val="Heading1"/>
        <w:spacing w:after="120" w:before="400"/>
      </w:pPr>
      <w:r>
        <w:rPr>
          <w:rFonts w:ascii="Arial" w:cs="Arial" w:eastAsia="Arial" w:hAnsi="Arial"/>
          <w:b/>
          <w:bCs/>
          <w:color w:val="0D2D4E"/>
          <w:sz w:val="36"/>
          <w:szCs w:val="36"/>
        </w:rPr>
        <w:t xml:space="preserve">12. Final Verdict</w:t>
      </w:r>
    </w:p>
    <w:p>
      <w:pPr>
        <w:pBdr>
          <w:bottom w:val="single" w:color="C89B3C" w:sz="10" w:space="1"/>
        </w:pBdr>
        <w:spacing w:after="160" w:before="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0D2D4E" w:val="clear"/>
            <w:tcMar>
              <w:top w:type="dxa" w:w="300"/>
              <w:left w:type="dxa" w:w="400"/>
              <w:bottom w:type="dxa" w:w="300"/>
              <w:right w:type="dxa" w:w="400"/>
            </w:tcMar>
          </w:tcPr>
          <w:p>
            <w:pPr>
              <w:spacing w:after="120" w:before="0"/>
              <w:jc w:val="center"/>
            </w:pPr>
            <w:r>
              <w:rPr>
                <w:rFonts w:ascii="Arial" w:cs="Arial" w:eastAsia="Arial" w:hAnsi="Arial"/>
                <w:b/>
                <w:bCs/>
                <w:color w:val="C89B3C"/>
                <w:sz w:val="28"/>
                <w:szCs w:val="28"/>
              </w:rPr>
              <w:t xml:space="preserve">MAQALEED DIGITAL — FINAL ASSESSMENT</w:t>
            </w:r>
          </w:p>
          <w:p>
            <w:pPr>
              <w:spacing w:after="80" w:before="0"/>
              <w:jc w:val="center"/>
            </w:pPr>
            <w:r>
              <w:rPr>
                <w:rFonts w:ascii="Arial" w:cs="Arial" w:eastAsia="Arial" w:hAnsi="Arial"/>
                <w:color w:val="FFFFFF"/>
                <w:sz w:val="22"/>
                <w:szCs w:val="22"/>
              </w:rPr>
              <w:t xml:space="preserve">WorkCaptain.ai Platform Excellence Evaluation</w:t>
            </w:r>
          </w:p>
          <w:p>
            <w:pPr>
              <w:spacing w:after="80" w:before="80"/>
            </w:pPr>
          </w:p>
          <w:p>
            <w:pPr>
              <w:spacing w:after="80" w:before="0"/>
              <w:jc w:val="center"/>
            </w:pPr>
            <w:r>
              <w:rPr>
                <w:rFonts w:ascii="Arial" w:cs="Arial" w:eastAsia="Arial" w:hAnsi="Arial"/>
                <w:b/>
                <w:bCs/>
                <w:color w:val="F6E05E"/>
                <w:sz w:val="36"/>
                <w:szCs w:val="36"/>
              </w:rPr>
              <w:t xml:space="preserve">VERDICT: CONDITIONAL GO</w:t>
            </w:r>
          </w:p>
          <w:p>
            <w:pPr>
              <w:spacing w:after="60" w:before="0"/>
            </w:pPr>
          </w:p>
          <w:p>
            <w:pPr>
              <w:spacing w:after="40" w:before="0"/>
              <w:jc w:val="center"/>
            </w:pPr>
            <w:r>
              <w:rPr>
                <w:rFonts w:ascii="Arial" w:cs="Arial" w:eastAsia="Arial" w:hAnsi="Arial"/>
                <w:color w:val="90CDF4"/>
                <w:sz w:val="22"/>
                <w:szCs w:val="22"/>
              </w:rPr>
              <w:t xml:space="preserve">Platform Architecture: BEST-IN-CLASS (documented)</w:t>
            </w:r>
          </w:p>
          <w:p>
            <w:pPr>
              <w:spacing w:after="40" w:before="0"/>
              <w:jc w:val="center"/>
            </w:pPr>
            <w:r>
              <w:rPr>
                <w:rFonts w:ascii="Arial" w:cs="Arial" w:eastAsia="Arial" w:hAnsi="Arial"/>
                <w:color w:val="FBD38D"/>
                <w:sz w:val="22"/>
                <w:szCs w:val="22"/>
              </w:rPr>
              <w:t xml:space="preserve">Platform Execution: REQUIRES 90-DAY INTENSIVE BUILD</w:t>
            </w:r>
          </w:p>
          <w:p>
            <w:pPr>
              <w:spacing w:after="40" w:before="0"/>
              <w:jc w:val="center"/>
            </w:pPr>
            <w:r>
              <w:rPr>
                <w:rFonts w:ascii="Arial" w:cs="Arial" w:eastAsia="Arial" w:hAnsi="Arial"/>
                <w:color w:val="9AE6B4"/>
                <w:sz w:val="22"/>
                <w:szCs w:val="22"/>
              </w:rPr>
              <w:t xml:space="preserve">Sovereign Differentiation: GENUINE MOAT — PROTECT AND BUILD FAST</w:t>
            </w:r>
          </w:p>
          <w:p>
            <w:pPr>
              <w:spacing w:after="80" w:before="0"/>
            </w:pPr>
          </w:p>
          <w:p>
            <w:pPr>
              <w:spacing w:after="60" w:before="0"/>
              <w:jc w:val="center"/>
            </w:pPr>
            <w:r>
              <w:rPr>
                <w:rFonts w:ascii="Arial" w:cs="Arial" w:eastAsia="Arial" w:hAnsi="Arial"/>
                <w:b/>
                <w:bCs/>
                <w:color w:val="FFFFFF"/>
                <w:sz w:val="24"/>
                <w:szCs w:val="24"/>
              </w:rPr>
              <w:t xml:space="preserve">You don't compete with Upwork or Deel.</w:t>
            </w:r>
          </w:p>
          <w:p>
            <w:pPr>
              <w:spacing w:after="60" w:before="0"/>
              <w:jc w:val="center"/>
            </w:pPr>
            <w:r>
              <w:rPr>
                <w:rFonts w:ascii="Arial" w:cs="Arial" w:eastAsia="Arial" w:hAnsi="Arial"/>
                <w:b/>
                <w:bCs/>
                <w:color w:val="C89B3C"/>
                <w:sz w:val="24"/>
                <w:szCs w:val="24"/>
              </w:rPr>
              <w:t xml:space="preserve">You replace both — for the GCC enterprise market.</w:t>
            </w:r>
          </w:p>
          <w:p>
            <w:pPr>
              <w:spacing w:after="80" w:before="0"/>
            </w:pPr>
          </w:p>
          <w:p>
            <w:pPr>
              <w:spacing w:after="40" w:before="0"/>
              <w:jc w:val="center"/>
            </w:pPr>
            <w:r>
              <w:rPr>
                <w:rFonts w:ascii="Arial" w:cs="Arial" w:eastAsia="Arial" w:hAnsi="Arial"/>
                <w:color w:val="B0C4D8"/>
                <w:sz w:val="20"/>
                <w:szCs w:val="20"/>
              </w:rPr>
              <w:t xml:space="preserve">The BRD is the strongest foundation reviewed at this stage.</w:t>
            </w:r>
          </w:p>
          <w:p>
            <w:pPr>
              <w:spacing w:after="40" w:before="0"/>
              <w:jc w:val="center"/>
            </w:pPr>
            <w:r>
              <w:rPr>
                <w:rFonts w:ascii="Arial" w:cs="Arial" w:eastAsia="Arial" w:hAnsi="Arial"/>
                <w:color w:val="B0C4D8"/>
                <w:sz w:val="20"/>
                <w:szCs w:val="20"/>
              </w:rPr>
              <w:t xml:space="preserve">Close the 14 critical gaps. Ship the Command Center. Deploy the Sovereign Layer.</w:t>
            </w:r>
          </w:p>
          <w:p>
            <w:pPr>
              <w:spacing w:after="40" w:before="0"/>
              <w:jc w:val="center"/>
            </w:pPr>
            <w:r>
              <w:rPr>
                <w:rFonts w:ascii="Arial" w:cs="Arial" w:eastAsia="Arial" w:hAnsi="Arial"/>
                <w:b/>
                <w:bCs/>
                <w:color w:val="F6E05E"/>
                <w:sz w:val="20"/>
                <w:szCs w:val="20"/>
              </w:rPr>
              <w:t xml:space="preserve">The market is waiting. The architecture is ready. Execute.</w:t>
            </w:r>
          </w:p>
        </w:tc>
      </w:tr>
    </w:tbl>
    <w:p>
      <w:pPr>
        <w:spacing w:after="0" w:before="200"/>
      </w:pPr>
    </w:p>
    <w:p>
      <w:pPr>
        <w:spacing w:after="80" w:before="80"/>
        <w:jc w:val="right"/>
      </w:pPr>
      <w:r>
        <w:rPr>
          <w:rFonts w:ascii="Arial" w:cs="Arial" w:eastAsia="Arial" w:hAnsi="Arial"/>
          <w:b/>
          <w:bCs/>
          <w:color w:val="0D2D4E"/>
          <w:sz w:val="20"/>
          <w:szCs w:val="20"/>
        </w:rPr>
        <w:t xml:space="preserve">Maqaleed Digital  |  April 2026  |  Waheeb Mahmoud</w:t>
      </w:r>
    </w:p>
    <w:p>
      <w:pPr>
        <w:spacing w:after="0" w:before="0"/>
        <w:jc w:val="right"/>
      </w:pPr>
      <w:r>
        <w:rPr>
          <w:rFonts w:ascii="Arial" w:cs="Arial" w:eastAsia="Arial" w:hAnsi="Arial"/>
          <w:color w:val="6B7280"/>
          <w:sz w:val="18"/>
          <w:szCs w:val="18"/>
        </w:rPr>
        <w:t xml:space="preserve">Confidential — Not for Distribution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D4E" w:sz="4" w:space="1"/>
      </w:pBdr>
      <w:tabs>
        <w:tab w:val="right" w:pos="9026"/>
      </w:tabs>
      <w:spacing w:after="0" w:before="80"/>
    </w:pPr>
    <w:r>
      <w:rPr>
        <w:rFonts w:ascii="Arial" w:cs="Arial" w:eastAsia="Arial" w:hAnsi="Arial"/>
        <w:color w:val="6B7280"/>
        <w:sz w:val="16"/>
        <w:szCs w:val="16"/>
      </w:rPr>
      <w:t xml:space="preserve">CONFIDENTIAL — WORKCAPTAIN.AI EVALUATION</w:t>
    </w:r>
    <w:r>
      <w:rPr>
        <w:rFonts w:ascii="Arial" w:cs="Arial" w:eastAsia="Arial" w:hAnsi="Arial"/>
        <w:color w:val="6B7280"/>
        <w:sz w:val="16"/>
        <w:szCs w:val="16"/>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left w:val="none"/>
            <w:bottom w:val="single" w:color="C89B3C" w:sz="6"/>
            <w:right w:val="none"/>
          </w:tcBorders>
          <w:tcMar>
            <w:top w:type="dxa" w:w="60"/>
            <w:left w:type="dxa" w:w="0"/>
            <w:bottom w:type="dxa" w:w="60"/>
            <w:right w:type="dxa" w:w="0"/>
          </w:tcMar>
        </w:tcPr>
        <w:p>
          <w:r>
            <w:rPr>
              <w:rFonts w:ascii="Arial" w:cs="Arial" w:eastAsia="Arial" w:hAnsi="Arial"/>
              <w:b/>
              <w:bCs/>
              <w:color w:val="0D2D4E"/>
              <w:sz w:val="18"/>
              <w:szCs w:val="18"/>
            </w:rPr>
            <w:t xml:space="preserve">WorkCaptain.ai  — Platform Excellence Evaluation</w:t>
          </w:r>
        </w:p>
      </w:tc>
      <w:tc>
        <w:tcPr>
          <w:tcW w:type="dxa" w:w="3080"/>
          <w:tcBorders>
            <w:top w:val="none"/>
            <w:left w:val="none"/>
            <w:bottom w:val="single" w:color="C89B3C" w:sz="6"/>
            <w:right w:val="none"/>
          </w:tcBorders>
          <w:tcMar>
            <w:top w:type="dxa" w:w="60"/>
            <w:left w:type="dxa" w:w="0"/>
            <w:bottom w:type="dxa" w:w="60"/>
            <w:right w:type="dxa" w:w="0"/>
          </w:tcMar>
        </w:tcPr>
        <w:p>
          <w:pPr>
            <w:jc w:val="right"/>
          </w:pPr>
          <w:r>
            <w:rPr>
              <w:rFonts w:ascii="Arial" w:cs="Arial" w:eastAsia="Arial" w:hAnsi="Arial"/>
              <w:color w:val="6B7280"/>
              <w:sz w:val="16"/>
              <w:szCs w:val="16"/>
            </w:rPr>
            <w:t xml:space="preserve">Maqaleed Digital  •  April 2026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2026-04-15T12:43:23.668Z</dcterms:created>
  <dcterms:modified xsi:type="dcterms:W3CDTF">2026-04-15T12:43:23.669Z</dcterms:modified>
</cp:coreProperties>
</file>

<file path=docProps/custom.xml><?xml version="1.0" encoding="utf-8"?>
<Properties xmlns="http://schemas.openxmlformats.org/officeDocument/2006/custom-properties" xmlns:vt="http://schemas.openxmlformats.org/officeDocument/2006/docPropsVTypes"/>
</file>