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pStyle w:val="Title"/>
        <w:jc w:val="center"/>
      </w:pPr>
      <w:r>
        <w:rPr>
          <w:rFonts w:ascii="Calibri" w:hAnsi="Calibri" w:eastAsia="Calibri"/>
          <w:b/>
          <w:i w:val="0"/>
          <w:sz w:val="40"/>
        </w:rPr>
        <w:t>FUNKSIONAL TƏLƏBLƏR SƏNƏDİ (FRD)</w:t>
      </w:r>
    </w:p>
    <w:p>
      <w:pPr>
        <w:spacing w:before="120" w:after="120"/>
        <w:jc w:val="center"/>
      </w:pPr>
      <w:r>
        <w:rPr>
          <w:rFonts w:ascii="Calibri" w:hAnsi="Calibri" w:eastAsia="Calibri"/>
          <w:b/>
          <w:i w:val="0"/>
          <w:sz w:val="26"/>
        </w:rPr>
        <w:t>Məzənnə soraqçası</w:t>
      </w:r>
    </w:p>
    <w:p>
      <w:pPr>
        <w:spacing w:before="120" w:after="120"/>
        <w:jc w:val="center"/>
      </w:pPr>
      <w:r>
        <w:rPr>
          <w:rFonts w:ascii="Calibri" w:hAnsi="Calibri" w:eastAsia="Calibri"/>
          <w:b w:val="0"/>
          <w:i/>
          <w:sz w:val="22"/>
        </w:rPr>
        <w:t>Valyutalararası məzənnələrin ayrıca master-data kimi idarə olunması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Məlumat</w:t>
            </w:r>
          </w:p>
        </w:tc>
        <w:tc>
          <w:tcPr>
            <w:tcW w:type="dxa" w:w="4968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Dəyər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Sənədin adı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Məzənnə soraqçası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Layihə adı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SMB ERP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Sənəd ID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FRD-FX-001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Versiya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v1.0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Tarix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31.03.2026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Hazırlayan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</w:r>
          </w:p>
        </w:tc>
      </w:tr>
    </w:tbl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Calibri" w:hAnsi="Calibri" w:eastAsia="Calibri"/>
          <w:b/>
          <w:i w:val="0"/>
          <w:sz w:val="32"/>
        </w:rPr>
        <w:t>Document Control</w:t>
      </w:r>
    </w:p>
    <w:p>
      <w:pPr>
        <w:pStyle w:val="Heading2"/>
        <w:spacing w:before="120" w:after="120"/>
        <w:jc w:val="left"/>
      </w:pPr>
      <w:r>
        <w:rPr>
          <w:rFonts w:ascii="Calibri" w:hAnsi="Calibri" w:eastAsia="Calibri"/>
          <w:b/>
          <w:i w:val="0"/>
          <w:sz w:val="28"/>
        </w:rPr>
        <w:t>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Versiya</w:t>
            </w:r>
          </w:p>
        </w:tc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Tarix</w:t>
            </w:r>
          </w:p>
        </w:tc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Müəllif</w:t>
            </w:r>
          </w:p>
        </w:tc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Dəyişiklik təsviri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v1.0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31.03.2026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</w:r>
          </w:p>
        </w:tc>
      </w:tr>
    </w:tbl>
    <w:p>
      <w:pPr>
        <w:pStyle w:val="Heading2"/>
        <w:spacing w:before="120" w:after="120"/>
        <w:jc w:val="left"/>
      </w:pPr>
      <w:r>
        <w:rPr>
          <w:rFonts w:ascii="Calibri" w:hAnsi="Calibri" w:eastAsia="Calibri"/>
          <w:b/>
          <w:i w:val="0"/>
          <w:sz w:val="28"/>
        </w:rPr>
        <w:t>Approval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Ad</w:t>
            </w:r>
          </w:p>
        </w:tc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Rol</w:t>
            </w:r>
          </w:p>
        </w:tc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İmza</w:t>
            </w:r>
          </w:p>
        </w:tc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Tarix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</w:r>
          </w:p>
        </w:tc>
      </w:tr>
    </w:tbl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Calibri" w:hAnsi="Calibri" w:eastAsia="Calibri"/>
          <w:b/>
          <w:i w:val="0"/>
          <w:sz w:val="32"/>
        </w:rPr>
        <w:t>1. Sənəd başlığı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Sahə</w:t>
            </w:r>
          </w:p>
        </w:tc>
        <w:tc>
          <w:tcPr>
            <w:tcW w:type="dxa" w:w="4968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Dəyər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Sənədin adı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Məzənnə soraqçası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Layihə adı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SMB ERP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Sənəd nömrəsi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FRD-FX-001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Mövzu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Valyutalararası məzənnələrin ayrıca master-data kimi idarə olunması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Tarix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31.03.2026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Versiya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v1.0</w:t>
            </w:r>
          </w:p>
        </w:tc>
      </w:tr>
    </w:tbl>
    <w:p>
      <w:pPr>
        <w:pStyle w:val="Heading1"/>
        <w:spacing w:before="120" w:after="120"/>
        <w:jc w:val="left"/>
      </w:pPr>
      <w:r>
        <w:rPr>
          <w:rFonts w:ascii="Calibri" w:hAnsi="Calibri" w:eastAsia="Calibri"/>
          <w:b/>
          <w:i w:val="0"/>
          <w:sz w:val="32"/>
        </w:rPr>
        <w:t>2. Giriş və məqsəd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Məzənnə modulu valyuta kartından ayrı saxlanılan, tarixli və mənbəyə görə idarə olunan məzənnə dəyərlərinin əsas mənbəyidir.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 xml:space="preserve">Bank, alış və satış sənədlərində görünən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exchange_rate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sahəsi sərbəst yazılan rəqəm deyil; bu modulun tətbiq etdiyi qaydaya əsasən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seçilən aktiv məzənnənin sənəddə ayrıca snapshot kimi saxlanılmış dəyəridir.</w:t>
      </w:r>
    </w:p>
    <w:p>
      <w:pPr>
        <w:pStyle w:val="ListBullet"/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Bank-spesifik məzənnə ümumi məzənnədən üstün tutulmalıdır.</w:t>
      </w:r>
    </w:p>
    <w:p>
      <w:pPr>
        <w:pStyle w:val="ListBullet"/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Alış, satış və bank sənədləri tarixə uyğun aktiv məzənnəni avtomatik götürməlidir.</w:t>
      </w:r>
    </w:p>
    <w:p>
      <w:pPr>
        <w:pStyle w:val="ListBullet"/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Bağlanmış məzənnə yeni sənədlərdə avtomatik seçilməməlidir.</w:t>
      </w:r>
    </w:p>
    <w:p>
      <w:pPr>
        <w:pStyle w:val="Heading1"/>
        <w:spacing w:before="120" w:after="120"/>
        <w:jc w:val="left"/>
      </w:pPr>
      <w:r>
        <w:rPr>
          <w:rFonts w:ascii="Calibri" w:hAnsi="Calibri" w:eastAsia="Calibri"/>
          <w:b/>
          <w:i w:val="0"/>
          <w:sz w:val="32"/>
        </w:rPr>
        <w:t>3. İstifadəçi modeli (RBAC)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Sabit rol siyahısı verilmir.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 xml:space="preserve">Aktyor bütün ssenarilərdə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İstifadəçi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kimi göstərilir.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İcazələr RBAC qatından idarə olunur.</w:t>
      </w:r>
    </w:p>
    <w:p>
      <w:pPr>
        <w:pStyle w:val="Heading1"/>
        <w:spacing w:before="120" w:after="120"/>
        <w:jc w:val="left"/>
      </w:pPr>
      <w:r>
        <w:rPr>
          <w:rFonts w:ascii="Calibri" w:hAnsi="Calibri" w:eastAsia="Calibri"/>
          <w:b/>
          <w:i w:val="0"/>
          <w:sz w:val="32"/>
        </w:rPr>
        <w:t>4. Məlumat modeli</w:t>
      </w:r>
    </w:p>
    <w:p>
      <w:pPr>
        <w:pStyle w:val="Heading2"/>
        <w:spacing w:before="120" w:after="120"/>
        <w:jc w:val="left"/>
      </w:pPr>
      <w:r>
        <w:rPr>
          <w:rFonts w:ascii="Calibri" w:hAnsi="Calibri" w:eastAsia="Calibri"/>
          <w:b/>
          <w:i w:val="0"/>
          <w:sz w:val="28"/>
        </w:rPr>
        <w:t xml:space="preserve">4.1 Əsas cədvəl: </w:t>
      </w:r>
      <w:r>
        <w:rPr>
          <w:rFonts w:ascii="Consolas" w:hAnsi="Consolas" w:eastAsia="Consolas"/>
          <w:b w:val="0"/>
          <w:i w:val="0"/>
          <w:sz w:val="28"/>
        </w:rPr>
        <w:t>`</w:t>
      </w:r>
      <w:r>
        <w:rPr>
          <w:rFonts w:ascii="Consolas" w:hAnsi="Consolas" w:eastAsia="Consolas"/>
          <w:b w:val="0"/>
          <w:i w:val="0"/>
          <w:sz w:val="28"/>
        </w:rPr>
        <w:t>exchange_rate</w:t>
      </w:r>
      <w:r>
        <w:rPr>
          <w:rFonts w:ascii="Consolas" w:hAnsi="Consolas" w:eastAsia="Consolas"/>
          <w:b w:val="0"/>
          <w:i w:val="0"/>
          <w:sz w:val="28"/>
        </w:rPr>
        <w:t>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Sütun</w:t>
            </w:r>
          </w:p>
        </w:tc>
        <w:tc>
          <w:tcPr>
            <w:tcW w:type="dxa" w:w="1987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Tip</w:t>
            </w:r>
          </w:p>
        </w:tc>
        <w:tc>
          <w:tcPr>
            <w:tcW w:type="dxa" w:w="1987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PK/FK</w:t>
            </w:r>
          </w:p>
        </w:tc>
        <w:tc>
          <w:tcPr>
            <w:tcW w:type="dxa" w:w="1987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Məcburi</w:t>
            </w:r>
          </w:p>
        </w:tc>
        <w:tc>
          <w:tcPr>
            <w:tcW w:type="dxa" w:w="1987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Qeyd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rate_id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PK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Bəli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Sistem ID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rate_date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date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Bəli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Məzənnənin qüvvəyə minmə tarixi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from_currency_id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FK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Bəli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Mənbə valyuta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to_currency_id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FK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Bəli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Hədəf valyuta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rate_source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varchar(30)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Bəli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CBAR / MANUAL / BANK_SPECIFIC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rate_type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varchar(20)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Bəli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SELL / BUY / AVERAGE / ACCOUNTING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bank_account_id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FK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Xeyr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Yalnız bank-spesifik məzənnə olduqda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rate_value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decimal(18,6)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Bəli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&gt; 0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note_text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varchar(250)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Xeyr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Qeyd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created_date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date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Bəli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Başlama tarixi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closed_date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date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-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Xeyr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Bağlanma tarixi</w:t>
            </w:r>
          </w:p>
        </w:tc>
      </w:tr>
    </w:tbl>
    <w:p>
      <w:pPr>
        <w:pStyle w:val="Heading2"/>
        <w:spacing w:before="120" w:after="120"/>
        <w:jc w:val="left"/>
      </w:pPr>
      <w:r>
        <w:rPr>
          <w:rFonts w:ascii="Calibri" w:hAnsi="Calibri" w:eastAsia="Calibri"/>
          <w:b/>
          <w:i w:val="0"/>
          <w:sz w:val="28"/>
        </w:rPr>
        <w:t>4.2 Xarici əlaqələri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Sütun</w:t>
            </w:r>
          </w:p>
        </w:tc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İstinad cədvəl</w:t>
            </w:r>
          </w:p>
        </w:tc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İstinad sütun</w:t>
            </w:r>
          </w:p>
        </w:tc>
        <w:tc>
          <w:tcPr>
            <w:tcW w:type="dxa" w:w="2484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Modul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from_currency_id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currency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currency_id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Valyuta soraqçası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to_currency_id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currency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currency_id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Valyuta soraqçası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bank_account_id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bank_account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bank_account_id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Bank hesabları soraqçası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rate_id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bank_transaction / purchase_document / sales_document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source_exchange_rate_id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Bank sənədləri / Alış sənədləri / Satış sənədləri</w:t>
            </w:r>
          </w:p>
        </w:tc>
      </w:tr>
    </w:tbl>
    <w:p>
      <w:pPr>
        <w:pStyle w:val="Heading2"/>
        <w:spacing w:before="120" w:after="120"/>
        <w:jc w:val="left"/>
      </w:pPr>
      <w:r>
        <w:rPr>
          <w:rFonts w:ascii="Calibri" w:hAnsi="Calibri" w:eastAsia="Calibri"/>
          <w:b/>
          <w:i w:val="0"/>
          <w:sz w:val="28"/>
        </w:rPr>
        <w:t>4.3 Modul daxili axtarış qaydaları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a) Mənbə valyuta və hədəf valyuta axtarışı: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yalnız aktiv valyutalar göstərilir.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 xml:space="preserve">b)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rate_source = BANK_SPECIFIC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olduqda bank hesabı axtarışı aktivləşir.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c) Sənəd modullarında seçim qaydası: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 xml:space="preserve">əvvəl bank-spesifik məzənnə, o yoxdursa ümumi aktiv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CBAR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və ya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MANUAL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məzənnə.</w:t>
      </w:r>
    </w:p>
    <w:p>
      <w:pPr>
        <w:pStyle w:val="Heading1"/>
        <w:spacing w:before="120" w:after="120"/>
        <w:jc w:val="left"/>
        <w:shd w:val="clear" w:color="auto" w:fill="EAF2F8"/>
      </w:pPr>
      <w:r>
        <w:rPr>
          <w:rFonts w:ascii="Calibri" w:hAnsi="Calibri" w:eastAsia="Calibri"/>
          <w:b/>
          <w:i w:val="0"/>
          <w:sz w:val="32"/>
        </w:rPr>
        <w:t>5. Əlaqələr</w:t>
      </w:r>
    </w:p>
    <w:p>
      <w:pPr>
        <w:pStyle w:val="ListBullet"/>
        <w:spacing w:before="120" w:after="120"/>
        <w:jc w:val="left"/>
      </w:pP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exchange_rate.from_currency_id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currency.currency_id</w:t>
      </w:r>
      <w:r>
        <w:rPr>
          <w:rFonts w:ascii="Consolas" w:hAnsi="Consolas" w:eastAsia="Consolas"/>
          <w:b w:val="0"/>
          <w:i w:val="0"/>
          <w:sz w:val="22"/>
        </w:rPr>
        <w:t>`</w:t>
      </w:r>
    </w:p>
    <w:p>
      <w:pPr>
        <w:pStyle w:val="ListBullet"/>
        <w:spacing w:before="120" w:after="120"/>
        <w:jc w:val="left"/>
      </w:pP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exchange_rate.to_currency_id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currency.currency_id</w:t>
      </w:r>
      <w:r>
        <w:rPr>
          <w:rFonts w:ascii="Consolas" w:hAnsi="Consolas" w:eastAsia="Consolas"/>
          <w:b w:val="0"/>
          <w:i w:val="0"/>
          <w:sz w:val="22"/>
        </w:rPr>
        <w:t>`</w:t>
      </w:r>
    </w:p>
    <w:p>
      <w:pPr>
        <w:pStyle w:val="ListBullet"/>
        <w:spacing w:before="120" w:after="120"/>
        <w:jc w:val="left"/>
      </w:pP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exchange_rate.bank_account_id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bank_account.bank_account_id</w:t>
      </w:r>
      <w:r>
        <w:rPr>
          <w:rFonts w:ascii="Consolas" w:hAnsi="Consolas" w:eastAsia="Consolas"/>
          <w:b w:val="0"/>
          <w:i w:val="0"/>
          <w:sz w:val="22"/>
        </w:rPr>
        <w:t>`</w:t>
      </w:r>
    </w:p>
    <w:p>
      <w:pPr>
        <w:pStyle w:val="ListBullet"/>
        <w:spacing w:before="120" w:after="120"/>
        <w:jc w:val="left"/>
      </w:pP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bank_transaction.source_exchange_rate_id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exchange_rate.rate_id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(opsional)</w:t>
      </w:r>
    </w:p>
    <w:p>
      <w:pPr>
        <w:pStyle w:val="ListBullet"/>
        <w:spacing w:before="120" w:after="120"/>
        <w:jc w:val="left"/>
      </w:pP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purchase_document.source_exchange_rate_id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və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sales_document.source_exchange_rate_id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exchange_rate.rate_id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(opsional)</w:t>
      </w:r>
    </w:p>
    <w:p>
      <w:pPr>
        <w:pStyle w:val="ListBullet"/>
        <w:spacing w:before="120" w:after="120"/>
        <w:jc w:val="left"/>
      </w:pP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bank_transaction.exchange_rate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purchase_document.exchange_rate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sales_document.exchange_rate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sahələri isə seçilmiş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rate_value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snapshot-unun ayrıca saxlanmış dəyəridir və FK deyil.</w:t>
      </w:r>
    </w:p>
    <w:p>
      <w:pPr>
        <w:pStyle w:val="Heading1"/>
        <w:spacing w:before="120" w:after="120"/>
        <w:jc w:val="left"/>
      </w:pPr>
      <w:r>
        <w:rPr>
          <w:rFonts w:ascii="Calibri" w:hAnsi="Calibri" w:eastAsia="Calibri"/>
          <w:b/>
          <w:i w:val="0"/>
          <w:sz w:val="32"/>
        </w:rPr>
        <w:t>6. Biznes qaydaları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Kod</w:t>
            </w:r>
          </w:p>
        </w:tc>
        <w:tc>
          <w:tcPr>
            <w:tcW w:type="dxa" w:w="4968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Təsvir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BR-01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from_currency_id &lt;&gt; to_currency_id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olmalıdır.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BR-02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rate_value &gt; 0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olmalıdır.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BR-03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rate_source=BANK_SPECIFIC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olduqda 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bank_account_id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məcburidir.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BR-04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rate_source&lt;&gt;BANK_SPECIFIC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olduqda 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bank_account_id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boş olmalıdır.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BR-05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Eyni 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rate_date + from_currency_id + to_currency_id + rate_source + rate_type + bank_account_id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kombinasiyası təkrarlana bilməz.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BR-06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closed_date &lt; created_date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ola bilməz.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BR-07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Bank modulu sənəd yaradarkən əvvəl bank-spesifik məzənnəni, o yoxdursa 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CBAR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və ya 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MANUAL</w:t>
            </w:r>
            <w:r>
              <w:rPr>
                <w:rFonts w:ascii="Consolas" w:hAnsi="Consolas" w:eastAsia="Consolas"/>
                <w:b w:val="0"/>
                <w:i w:val="0"/>
                <w:sz w:val="22"/>
              </w:rPr>
              <w:t>`</w:t>
            </w: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aktiv məzənnəni götürə bilər.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BR-07A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Sənədə tətbiq edilən məzənnə dəyəri ayrıca snapshot kimi saxlanmalıdır; sonradan məzənnə kartı dəyişsə belə mövcud sənəd dəyəri avtomatik dəyişməməlidir.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BR-08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Aktiv olmayan məzənnə yeni sənəddə seçilməməlidir.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BR-09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Fiziki silmə yalnız heç bir əməliyyat sənədi istinad etmədikdə mümkündür.</w:t>
            </w:r>
          </w:p>
        </w:tc>
      </w:tr>
    </w:tbl>
    <w:p>
      <w:pPr>
        <w:pStyle w:val="Heading1"/>
        <w:spacing w:before="120" w:after="120"/>
        <w:jc w:val="left"/>
        <w:shd w:val="clear" w:color="auto" w:fill="EAF2F8"/>
      </w:pPr>
      <w:r>
        <w:rPr>
          <w:rFonts w:ascii="Calibri" w:hAnsi="Calibri" w:eastAsia="Calibri"/>
          <w:b/>
          <w:i w:val="0"/>
          <w:sz w:val="32"/>
        </w:rPr>
        <w:t>7. İstifadə ssenariləri</w:t>
      </w:r>
    </w:p>
    <w:p>
      <w:pPr>
        <w:pStyle w:val="Heading2"/>
        <w:spacing w:before="120" w:after="120"/>
        <w:jc w:val="left"/>
      </w:pPr>
      <w:r>
        <w:rPr>
          <w:rFonts w:ascii="Calibri" w:hAnsi="Calibri" w:eastAsia="Calibri"/>
          <w:b/>
          <w:i w:val="0"/>
          <w:sz w:val="28"/>
        </w:rPr>
        <w:t>7.1 CBAR məzənnəsi daxil edilməsi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1) </w:t>
      </w:r>
      <w:r>
        <w:rPr>
          <w:rFonts w:ascii="Calibri" w:hAnsi="Calibri" w:eastAsia="Calibri"/>
          <w:b w:val="0"/>
          <w:i w:val="0"/>
          <w:sz w:val="22"/>
        </w:rPr>
        <w:t xml:space="preserve">İstifadəçi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Yeni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klik edir.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2)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rate_date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from_currency_id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to_currency_id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rate_source=CBAR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rate_type=ACCOUNTING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rate_value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daxil edir.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3)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Yadda Saxla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klik edir.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4) </w:t>
      </w:r>
      <w:r>
        <w:rPr>
          <w:rFonts w:ascii="Calibri" w:hAnsi="Calibri" w:eastAsia="Calibri"/>
          <w:b w:val="0"/>
          <w:i w:val="0"/>
          <w:sz w:val="22"/>
        </w:rPr>
        <w:t>Sistem qeydi yaradır.</w:t>
      </w:r>
    </w:p>
    <w:p>
      <w:pPr>
        <w:pStyle w:val="Heading2"/>
        <w:spacing w:before="120" w:after="120"/>
        <w:jc w:val="left"/>
      </w:pPr>
      <w:r>
        <w:rPr>
          <w:rFonts w:ascii="Calibri" w:hAnsi="Calibri" w:eastAsia="Calibri"/>
          <w:b/>
          <w:i w:val="0"/>
          <w:sz w:val="28"/>
        </w:rPr>
        <w:t>7.2 Bank-spesifik məzənnə daxil edilməsi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1) </w:t>
      </w:r>
      <w:r>
        <w:rPr>
          <w:rFonts w:ascii="Calibri" w:hAnsi="Calibri" w:eastAsia="Calibri"/>
          <w:b w:val="0"/>
          <w:i w:val="0"/>
          <w:sz w:val="22"/>
        </w:rPr>
        <w:t xml:space="preserve">İstifadəçi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rate_source=BANK_SPECIFIC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seçir.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2) </w:t>
      </w:r>
      <w:r>
        <w:rPr>
          <w:rFonts w:ascii="Calibri" w:hAnsi="Calibri" w:eastAsia="Calibri"/>
          <w:b w:val="0"/>
          <w:i w:val="0"/>
          <w:sz w:val="22"/>
        </w:rPr>
        <w:t xml:space="preserve">Müvafiq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bank_account_id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göstərir.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3) </w:t>
      </w:r>
      <w:r>
        <w:rPr>
          <w:rFonts w:ascii="Calibri" w:hAnsi="Calibri" w:eastAsia="Calibri"/>
          <w:b w:val="0"/>
          <w:i w:val="0"/>
          <w:sz w:val="22"/>
        </w:rPr>
        <w:t>Məzənnəni saxlayır.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4) </w:t>
      </w:r>
      <w:r>
        <w:rPr>
          <w:rFonts w:ascii="Calibri" w:hAnsi="Calibri" w:eastAsia="Calibri"/>
          <w:b w:val="0"/>
          <w:i w:val="0"/>
          <w:sz w:val="22"/>
        </w:rPr>
        <w:t>Bank modulu həmin bank hesabı seçildikdə bu məzənnədən istifadə edir.</w:t>
      </w:r>
    </w:p>
    <w:p>
      <w:pPr>
        <w:pStyle w:val="Heading2"/>
        <w:spacing w:before="120" w:after="120"/>
        <w:jc w:val="left"/>
      </w:pPr>
      <w:r>
        <w:rPr>
          <w:rFonts w:ascii="Calibri" w:hAnsi="Calibri" w:eastAsia="Calibri"/>
          <w:b/>
          <w:i w:val="0"/>
          <w:sz w:val="28"/>
        </w:rPr>
        <w:t>7.3 Alış sənədində avtomatik seçim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1) </w:t>
      </w:r>
      <w:r>
        <w:rPr>
          <w:rFonts w:ascii="Calibri" w:hAnsi="Calibri" w:eastAsia="Calibri"/>
          <w:b w:val="0"/>
          <w:i w:val="0"/>
          <w:sz w:val="22"/>
        </w:rPr>
        <w:t>İstifadəçi Alış sənədlərində xarici valyuta sənədi yaradır.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2) </w:t>
      </w:r>
      <w:r>
        <w:rPr>
          <w:rFonts w:ascii="Calibri" w:hAnsi="Calibri" w:eastAsia="Calibri"/>
          <w:b w:val="0"/>
          <w:i w:val="0"/>
          <w:sz w:val="22"/>
        </w:rPr>
        <w:t xml:space="preserve">Sistem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document_date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currency_id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və müəssisənin baza valyutası əsasında uyğun məzənnəni tapır.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3) </w:t>
      </w:r>
      <w:r>
        <w:rPr>
          <w:rFonts w:ascii="Calibri" w:hAnsi="Calibri" w:eastAsia="Calibri"/>
          <w:b w:val="0"/>
          <w:i w:val="0"/>
          <w:sz w:val="22"/>
        </w:rPr>
        <w:t xml:space="preserve">Seçilmiş məzənnənin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rate_id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dəyəri opsional istinad kimi,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rate_value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isə sənədə snapshot kimi yazılır.</w:t>
      </w:r>
    </w:p>
    <w:p>
      <w:pPr>
        <w:pStyle w:val="Heading2"/>
        <w:spacing w:before="120" w:after="120"/>
        <w:jc w:val="left"/>
      </w:pPr>
      <w:r>
        <w:rPr>
          <w:rFonts w:ascii="Calibri" w:hAnsi="Calibri" w:eastAsia="Calibri"/>
          <w:b/>
          <w:i w:val="0"/>
          <w:sz w:val="28"/>
        </w:rPr>
        <w:t>7.4 Tarix üzrə məzənnə axtarışı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1) </w:t>
      </w:r>
      <w:r>
        <w:rPr>
          <w:rFonts w:ascii="Calibri" w:hAnsi="Calibri" w:eastAsia="Calibri"/>
          <w:b w:val="0"/>
          <w:i w:val="0"/>
          <w:sz w:val="22"/>
        </w:rPr>
        <w:t>İstifadəçi tarix, valyuta cütü və mənbə üzrə filtr verir.</w:t>
      </w:r>
    </w:p>
    <w:p>
      <w:pPr>
        <w:spacing w:before="120" w:after="120"/>
        <w:ind w:left="360" w:hanging="259"/>
        <w:jc w:val="left"/>
      </w:pPr>
      <w:r>
        <w:rPr>
          <w:rFonts w:ascii="Calibri" w:hAnsi="Calibri" w:eastAsia="Calibri"/>
          <w:b/>
          <w:i w:val="0"/>
          <w:sz w:val="22"/>
        </w:rPr>
        <w:t xml:space="preserve">2) </w:t>
      </w:r>
      <w:r>
        <w:rPr>
          <w:rFonts w:ascii="Calibri" w:hAnsi="Calibri" w:eastAsia="Calibri"/>
          <w:b w:val="0"/>
          <w:i w:val="0"/>
          <w:sz w:val="22"/>
        </w:rPr>
        <w:t>Sistem uyğun aktiv məzənnələri göstərir.</w:t>
      </w:r>
    </w:p>
    <w:p>
      <w:pPr>
        <w:pStyle w:val="Heading1"/>
        <w:spacing w:before="120" w:after="120"/>
        <w:jc w:val="left"/>
      </w:pPr>
      <w:r>
        <w:rPr>
          <w:rFonts w:ascii="Calibri" w:hAnsi="Calibri" w:eastAsia="Calibri"/>
          <w:b/>
          <w:i w:val="0"/>
          <w:sz w:val="32"/>
        </w:rPr>
        <w:t>8. Xəta mesajları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Kod</w:t>
            </w:r>
          </w:p>
        </w:tc>
        <w:tc>
          <w:tcPr>
            <w:tcW w:type="dxa" w:w="4968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Təsvir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E-1302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Məzənnə dəyəri sıfırdan böyük olmalıdır.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E-1303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Bank-spesifik məzənnə üçün bank hesabı seçilməlidir.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E-1304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Eyni tarix və kontekst üçün dublikat məzənnə mövcuddur.</w:t>
            </w:r>
          </w:p>
        </w:tc>
      </w:tr>
    </w:tbl>
    <w:p>
      <w:pPr>
        <w:pStyle w:val="Heading1"/>
        <w:spacing w:before="120" w:after="120"/>
        <w:jc w:val="left"/>
        <w:shd w:val="clear" w:color="auto" w:fill="F4F4F4"/>
      </w:pPr>
      <w:r>
        <w:rPr>
          <w:rFonts w:ascii="Calibri" w:hAnsi="Calibri" w:eastAsia="Calibri"/>
          <w:b/>
          <w:i w:val="0"/>
          <w:sz w:val="32"/>
        </w:rPr>
        <w:t>9. Audit və izlənmə</w:t>
      </w:r>
    </w:p>
    <w:p>
      <w:pPr>
        <w:pStyle w:val="ListBullet"/>
        <w:spacing w:before="120" w:after="120"/>
        <w:jc w:val="left"/>
      </w:pP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exchange_rate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üzrə CREATE/UPDATE/CLOSE əməliyyatları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audit_log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cədvəlində saxlanır.</w:t>
      </w:r>
    </w:p>
    <w:p>
      <w:pPr>
        <w:pStyle w:val="ListBullet"/>
        <w:spacing w:before="120" w:after="120"/>
        <w:jc w:val="left"/>
      </w:pP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rate_value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rate_source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rate_type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bank_account_id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dəyişiklikləri ayrıca audit olunur.</w:t>
      </w:r>
    </w:p>
    <w:p>
      <w:pPr>
        <w:pStyle w:val="Heading1"/>
        <w:spacing w:before="120" w:after="120"/>
        <w:jc w:val="left"/>
      </w:pPr>
      <w:r>
        <w:rPr>
          <w:rFonts w:ascii="Calibri" w:hAnsi="Calibri" w:eastAsia="Calibri"/>
          <w:b/>
          <w:i w:val="0"/>
          <w:sz w:val="32"/>
        </w:rPr>
        <w:t>10. İnteqrasiya qeydləri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 xml:space="preserve">INT-01 (Valyuta soraqçası):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exchange_rate.from_currency_id / to_currency_id → currency.currency_id</w:t>
      </w:r>
      <w:r>
        <w:rPr>
          <w:rFonts w:ascii="Consolas" w:hAnsi="Consolas" w:eastAsia="Consolas"/>
          <w:b w:val="0"/>
          <w:i w:val="0"/>
          <w:sz w:val="22"/>
        </w:rPr>
        <w:t>`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 xml:space="preserve">INT-02 (Bank hesabları soraqçası):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exchange_rate.bank_account_id → bank_account.bank_account_id</w:t>
      </w:r>
      <w:r>
        <w:rPr>
          <w:rFonts w:ascii="Consolas" w:hAnsi="Consolas" w:eastAsia="Consolas"/>
          <w:b w:val="0"/>
          <w:i w:val="0"/>
          <w:sz w:val="22"/>
        </w:rPr>
        <w:t>`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 xml:space="preserve">INT-03 (Bank sənədləri):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bank_transaction.source_exchange_rate_id → exchange_rate.rate_id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bank_transaction.exchange_rate ← exchange_rate.rate_value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snapshot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 xml:space="preserve">INT-04 (Alış sənədləri):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purchase_document.source_exchange_rate_id → exchange_rate.rate_id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purchase_document.exchange_rate ← exchange_rate.rate_value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snapshot</w:t>
      </w:r>
    </w:p>
    <w:p>
      <w:pPr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 xml:space="preserve">INT-05 (Satış sənədləri):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sales_document.source_exchange_rate_id → exchange_rate.rate_id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onsolas" w:hAnsi="Consolas" w:eastAsia="Consolas"/>
          <w:b w:val="0"/>
          <w:i w:val="0"/>
          <w:sz w:val="22"/>
        </w:rPr>
        <w:t>sales_document.exchange_rate ← exchange_rate.rate_value</w:t>
      </w:r>
      <w:r>
        <w:rPr>
          <w:rFonts w:ascii="Consolas" w:hAnsi="Consolas" w:eastAsia="Consolas"/>
          <w:b w:val="0"/>
          <w:i w:val="0"/>
          <w:sz w:val="22"/>
        </w:rPr>
        <w:t>`</w:t>
      </w:r>
      <w:r>
        <w:rPr>
          <w:rFonts w:ascii="Calibri" w:hAnsi="Calibri" w:eastAsia="Calibri"/>
          <w:b w:val="0"/>
          <w:i w:val="0"/>
          <w:sz w:val="22"/>
        </w:rPr>
        <w:t xml:space="preserve"> snapshot</w:t>
      </w:r>
    </w:p>
    <w:p>
      <w:pPr>
        <w:pStyle w:val="Heading1"/>
        <w:spacing w:before="120" w:after="120"/>
        <w:jc w:val="left"/>
      </w:pPr>
      <w:r>
        <w:rPr>
          <w:rFonts w:ascii="Calibri" w:hAnsi="Calibri" w:eastAsia="Calibri"/>
          <w:b/>
          <w:i w:val="0"/>
          <w:sz w:val="32"/>
        </w:rPr>
        <w:t>11. Ekran təsviri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Sahə</w:t>
            </w:r>
          </w:p>
        </w:tc>
        <w:tc>
          <w:tcPr>
            <w:tcW w:type="dxa" w:w="4968"/>
            <w:vAlign w:val="center"/>
            <w:shd w:val="clear" w:color="auto" w:fill="D9D9D9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sz w:val="22"/>
              </w:rPr>
              <w:t>Dəyər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Siyahı sütunları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Tarix, Valyuta cütü, Mənbə, Tip, Bank hesabı, Dəyər, Status.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Form sahələri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valyuta cütü, mənbə, bank hesabı, məzənnə dəyəri, tarixlər.</w:t>
            </w:r>
          </w:p>
        </w:tc>
      </w:tr>
    </w:tbl>
    <w:p>
      <w:pPr>
        <w:pStyle w:val="ListBullet"/>
        <w:spacing w:before="120" w:after="120"/>
        <w:jc w:val="left"/>
      </w:pPr>
      <w:r>
        <w:rPr>
          <w:rFonts w:ascii="Calibri" w:hAnsi="Calibri" w:eastAsia="Calibri"/>
          <w:b w:val="0"/>
          <w:i w:val="0"/>
          <w:sz w:val="22"/>
        </w:rPr>
        <w:t>Dizayn maket xarakterlidir; istehsal mühiti üçün son interfeys deyil.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b w:val="0"/>
        <w:i w:val="0"/>
        <w:sz w:val="18"/>
      </w:rPr>
      <w:t xml:space="preserve">FRD-FX-001 | Səhifə </w:t>
    </w:r>
    <w:r>
      <w:fldChar w:fldCharType="begin"/>
    </w:r>
    <w:r>
      <w:instrText xml:space="preserve">PAGE</w:instrText>
    </w:r>
    <w:r>
      <w:fldChar w:fldCharType="separate"/>
    </w:r>
    <w:r>
      <w:t> </w:t>
    </w:r>
    <w:r>
      <w:fldChar w:fldCharType="end"/>
    </w:r>
    <w:r>
      <w:rPr>
        <w:rFonts w:ascii="Calibri" w:hAnsi="Calibri" w:eastAsia="Calibri"/>
        <w:b w:val="0"/>
        <w:i w:val="0"/>
        <w:sz w:val="18"/>
      </w:rP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t> 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/>
      <w:jc w:val="left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jc w:val="left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jc w:val="left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jc w:val="left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20"/>
      <w:contextualSpacing/>
      <w:jc w:val="center"/>
    </w:pPr>
    <w:rPr>
      <w:rFonts w:asciiTheme="majorHAnsi" w:eastAsiaTheme="majorEastAsia" w:hAnsiTheme="majorHAnsi" w:cstheme="majorBidi" w:ascii="Calibri" w:hAnsi="Calibri" w:eastAsia="Calibri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