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43F70"/>
          <w:sz w:val="40"/>
          <w:szCs w:val="40"/>
        </w:rPr>
        <w:t xml:space="preserve">Knowledge Graph — System Architecture Proposal</w:t>
      </w:r>
    </w:p>
    <w:p>
      <w:pPr>
        <w:spacing w:after="40"/>
      </w:pPr>
      <w:r>
        <w:rPr>
          <w:color w:val="555550"/>
          <w:sz w:val="22"/>
          <w:szCs w:val="22"/>
        </w:rPr>
        <w:t xml:space="preserve">An AI cross-source synthesis instrument · open-core (Community self-host · Premium hosted)</w:t>
      </w:r>
    </w:p>
    <w:p>
      <w:pPr>
        <w:spacing w:after="200"/>
      </w:pPr>
      <w:r>
        <w:rPr>
          <w:i/>
          <w:iCs/>
          <w:color w:val="6B675E"/>
          <w:sz w:val="18"/>
          <w:szCs w:val="18"/>
        </w:rPr>
        <w:t xml:space="preserve">Stack: Next.js / Vercel · FastAPI + Dramatiq on Fly.io · Managed Postgres 16 + pgvector · Anthropic / Voyage / Ollama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 w:before="0"/>
      </w:pPr>
      <w:r>
        <w:rPr>
          <w:sz w:val="21"/>
          <w:szCs w:val="21"/>
        </w:rPr>
        <w:t xml:space="preserve">Knowledge Graph is an AI cross-source synthesis instrument — not a notes app — for researchers, analysts, and writers. Users write their own notes and import their existing reading library; the product surfaces genuinely non-obvious, true, cross-domain connections between notes: links that topical or embedding similarity cannot find because the notes are far apart in subject matter.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Core principle. </w:t>
      </w:r>
      <w:r>
        <w:rPr>
          <w:sz w:val="21"/>
          <w:szCs w:val="21"/>
        </w:rPr>
        <w:t xml:space="preserve">A deterministic six-stage pipeline decides what surfaces; the LLM reasons and renders but never selects or invents a connection it cannot ground. A separate verifier model — with no access to the reasoner's rationale — scores validity and non-obviousness independently (decorrelated judgment). Only </w:t>
      </w:r>
      <w:r>
        <w:rPr>
          <w:b/>
          <w:bCs/>
          <w:sz w:val="21"/>
          <w:szCs w:val="21"/>
        </w:rPr>
        <w:t xml:space="preserve">q = min(validity, non-obviousness) ≥ 3</w:t>
      </w:r>
      <w:r>
        <w:rPr>
          <w:sz w:val="21"/>
          <w:szCs w:val="21"/>
        </w:rPr>
        <w:t xml:space="preserve"> surfaces; an empty result is the correct result. No LLM or embedding call ever runs on an HTTP request path — all engine work is asynchronous, idempotent, and keyed by (content_hash, model_version).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One codebase, two editions. </w:t>
      </w:r>
      <w:r>
        <w:rPr>
          <w:sz w:val="21"/>
          <w:szCs w:val="21"/>
        </w:rPr>
        <w:t xml:space="preserve">Community (open-source, self-host, bring-your-own Ollama, on-demand only, fully private) and Premium (hosted, managed Claude, background scan + weekly digest) are the same code behind env seams — the engine API is identical; only the trigger and the model_router targets differ.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Open for review: </w:t>
      </w:r>
      <w:r>
        <w:rPr>
          <w:sz w:val="21"/>
          <w:szCs w:val="21"/>
        </w:rPr>
        <w:t xml:space="preserve">the async substrate default (Postgres-queue vs Redis+Dramatiq for Premium), the embedder choice (eval-gated, not pre-committed), the feedback re-ranker, and the bulk-import cost controls — each is called out under its section.</w:t>
      </w:r>
    </w:p>
    <w:p>
      <w:pPr>
        <w:pStyle w:val="Heading3"/>
      </w:pPr>
      <w:r>
        <w:t xml:space="preserve">Scope of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On-demand Find connections / Scan </w:t>
      </w:r>
      <w:r>
        <w:rPr>
          <w:sz w:val="21"/>
          <w:szCs w:val="21"/>
        </w:rPr>
        <w:t xml:space="preserve">— the user-facing path: a user triggers the engine over the open note or the whole library and gets surfaced connections, a local graph, and clusters.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Ingestion </w:t>
      </w:r>
      <w:r>
        <w:rPr>
          <w:sz w:val="21"/>
          <w:szCs w:val="21"/>
        </w:rPr>
        <w:t xml:space="preserve">— authored notes and imports (file-drop + managed connectors) flow through one normalize → enqueue → engine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Premium background path </w:t>
      </w:r>
      <w:r>
        <w:rPr>
          <w:sz w:val="21"/>
          <w:szCs w:val="21"/>
        </w:rPr>
        <w:t xml:space="preserve">— a scheduler fans out incremental scans and a weekly digest.</w:t>
      </w:r>
    </w:p>
    <w:p>
      <w:pPr>
        <w:pStyle w:val="Heading1"/>
      </w:pPr>
      <w:r>
        <w:t xml:space="preserve">2. System context</w:t>
      </w:r>
    </w:p>
    <w:p>
      <w:pPr>
        <w:spacing w:after="120" w:before="0"/>
      </w:pPr>
      <w:r>
        <w:rPr>
          <w:sz w:val="21"/>
          <w:szCs w:val="21"/>
        </w:rPr>
        <w:t xml:space="preserve">The system in scope is the Knowledge Graph platform. Users write and import notes and trigger connection-finding; the platform depends on model and embedding providers, an object store, import connectors, and (Premium) auth and email. Community swaps managed providers for local Ollama and runs without Clerk/email.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914775"/>
            <wp:effectExtent t="0" r="0" b="0" l="0"/>
            <wp:docPr id="1" name="context.png" descr="context.png" title="con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75E"/>
          <w:sz w:val="18"/>
          <w:szCs w:val="18"/>
        </w:rPr>
        <w:t xml:space="preserve">Figure 1 — System context (C4 Level 1). Dependencies are labelled Community vs Premium.</w:t>
      </w:r>
    </w:p>
    <w:p>
      <w:pPr>
        <w:pStyle w:val="Heading1"/>
      </w:pPr>
      <w:r>
        <w:t xml:space="preserve">3. Architecture — containers &amp; data flow</w:t>
      </w:r>
    </w:p>
    <w:p>
      <w:pPr>
        <w:spacing w:after="120" w:before="0"/>
      </w:pPr>
      <w:r>
        <w:rPr>
          <w:sz w:val="21"/>
          <w:szCs w:val="21"/>
        </w:rPr>
        <w:t xml:space="preserve">The platform is a modular monolith plus workers: a thin Next.js BFF, a FastAPI edge that only authenticates and enqueues, a queue seam over a durable Postgres outbox, and a worker that runs the engine off the request path. Postgres + pgvector is the single system of record.</w:t>
      </w:r>
    </w:p>
    <w:p>
      <w:pPr>
        <w:spacing w:after="80" w:before="80"/>
        <w:jc w:val="center"/>
      </w:pPr>
      <w:r>
        <w:drawing>
          <wp:inline distT="0" distB="0" distL="0" distR="0">
            <wp:extent cx="6172200" cy="3686175"/>
            <wp:effectExtent t="0" r="0" b="0" l="0"/>
            <wp:docPr id="1" name="container_flow.png" descr="container_flow.png" title="container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75E"/>
          <w:sz w:val="18"/>
          <w:szCs w:val="18"/>
        </w:rPr>
        <w:t xml:space="preserve">Figure 2 — Container &amp; data-flow (C4 Level 2). Numbers 1–6 trace the on-demand “Find connections” flow; the engine never runs above the HTTP boundary.</w:t>
      </w:r>
    </w:p>
    <w:p>
      <w:pPr>
        <w:pStyle w:val="Heading1"/>
      </w:pPr>
      <w:r>
        <w:t xml:space="preserve">4. Flows</w:t>
      </w:r>
    </w:p>
    <w:p>
      <w:pPr>
        <w:pStyle w:val="Heading2"/>
      </w:pPr>
      <w:r>
        <w:t xml:space="preserve">4.1 Find connections / Scan (the on-demand trigger)</w:t>
      </w:r>
    </w:p>
    <w:p>
      <w:pPr>
        <w:spacing w:after="120" w:before="0"/>
      </w:pPr>
      <w:r>
        <w:rPr>
          <w:sz w:val="21"/>
          <w:szCs w:val="21"/>
        </w:rPr>
        <w:t xml:space="preserve">A user opens a note and clicks Find connections (or Scan library). The edge authenticates, enqueues a job, and returns a job id; the client streams progress over SSE. A worker drains the job and runs the pipeline, persisting only q≥3 connections. Reads serve persisted rows — no model call on any request.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9"/>
                <w:szCs w:val="19"/>
              </w:rPr>
              <w:t xml:space="preserve">Component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9"/>
                <w:szCs w:val="19"/>
              </w:rPr>
              <w:t xml:space="preserve">Service (our stack)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Web app + reads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Next.js · Vercel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SPA surfaces (Notes · Graph · Organize); thin BFF proxy; consumes the SSE progress stream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API entry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kg_api — FastAPI · Fly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 chokepoint (sole user_id source); validate; enqueue; return job_id — no LLM/embedding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Async substrate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KG_QUEUE — Postgres jobs outbox (Community) / Redis + Dramatiq (Premium)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Durable, idempotent, at-least-once; double-click collapses to one job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Engine worker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kg_workers — Python · Fly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Drains queue off-path; runs extract → embed → retrieve → reason → verify → q-gate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Extraction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Anthropic Haiku (Premium) / Ollama (Community)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0–5 typed structural facets per note; cached forever by content_hash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Reasoning + verifier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Anthropic Sonnet (Premium) / Ollama (Community)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Reason the shared structure, then an independent decorrelated verify — two calls, never merged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Embeddings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Voyage (Premium) / nomic · bge-m3 (Community)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Abstraction-space + topical vectors; topical cached by (content_hash, embed_version)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Vector search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Postgres + pgvector (HNSW)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Type-partitioned ANN; topical-reject + generic-skeleton prune before any LLM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System of record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Managed Postgres 16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Notes, connections, caches, dedup, jobs, clusters, feedback, eval — RLS, user-scoped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Progress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SSE via kg_api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Live job status (queued → done) to the 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stage_events table + Sentry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Per-stage latency/status/retries; errors scrubbed of note text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8a560f"/>
          <w:sz w:val="20"/>
          <w:szCs w:val="20"/>
        </w:rPr>
        <w:t xml:space="preserve">Points for discussion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Async substrate default: Postgres SKIP-LOCKED (zero extra infra, the Community default) vs Redis+Dramatiq for the Premium digest/scan fan-out. We default Premium to Redis for backpressure/priority/abort; PG-queue would contend with pgvector on the same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Verifier model: Sonnet vs a cheaper model — the floor experiment shows local verifiers cap recall, so the moat (reason+verify) is the place to spend.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topical_reject threshold: the floor experiment moved it 0.82 → 0.92 after it wrongly rejected metaphor-sharing cross-domain analogies (genuine recall 0/4 → 1/4, garbage flat).</w:t>
      </w:r>
    </w:p>
    <w:p>
      <w:pPr>
        <w:pStyle w:val="Heading2"/>
      </w:pPr>
      <w:r>
        <w:t xml:space="preserve">4.2 Ingestion — authored notes &amp; import</w:t>
      </w:r>
    </w:p>
    <w:p>
      <w:pPr>
        <w:spacing w:after="120" w:before="0"/>
      </w:pPr>
      <w:r>
        <w:rPr>
          <w:sz w:val="21"/>
          <w:szCs w:val="21"/>
        </w:rPr>
        <w:t xml:space="preserve">Every path terminates in one normalize → enqueue entrypoint, so adding a source never touches the engine. An authored note is just another ingestion source. Idempotency by content_hash means an overlapping highlight (the same passage in Kindle and Readwise) deduplicates and never double-bills extraction.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9"/>
                <w:szCs w:val="19"/>
              </w:rPr>
              <w:t xml:space="preserve">Component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9"/>
                <w:szCs w:val="19"/>
              </w:rPr>
              <w:t xml:space="preserve">Service (our stack)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File-drop import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Next.js client parser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Markdown / .txt / Obsidian / Kindle clippings / Notion export → notes → POST /notes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Managed connectors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Readwise / Notion API (Premium)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OAuth pull → normalize (priority order = breadth is the moat)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Normalize + dedup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kg_api + content_hash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One entrypoint; idempotent; same content never re-extracted or double-billed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Blobs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S3 / Cloudflare R2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Raw import artifacts + extraction audit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Engine path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enqueue → kg_workers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Imported and authored notes share the exact same async pipeline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8a560f"/>
          <w:sz w:val="20"/>
          <w:szCs w:val="20"/>
        </w:rPr>
        <w:t xml:space="preserve">Points for discussion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Bulk import lane (KG_BULK_LANE=sync|batch): ship the rate-governed sync fast-lane + per-import spend ceiling + adaptive-K now; the Anthropic Batches API (50% off, ~1h) is deferred until import spend is measured. Invariant: the ceiling throttles backfill over time, never silently dropping corpus coverage.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Connector health is execution risk: Apple Notes / OneNote / Evernote export paths rot — file-drop first keeps everyone unblocked.</w:t>
      </w:r>
    </w:p>
    <w:p>
      <w:pPr>
        <w:pStyle w:val="Heading2"/>
      </w:pPr>
      <w:r>
        <w:t xml:space="preserve">4.3 Background scan &amp; weekly digest (Premium only)</w:t>
      </w:r>
    </w:p>
    <w:p>
      <w:pPr>
        <w:spacing w:after="120" w:before="0"/>
      </w:pPr>
      <w:r>
        <w:rPr>
          <w:sz w:val="21"/>
          <w:szCs w:val="21"/>
        </w:rPr>
        <w:t xml:space="preserve">The retention lever. A single external scheduler fans out incremental scans across active users and assembles a weekly “connections found in your library” email. Community is on-demand only (no scheduler, battery-friendly).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9"/>
                <w:szCs w:val="19"/>
              </w:rPr>
              <w:t xml:space="preserve">Component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9"/>
                <w:szCs w:val="19"/>
              </w:rPr>
              <w:t xml:space="preserve">Service (our stack)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Scheduler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External Fly cron → tick actor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Leader-safe (no per-replica double-fire); enqueues incremental scans + the weekly digest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Digest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Email provider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Proactive re-engagement loop — the #1 retention lever and the justification for the hosted tier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8a560f"/>
          <w:sz w:val="20"/>
          <w:szCs w:val="20"/>
        </w:rPr>
        <w:t xml:space="preserve">Points for discussion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Fan-out cost/latency across ~1000 users is modeled, not measured — this is what pins Premium to Redis+Dramatiq rather than a shared Postgres queue.</w:t>
      </w:r>
    </w:p>
    <w:p>
      <w:pPr>
        <w:pStyle w:val="Heading2"/>
      </w:pPr>
      <w:r>
        <w:t xml:space="preserve">4.4 Feedback capture (the moat)</w:t>
      </w:r>
    </w:p>
    <w:p>
      <w:pPr>
        <w:spacing w:after="120" w:before="0"/>
      </w:pPr>
      <w:r>
        <w:rPr>
          <w:sz w:val="21"/>
          <w:szCs w:val="21"/>
        </w:rPr>
        <w:t xml:space="preserve">The defensible asset is accumulating per-user feedback, captured the moment a connection is shown. It is an append-only event log anchored to the stable note-pair + facet abstraction (not a foreign key to the version-bound connection row), with an immutable provenance snapshot — so a threshold change never orphans a label.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9"/>
                <w:szCs w:val="19"/>
              </w:rPr>
              <w:t xml:space="preserve">Component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9"/>
                <w:szCs w:val="19"/>
              </w:rPr>
              <w:t xml:space="preserve">Service (our stack)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Capture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feedback_events (Postgres, append-only)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Two axes: wrong → validity, obvious → non-obviousness, plus a surface-match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Read-back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materialized view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Per-cohort / per-facet downvote-rate decay alarm; threshold tuning; a personalized re-ranker (v2)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8a560f"/>
          <w:sz w:val="20"/>
          <w:szCs w:val="20"/>
        </w:rPr>
        <w:t xml:space="preserve">Points for discussion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data is un-backfillable — the capture schema must be right on day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day-1 UI must force the wrong/obvious/surface reason, or the two-axis signal collapses to one-axis noise regardless of schema correctness.</w:t>
      </w:r>
    </w:p>
    <w:p>
      <w:pPr>
        <w:pStyle w:val="Heading1"/>
      </w:pPr>
      <w:r>
        <w:t xml:space="preserve">5. Deployment topology</w:t>
      </w:r>
    </w:p>
    <w:p>
      <w:pPr>
        <w:spacing w:after="120" w:before="0"/>
      </w:pPr>
      <w:r>
        <w:rPr>
          <w:sz w:val="21"/>
          <w:szCs w:val="21"/>
        </w:rPr>
        <w:t xml:space="preserve">Two stateless Fly deployables (kg_api, kg_workers) share Managed Postgres and the queue substrate; Vercel serves the frontend; S3/R2 holds blobs; one external cron owns scheduling. Community collapses to a single process against a local Postgres with no Redis/Clerk/cron.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4676775"/>
            <wp:effectExtent t="0" r="0" b="0" l="0"/>
            <wp:docPr id="1" name="deployment.png" descr="deployment.png" title="deplo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75E"/>
          <w:sz w:val="18"/>
          <w:szCs w:val="18"/>
        </w:rPr>
        <w:t xml:space="preserve">Figure 3 — Deployment &amp; components. Amber = the engine pipeline (the moat); the dashed line is the HTTP boundary; the legend lists the Community vs Premium env seams.</w:t>
      </w:r>
    </w:p>
    <w:p>
      <w:pPr>
        <w:pStyle w:val="Heading1"/>
      </w:pPr>
      <w:r>
        <w:t xml:space="preserve">6. Cross-cutting properties (Well-Architected lens)</w:t>
      </w:r>
    </w:p>
    <w:p>
      <w:pPr>
        <w:pStyle w:val="Heading3"/>
      </w:pPr>
      <w:r>
        <w:t xml:space="preserve">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At-least-once delivery made safe by data-layer idempotency: UNIQUE(content_hash, model_version) + ON CONFLICT, and a lifetime per-pair dedup table — every actor re-checks the cache before any paid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Transactional outbox: the note write and the job enqueue commit in one Postgres transaction; Redis only distributes a drain signal, so durability never depends on the broker.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DLQ → Postgres with a depth alarm; per-actor TimeLimit unpins a hung model call; Managed Postgres with PITR.</w:t>
      </w:r>
    </w:p>
    <w:p>
      <w:pPr>
        <w:pStyle w:val="Heading3"/>
      </w:pPr>
      <w:r>
        <w:t xml:space="preserve">Security &amp; multi-tenancy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Connections are strictly intra-user. get_current_user is the sole source of user_id; it is the leading column of every index and a filter on every query.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Defense in depth: fail-closed Row-Level Security keyed on a per-request GUC, plus a mandatory cross-tenant leak test as a CI merge gate (fake-provider tests can never catch a tenancy leak).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PII: decided before telemetry goes live — Sentry before_send scrubbing, no note text in logs/spans. A bring-your-own-key strict-privacy tier is the v2 wedge for the researcher persona.</w:t>
      </w:r>
    </w:p>
    <w:p>
      <w:pPr>
        <w:pStyle w:val="Heading3"/>
      </w:pPr>
      <w:r>
        <w:t xml:space="preserve">Performance &amp;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N² all-pairs matrix is never materialized: per-tenant isolation, ANN top-K, five facet-type partitions, and generic-skeleton suppression before any LLM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HNSW is tuned recall-biased (the moat is topically-distant-but-structural matches) with iterative scan so filter+ANN do not under-return; an ANN recall@20-vs-brute-force metric guards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Connection pools are small (LLM latency dominates, not driver QPS); reason/verify fan out per candidate.</w:t>
      </w:r>
    </w:p>
    <w:p>
      <w:pPr>
        <w:pStyle w:val="Heading3"/>
      </w:pPr>
      <w:r>
        <w:t xml:space="preserve">Cost</w:t>
      </w:r>
    </w:p>
    <w:p>
      <w:pPr>
        <w:spacing w:after="120" w:before="0"/>
      </w:pPr>
      <w:r>
        <w:rPr>
          <w:sz w:val="21"/>
          <w:szCs w:val="21"/>
        </w:rPr>
        <w:t xml:space="preserve">Extraction cached once per unique note; prompt-caching on the frozen system blocks; tiered routing (Haiku extract, Sonnet reason+verify, Opus as the offline eval judge only — never per-pair); embed short abstractions, not full notes; per-import/per-user spend ceilings with adaptive-K.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Target @ 1,000 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~$1.30–1.90 / user / month all-in (&gt;85% gross margin against a $/seat price)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Biggest driver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One-time large imports — bounded by the content-hash cache, spend ceilings, and the Opus-free verifier path</w:t>
            </w:r>
          </w:p>
        </w:tc>
      </w:tr>
    </w:tbl>
    <w:p>
      <w:pPr>
        <w:pStyle w:val="Heading3"/>
      </w:pPr>
      <w:r>
        <w:t xml:space="preserve">Observability &amp; the eval 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Day-1 observability is SQL over rows we already write: pipeline_runs / stage_events + per-pair cost/tokens, plus Sentry. OTel/Logfire export is deferred behind a seam until multi-worker scale demands cross-process p99.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eval harness is a deploy gate, not optional tooling: two independent thresholds (recall floor AND garbage ceiling) + ANN recall@20 + precision ≥ 75%, gated in CI on any prompt/model/threshold/K change, with shadow mode before promotion.</w:t>
      </w:r>
    </w:p>
    <w:p>
      <w:pPr>
        <w:pStyle w:val="Heading1"/>
      </w:pPr>
      <w:r>
        <w:t xml:space="preserve">7. Editions — env seams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Models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Community: Ollama (BYO) · Premium: Anthropic Haiku/Sonnet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Embeddings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Community: nomic / bge-m3 (768-d) · Premium: Voyage (1024-d), eval-gated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Queue (KG_QUEUE)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Community: Postgres SKIP-LOCKED · Premium: Redis + Dramatiq + outbox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Auth (KG_AUTH)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Community: none (loopback) / local token · Premium: Clerk JWT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Triggers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Community: on-demand only · Premium: + background scan + weekly digest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Community: 100% local / private · Premium: hosted (or BYO-key privacy tier, v2)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43F70"/>
                <w:sz w:val="18"/>
                <w:szCs w:val="18"/>
              </w:rPr>
              <w:t xml:space="preserve">Price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Community: free · Premium: $ / seat</w:t>
            </w:r>
          </w:p>
        </w:tc>
      </w:tr>
    </w:tbl>
    <w:p>
      <w:pPr>
        <w:pStyle w:val="Heading1"/>
      </w:pPr>
      <w:r>
        <w:t xml:space="preserve">8. Open risks (not solved by architecture)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Gate 2 — does genuine insight recur weekly on a real, un-curated corpus at scale? The make-or-break product risk; needs real user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Local-model quality cap: the floor experiment on a messy corpus recovered only 1/4 genuine pairs after threshold tuning — retrieval is exact (recall@20 = 100%), so the gap is the local verifier. Real recall needs managed Claude.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Generic-skeleton precision decay at 50k+ notes/user is mitigated, not proven; the live downvote-rate canary is the only true alarm and it lags.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Feedback-flywheel fracture across embedding dimensions (768 vs 1024): a provenance-aware re-embed/reattribution migration must exist before multi-dimension data accumulates.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43F7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5FA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e520900c8905fdc7acb32f559c24fc41ba60009.png"/><Relationship Id="rId8" Type="http://schemas.openxmlformats.org/officeDocument/2006/relationships/image" Target="media/9215861c3ae08d5c171d2d05aefc26932c7766e6.png"/><Relationship Id="rId9" Type="http://schemas.openxmlformats.org/officeDocument/2006/relationships/image" Target="media/9c0ee4338e60b8289bf2fa486f4d31d5ca184fc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Knowledge Graph</dc:creator>
  <cp:lastModifiedBy>Un-named</cp:lastModifiedBy>
  <cp:revision>1</cp:revision>
  <dcterms:created xsi:type="dcterms:W3CDTF">2026-06-26T19:58:03.842Z</dcterms:created>
  <dcterms:modified xsi:type="dcterms:W3CDTF">2026-06-26T19:58:03.842Z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