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PAWCHITO — стек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2157"/>
        <w:gridCol w:w="3624"/>
        <w:gridCol w:w="3089"/>
      </w:tblGrid>
      <w:tr>
        <w:trPr>
          <w:cantSplit/>
          <w:tblHeader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Выбор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shd w:fill="E6EF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8"/>
                <w:szCs w:val="18"/>
              </w:rPr>
              <w:t xml:space="preserve">Вместо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Бэкенд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Python, FastAPI, Pydantic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OpenAPI из кода — контракт для фронта; DI через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Depends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Django — Active Record ломает слои; Flask — всё руками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SQLAlchemy 2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модели отделены от API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SQLModel — смешивает модели БД и API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Миграции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Alembic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миграции из моделей, история схемы, откат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ручной SQL — нет истории и отката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БД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частичный индекс против двойной записи; ENUM, CHECK, массивы, представления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MySQL — нет частичных индексов; SQLite — один писатель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JWT (PyJWT), Argon2 (pwdlib)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без хранилища сессий; роль в токене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сессии — хранилище и защита от CSRF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Фронтенд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React, TypeScript, Vite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SPA за логином; типы из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openapi.json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Next.js — SSR не нужен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Данные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TanStack Query, openapi-fetch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кэш и обновление после действий; типизированные запросы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Redux — избыточен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Моки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MSW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фронт не ждёт бэк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json-server — свои URL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Стили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Tailwind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токены UI-кита в одном месте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готовые UI-киты — чужой дизайн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pytest на PostgreSQL, ruff, mypy, eslint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ограничения БД — часть логики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SQLite в тестах — не те ограничения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Логи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Redis Streams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быстрая запись, автообрезка по сроку, лёгкий для VPS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 w:val="false"/>
            </w:pPr>
            <w:r>
              <w:rPr>
                <w:sz w:val="18"/>
                <w:szCs w:val="18"/>
              </w:rPr>
              <w:t xml:space="preserve">Cassandra — JVM, не влезает в 2 ГБ RAM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2157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Docker Compose, GitHub Actions, Caddy, VPS</w:t>
            </w:r>
          </w:p>
        </w:tc>
        <w:tc>
          <w:tcPr>
            <w:tcW w:type="dxa" w:w="3624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запуск одной командой; CI на PR; HTTPS автоматически</w:t>
            </w:r>
          </w:p>
        </w:tc>
        <w:tc>
          <w:tcPr>
            <w:tcW w:type="dxa" w:w="3089"/>
            <w:tcBorders>
              <w:top w:val="single" w:color="B7C9C1" w:sz="4"/>
              <w:left w:val="single" w:color="B7C9C1" w:sz="4"/>
              <w:bottom w:val="single" w:color="B7C9C1" w:sz="4"/>
              <w:right w:val="single" w:color="B7C9C1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keepNext/>
            </w:pPr>
            <w:r>
              <w:rPr>
                <w:sz w:val="18"/>
                <w:szCs w:val="18"/>
              </w:rPr>
              <w:t xml:space="preserve">Kubernetes — избыточен</w:t>
            </w:r>
          </w:p>
        </w:tc>
      </w:tr>
    </w:tbl>
    <w:p>
      <w:pPr>
        <w:keepNext/>
        <w:spacing w:after="60"/>
      </w:pPr>
    </w:p>
    <w:p>
      <w:pPr>
        <w:keepNext/>
        <w:spacing w:after="80" w:before="100"/>
      </w:pPr>
      <w:r>
        <w:rPr>
          <w:b/>
          <w:bCs/>
        </w:rPr>
        <w:t xml:space="preserve">Не берём:</w:t>
      </w:r>
      <w:r>
        <w:t xml:space="preserve"> Celery, WebSocket, микросервисы, GraphQL — в первой версии не нужны.</w:t>
      </w:r>
    </w:p>
    <w:p>
      <w:pPr>
        <w:pStyle w:val="Heading1"/>
      </w:pPr>
      <w:r>
        <w:t xml:space="preserve">Миграции (Alembic)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backend/alembic/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env.py</w:t>
      </w:r>
      <w:r>
        <w:t xml:space="preserve"> берёт URL БД из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target_metadata = Base.metadata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Миграции создаёт Пугно; один этап роадмапа — одна миграция.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Цикл: модель → </w:t>
      </w:r>
      <w:r>
        <w:rPr>
          <w:rFonts w:ascii="Consolas" w:cs="Consolas" w:eastAsia="Consolas" w:hAnsi="Consolas"/>
          <w:sz w:val="19"/>
          <w:szCs w:val="19"/>
        </w:rPr>
        <w:t xml:space="preserve">alembic revision --autogenerate -m "…"</w:t>
      </w:r>
      <w:r>
        <w:t xml:space="preserve"> → вычитать и дописать → </w:t>
      </w:r>
      <w:r>
        <w:rPr>
          <w:rFonts w:ascii="Consolas" w:cs="Consolas" w:eastAsia="Consolas" w:hAnsi="Consolas"/>
          <w:sz w:val="19"/>
          <w:szCs w:val="19"/>
        </w:rPr>
        <w:t xml:space="preserve">alembic upgrade head</w:t>
      </w:r>
      <w:r>
        <w:t xml:space="preserve"> → модель и миграция в одном PR.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Руками: представления (</w:t>
      </w:r>
      <w:r>
        <w:rPr>
          <w:rFonts w:ascii="Consolas" w:cs="Consolas" w:eastAsia="Consolas" w:hAnsi="Consolas"/>
          <w:sz w:val="19"/>
          <w:szCs w:val="19"/>
        </w:rPr>
        <w:t xml:space="preserve">op.execute</w:t>
      </w:r>
      <w:r>
        <w:t xml:space="preserve">), CHECK, новые значения ENUM, переименования; проверить </w:t>
      </w:r>
      <w:r>
        <w:rPr>
          <w:rFonts w:ascii="Consolas" w:cs="Consolas" w:eastAsia="Consolas" w:hAnsi="Consolas"/>
          <w:sz w:val="19"/>
          <w:szCs w:val="19"/>
        </w:rPr>
        <w:t xml:space="preserve">postgresql_where</w:t>
      </w:r>
      <w:r>
        <w:t xml:space="preserve"> у частичного индекса.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naming_convention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</w:rPr>
        <w:t xml:space="preserve">MetaData</w:t>
      </w:r>
      <w:r>
        <w:t xml:space="preserve">; влитые миграции не правим; одна голова; рабочий </w:t>
      </w:r>
      <w:r>
        <w:rPr>
          <w:rFonts w:ascii="Consolas" w:cs="Consolas" w:eastAsia="Consolas" w:hAnsi="Consolas"/>
          <w:sz w:val="19"/>
          <w:szCs w:val="19"/>
        </w:rPr>
        <w:t xml:space="preserve">downgrade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Старт контейнера: </w:t>
      </w:r>
      <w:r>
        <w:rPr>
          <w:rFonts w:ascii="Consolas" w:cs="Consolas" w:eastAsia="Consolas" w:hAnsi="Consolas"/>
          <w:sz w:val="19"/>
          <w:szCs w:val="19"/>
        </w:rPr>
        <w:t xml:space="preserve">alembic upgrade head</w:t>
      </w:r>
      <w:r>
        <w:t xml:space="preserve"> → seed → uvicorn. На проде перед этим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CI: миграции с нуля на чистом PostgreSQL + </w:t>
      </w:r>
      <w:r>
        <w:rPr>
          <w:rFonts w:ascii="Consolas" w:cs="Consolas" w:eastAsia="Consolas" w:hAnsi="Consolas"/>
          <w:sz w:val="19"/>
          <w:szCs w:val="19"/>
        </w:rPr>
        <w:t xml:space="preserve">alembic check</w:t>
      </w:r>
      <w:r>
        <w:t xml:space="preserve">.</w:t>
      </w:r>
    </w:p>
    <w:p>
      <w:pPr>
        <w:pStyle w:val="Heading1"/>
      </w:pPr>
      <w:r>
        <w:t xml:space="preserve">Логирование (Redis)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logging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QueueHandler</w:t>
      </w:r>
      <w:r>
        <w:t xml:space="preserve"> → запись в Stream </w:t>
      </w:r>
      <w:r>
        <w:rPr>
          <w:rFonts w:ascii="Consolas" w:cs="Consolas" w:eastAsia="Consolas" w:hAnsi="Consolas"/>
          <w:sz w:val="19"/>
          <w:szCs w:val="19"/>
        </w:rPr>
        <w:t xml:space="preserve">logs</w:t>
      </w:r>
      <w:r>
        <w:t xml:space="preserve"> в фоновом потоке; запрос не ждёт Redis.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Redis недоступен — логи идут в stdout, приложение работает.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Поля: время, уровень, </w:t>
      </w:r>
      <w:r>
        <w:rPr>
          <w:rFonts w:ascii="Consolas" w:cs="Consolas" w:eastAsia="Consolas" w:hAnsi="Consolas"/>
          <w:sz w:val="19"/>
          <w:szCs w:val="19"/>
        </w:rPr>
        <w:t xml:space="preserve">request_id</w:t>
      </w:r>
      <w:r>
        <w:t xml:space="preserve">, id пользователя, метод, путь, статус, время ответа, сообщение.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Уровни: INFO — запросы и события (запись создана, приём завершён); WARNING — 403, 409; ERROR — 500 со стектрейсом.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Хранение 14 дней (</w:t>
      </w:r>
      <w:r>
        <w:rPr>
          <w:rFonts w:ascii="Consolas" w:cs="Consolas" w:eastAsia="Consolas" w:hAnsi="Consolas"/>
          <w:sz w:val="19"/>
          <w:szCs w:val="19"/>
        </w:rPr>
        <w:t xml:space="preserve">XADD … MINID</w:t>
      </w:r>
      <w:r>
        <w:t xml:space="preserve">), AOF, </w:t>
      </w:r>
      <w:r>
        <w:rPr>
          <w:rFonts w:ascii="Consolas" w:cs="Consolas" w:eastAsia="Consolas" w:hAnsi="Consolas"/>
          <w:sz w:val="19"/>
          <w:szCs w:val="19"/>
        </w:rPr>
        <w:t xml:space="preserve">maxmemory</w:t>
      </w:r>
      <w:r>
        <w:t xml:space="preserve"> 256 МБ.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Не пишем: пароли, токены, заключения, рецепты.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Чтение: </w:t>
      </w:r>
      <w:r>
        <w:rPr>
          <w:rFonts w:ascii="Consolas" w:cs="Consolas" w:eastAsia="Consolas" w:hAnsi="Consolas"/>
          <w:sz w:val="19"/>
          <w:szCs w:val="19"/>
        </w:rPr>
        <w:t xml:space="preserve">XREVRANGE logs + - COUNT 50</w:t>
      </w:r>
      <w:r>
        <w:t xml:space="preserve"> или RedisInsight.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PAWCHITO — стек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5C4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7C9C1" w:sz="6" w:space="2"/>
      </w:pBdr>
      <w:spacing w:after="100" w:before="200"/>
      <w:outlineLvl w:val="0"/>
    </w:pPr>
    <w:rPr>
      <w:b/>
      <w:bCs/>
      <w:color w:val="1F5C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PAWCHITO — стек</dc:title>
  <dc:creator>Черников А.С.</dc:creator>
  <cp:lastModifiedBy>Un-named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