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5EAB4" w14:textId="1EDE23E0" w:rsidR="00E90269" w:rsidRDefault="00E90269" w:rsidP="00E9026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1F497D"/>
          <w:kern w:val="0"/>
          <w:sz w:val="18"/>
          <w:szCs w:val="18"/>
          <w:lang w:eastAsia="en-GB"/>
          <w14:ligatures w14:val="none"/>
        </w:rPr>
      </w:pPr>
      <w:r w:rsidRPr="00E90269">
        <w:rPr>
          <w:rFonts w:ascii="Times New Roman" w:eastAsia="Times New Roman" w:hAnsi="Times New Roman" w:cs="Times New Roman"/>
          <w:i/>
          <w:iCs/>
          <w:color w:val="1F497D"/>
          <w:kern w:val="0"/>
          <w:sz w:val="18"/>
          <w:szCs w:val="18"/>
          <w:lang w:eastAsia="en-GB"/>
          <w14:ligatures w14:val="none"/>
        </w:rPr>
        <w:t xml:space="preserve">Table </w:t>
      </w:r>
      <w:r w:rsidRPr="00E90269">
        <w:rPr>
          <w:rFonts w:ascii="Times New Roman" w:eastAsia="Times New Roman" w:hAnsi="Times New Roman" w:cs="Times New Roman"/>
          <w:i/>
          <w:iCs/>
          <w:color w:val="1F497D"/>
          <w:kern w:val="0"/>
          <w:sz w:val="18"/>
          <w:szCs w:val="18"/>
          <w:shd w:val="clear" w:color="auto" w:fill="E1E3E6"/>
          <w:lang w:eastAsia="en-GB"/>
          <w14:ligatures w14:val="none"/>
        </w:rPr>
        <w:t>11</w:t>
      </w:r>
      <w:r w:rsidRPr="00E90269">
        <w:rPr>
          <w:rFonts w:ascii="Calibri" w:eastAsia="Times New Roman" w:hAnsi="Calibri" w:cs="Calibri"/>
          <w:color w:val="1F497D"/>
          <w:kern w:val="0"/>
          <w:sz w:val="18"/>
          <w:szCs w:val="18"/>
          <w:lang w:eastAsia="en-GB"/>
          <w14:ligatures w14:val="none"/>
        </w:rPr>
        <w:tab/>
      </w:r>
      <w:r w:rsidRPr="00E90269">
        <w:rPr>
          <w:rFonts w:ascii="Times New Roman" w:eastAsia="Times New Roman" w:hAnsi="Times New Roman" w:cs="Times New Roman"/>
          <w:i/>
          <w:iCs/>
          <w:color w:val="1F497D"/>
          <w:kern w:val="0"/>
          <w:sz w:val="18"/>
          <w:szCs w:val="18"/>
          <w:lang w:eastAsia="en-GB"/>
          <w14:ligatures w14:val="none"/>
        </w:rPr>
        <w:t xml:space="preserve"> PEN-Plus Clinical </w:t>
      </w:r>
      <w:r w:rsidRPr="00E90269">
        <w:rPr>
          <w:rFonts w:ascii="Times New Roman" w:eastAsia="Times New Roman" w:hAnsi="Times New Roman" w:cs="Times New Roman"/>
          <w:i/>
          <w:iCs/>
          <w:color w:val="1F497D"/>
          <w:kern w:val="0"/>
          <w:sz w:val="18"/>
          <w:szCs w:val="18"/>
          <w:lang w:eastAsia="en-GB"/>
          <w14:ligatures w14:val="none"/>
        </w:rPr>
        <w:t>Indicators as</w:t>
      </w:r>
      <w:r>
        <w:rPr>
          <w:rFonts w:ascii="Times New Roman" w:eastAsia="Times New Roman" w:hAnsi="Times New Roman" w:cs="Times New Roman"/>
          <w:i/>
          <w:iCs/>
          <w:color w:val="1F497D"/>
          <w:kern w:val="0"/>
          <w:sz w:val="18"/>
          <w:szCs w:val="18"/>
          <w:lang w:eastAsia="en-GB"/>
          <w14:ligatures w14:val="none"/>
        </w:rPr>
        <w:t xml:space="preserve"> highlighted in the NOP document</w:t>
      </w:r>
    </w:p>
    <w:p w14:paraId="005D57E7" w14:textId="77777777" w:rsidR="00E90269" w:rsidRPr="00E90269" w:rsidRDefault="00E90269" w:rsidP="00E90269">
      <w:pPr>
        <w:spacing w:after="0" w:line="240" w:lineRule="auto"/>
        <w:textAlignment w:val="baseline"/>
        <w:rPr>
          <w:rFonts w:ascii="Segoe UI" w:eastAsia="Times New Roman" w:hAnsi="Segoe UI" w:cs="Segoe UI"/>
          <w:i/>
          <w:iCs/>
          <w:color w:val="1F497D"/>
          <w:kern w:val="0"/>
          <w:sz w:val="18"/>
          <w:szCs w:val="18"/>
          <w:lang w:eastAsia="en-GB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7445"/>
      </w:tblGrid>
      <w:tr w:rsidR="00E90269" w:rsidRPr="00E90269" w14:paraId="6C15CEFF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FA9EF3B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4B7D60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people with T1D on basal bolus insulin (not pre-mixed insulin) </w:t>
            </w:r>
          </w:p>
        </w:tc>
      </w:tr>
      <w:tr w:rsidR="00E90269" w:rsidRPr="00E90269" w14:paraId="7BB5C38C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BB3080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E486E21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people with T1D with home glucometer </w:t>
            </w:r>
          </w:p>
        </w:tc>
      </w:tr>
      <w:tr w:rsidR="00E90269" w:rsidRPr="00E90269" w14:paraId="3DC1B947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1BD0B7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22C3E3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people with T1D with an A1C checked within the last 6 months </w:t>
            </w:r>
          </w:p>
        </w:tc>
      </w:tr>
      <w:tr w:rsidR="00E90269" w:rsidRPr="00E90269" w14:paraId="26B150DF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BED9C27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8C6951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T1D with HbA1C &lt; 8 on last measure </w:t>
            </w:r>
          </w:p>
        </w:tc>
      </w:tr>
      <w:tr w:rsidR="00E90269" w:rsidRPr="00E90269" w14:paraId="5A254EF0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B784C02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08D020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T1D who have had DKA in the past 12 months </w:t>
            </w:r>
          </w:p>
        </w:tc>
      </w:tr>
      <w:tr w:rsidR="00E90269" w:rsidRPr="00E90269" w14:paraId="311BC3DE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523BEE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1D20522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who has had an echo in the past year </w:t>
            </w:r>
          </w:p>
        </w:tc>
      </w:tr>
      <w:tr w:rsidR="00E90269" w:rsidRPr="00E90269" w14:paraId="47482562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135DF50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C4B45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RHD who are on secondary prophylaxis </w:t>
            </w:r>
          </w:p>
        </w:tc>
      </w:tr>
      <w:tr w:rsidR="00E90269" w:rsidRPr="00E90269" w14:paraId="4E50A96C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CEF306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4DFF86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cardiomyopathy on beta blocker and ACE-I </w:t>
            </w:r>
          </w:p>
        </w:tc>
      </w:tr>
      <w:tr w:rsidR="00E90269" w:rsidRPr="00E90269" w14:paraId="1826EBE2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8063BD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7EF26B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on warfarin with an INR checked in the last 3 months </w:t>
            </w:r>
          </w:p>
        </w:tc>
      </w:tr>
      <w:tr w:rsidR="00E90269" w:rsidRPr="00E90269" w14:paraId="3CE1BF82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33FDFE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A3B849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none or mild limitation in activity (NYHA I and II) at last visit </w:t>
            </w:r>
          </w:p>
        </w:tc>
      </w:tr>
      <w:tr w:rsidR="00E90269" w:rsidRPr="00E90269" w14:paraId="72372645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7CA2C9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7DDA94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marked limitation in activity (NYHA III and IV) at last visit </w:t>
            </w:r>
          </w:p>
        </w:tc>
      </w:tr>
      <w:tr w:rsidR="00E90269" w:rsidRPr="00E90269" w14:paraId="221A9F51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8C42259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667EC9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% of patients with suspected </w:t>
            </w:r>
            <w:proofErr w:type="spellStart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congital</w:t>
            </w:r>
            <w:proofErr w:type="spellEnd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or RHD referred for surgical evaluation </w:t>
            </w:r>
          </w:p>
        </w:tc>
      </w:tr>
      <w:tr w:rsidR="00E90269" w:rsidRPr="00E90269" w14:paraId="18A2F089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5EA60A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14AFA4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Proportion </w:t>
            </w:r>
            <w:proofErr w:type="gramStart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of  patients</w:t>
            </w:r>
            <w:proofErr w:type="gramEnd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with SCD on hydroxyurea at last visit </w:t>
            </w:r>
          </w:p>
        </w:tc>
      </w:tr>
      <w:tr w:rsidR="00E90269" w:rsidRPr="00E90269" w14:paraId="4AAE6AB4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F275F6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A42F11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SCD less than 5 years old who are on antibiotic prophylaxis </w:t>
            </w:r>
          </w:p>
        </w:tc>
      </w:tr>
      <w:tr w:rsidR="00E90269" w:rsidRPr="00E90269" w14:paraId="127CE1F4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04058D4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9C83E5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SCD who are on folic acid </w:t>
            </w:r>
          </w:p>
        </w:tc>
      </w:tr>
      <w:tr w:rsidR="00E90269" w:rsidRPr="00E90269" w14:paraId="73C8BC22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F5077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22D0293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SCD needing transfusion within the last 12 months </w:t>
            </w:r>
          </w:p>
        </w:tc>
      </w:tr>
      <w:tr w:rsidR="00E90269" w:rsidRPr="00E90269" w14:paraId="565B1CC5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6E6526B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CF4CCA0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SCD who had a hospitalization within the last 12 months </w:t>
            </w:r>
          </w:p>
        </w:tc>
      </w:tr>
      <w:tr w:rsidR="00E90269" w:rsidRPr="00E90269" w14:paraId="108BA693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06B9B25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Chronic Respiratory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2B8B4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asthma who have a rescue beta-agonist inhaler </w:t>
            </w:r>
          </w:p>
        </w:tc>
      </w:tr>
      <w:tr w:rsidR="00E90269" w:rsidRPr="00E90269" w14:paraId="2FF48FE9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8820AAD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Chronic Respiratory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E06E4F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asthma on oral salbutamol </w:t>
            </w:r>
          </w:p>
        </w:tc>
      </w:tr>
      <w:tr w:rsidR="00E90269" w:rsidRPr="00E90269" w14:paraId="3FC7AF0F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441B4D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Chronic Respiratory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C4463E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eligible patients on inhaled corticosteroid </w:t>
            </w:r>
          </w:p>
        </w:tc>
      </w:tr>
      <w:tr w:rsidR="00E90269" w:rsidRPr="00E90269" w14:paraId="49CB90DB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A93BA13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Chronic Respiratory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0564CC2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nighttime awakening in last 4 weeks at last visit </w:t>
            </w:r>
          </w:p>
        </w:tc>
      </w:tr>
      <w:tr w:rsidR="00E90269" w:rsidRPr="00E90269" w14:paraId="6864E44C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810E5B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Chronic Respiratory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108901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asthma who at last visit were well controlled (based on GINA system) </w:t>
            </w:r>
          </w:p>
        </w:tc>
      </w:tr>
      <w:tr w:rsidR="00E90269" w:rsidRPr="00E90269" w14:paraId="49548D8C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97180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Chronic Respiratory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822F12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asthma who at last visit were partly controlled (based on GINA system) </w:t>
            </w:r>
          </w:p>
        </w:tc>
      </w:tr>
      <w:tr w:rsidR="00E90269" w:rsidRPr="00E90269" w14:paraId="588F9E84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BC70831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Liver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D92172B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chronic liver disease with fibrosis evaluation by non-invasive testing (</w:t>
            </w:r>
            <w:proofErr w:type="spellStart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ie</w:t>
            </w:r>
            <w:proofErr w:type="spellEnd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APRI Score) </w:t>
            </w:r>
          </w:p>
        </w:tc>
      </w:tr>
      <w:tr w:rsidR="00E90269" w:rsidRPr="00E90269" w14:paraId="28B0766A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C11C40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Liver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65851D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tested for hepatitis B virus </w:t>
            </w:r>
          </w:p>
        </w:tc>
      </w:tr>
      <w:tr w:rsidR="00E90269" w:rsidRPr="00E90269" w14:paraId="15D09966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4BB81E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Liver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8740429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% of patients with cirrhosis on prophylaxis for </w:t>
            </w:r>
            <w:proofErr w:type="spellStart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esophageal</w:t>
            </w:r>
            <w:proofErr w:type="spellEnd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varices </w:t>
            </w:r>
          </w:p>
        </w:tc>
      </w:tr>
      <w:tr w:rsidR="00E90269" w:rsidRPr="00E90269" w14:paraId="11EE6BF1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99A54F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Liver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67BDEF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eastAsia="en-GB"/>
                <w14:ligatures w14:val="none"/>
              </w:rPr>
              <w:t>symptom control - TBD </w:t>
            </w:r>
          </w:p>
        </w:tc>
      </w:tr>
      <w:tr w:rsidR="00E90269" w:rsidRPr="00E90269" w14:paraId="7AE52F9E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AFC888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Kidney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ACC3ED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eligible patients on ACE-I </w:t>
            </w:r>
          </w:p>
        </w:tc>
      </w:tr>
      <w:tr w:rsidR="00E90269" w:rsidRPr="00E90269" w14:paraId="041F4212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60AD0B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Kidney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DB6786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chronic kidney disease with kidney function and electrolytes checked in last 6 months </w:t>
            </w:r>
          </w:p>
        </w:tc>
      </w:tr>
      <w:tr w:rsidR="00E90269" w:rsidRPr="00E90269" w14:paraId="650AD3BB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E365D78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Kidney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AC8F86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patients with normal BP at last visit </w:t>
            </w:r>
          </w:p>
        </w:tc>
      </w:tr>
      <w:tr w:rsidR="00E90269" w:rsidRPr="00E90269" w14:paraId="0D58E5F8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B6994C8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Kidney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7DB36B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eastAsia="en-GB"/>
                <w14:ligatures w14:val="none"/>
              </w:rPr>
              <w:t>symptom control - TBD </w:t>
            </w:r>
          </w:p>
        </w:tc>
      </w:tr>
      <w:tr w:rsidR="00E90269" w:rsidRPr="00E90269" w14:paraId="139A5205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7B0342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Epilepsy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838BC3D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epilepsy on anti-epilepsy medications </w:t>
            </w:r>
          </w:p>
        </w:tc>
      </w:tr>
      <w:tr w:rsidR="00E90269" w:rsidRPr="00E90269" w14:paraId="20E6334C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4945D6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Epilepsy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08E92C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&lt;2 seizures in last 6 months </w:t>
            </w:r>
          </w:p>
        </w:tc>
      </w:tr>
      <w:tr w:rsidR="00E90269" w:rsidRPr="00E90269" w14:paraId="43F6FCAA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4ABD42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Epilepsy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4B4DDD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reporting 0 seizures in the last month </w:t>
            </w:r>
          </w:p>
        </w:tc>
      </w:tr>
      <w:tr w:rsidR="00E90269" w:rsidRPr="00E90269" w14:paraId="4FA93087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47D661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F83229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Proportion of patients for whom NCD has limited school attendance </w:t>
            </w:r>
            <w:r w:rsidRPr="00E90269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eastAsia="en-GB"/>
                <w14:ligatures w14:val="none"/>
              </w:rPr>
              <w:t>ever </w:t>
            </w:r>
          </w:p>
        </w:tc>
      </w:tr>
      <w:tr w:rsidR="00E90269" w:rsidRPr="00E90269" w14:paraId="46427C5C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B77885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97591D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Average days of missed school in the last month </w:t>
            </w:r>
          </w:p>
        </w:tc>
      </w:tr>
      <w:tr w:rsidR="00E90269" w:rsidRPr="00E90269" w14:paraId="5E8AD2D1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A9B28E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33E953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Patients facing food </w:t>
            </w:r>
            <w:proofErr w:type="spellStart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inscecurity</w:t>
            </w:r>
            <w:proofErr w:type="spellEnd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 </w:t>
            </w:r>
          </w:p>
        </w:tc>
      </w:tr>
      <w:tr w:rsidR="00E90269" w:rsidRPr="00E90269" w14:paraId="44DE8A52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C68893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1723169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Average distance to clinic in kms </w:t>
            </w:r>
          </w:p>
        </w:tc>
      </w:tr>
      <w:tr w:rsidR="00E90269" w:rsidRPr="00E90269" w14:paraId="150E84FA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6D4B53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Sociodemographic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EF7956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Average distance to clinic in minutes </w:t>
            </w:r>
          </w:p>
        </w:tc>
      </w:tr>
      <w:tr w:rsidR="00E90269" w:rsidRPr="00E90269" w14:paraId="3C7183F2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9102F27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EDDE2F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Average cost of </w:t>
            </w:r>
            <w:proofErr w:type="spellStart"/>
            <w:r w:rsidRPr="00E90269">
              <w:rPr>
                <w:rFonts w:ascii="Times New Roman" w:eastAsia="Times New Roman" w:hAnsi="Times New Roman" w:cs="Times New Roman"/>
                <w:color w:val="038387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transportation</w:t>
            </w:r>
            <w:r w:rsidRPr="00E90269">
              <w:rPr>
                <w:rFonts w:ascii="Times New Roman" w:eastAsia="Times New Roman" w:hAnsi="Times New Roman" w:cs="Times New Roman"/>
                <w:strike/>
                <w:color w:val="038387"/>
                <w:kern w:val="0"/>
                <w:sz w:val="20"/>
                <w:szCs w:val="20"/>
                <w:lang w:eastAsia="en-GB"/>
                <w14:ligatures w14:val="none"/>
              </w:rPr>
              <w:t>transportatation</w:t>
            </w:r>
            <w:proofErr w:type="spellEnd"/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E90269" w:rsidRPr="00E90269" w14:paraId="7D109F4F" w14:textId="77777777" w:rsidTr="00E90269">
        <w:trPr>
          <w:trHeight w:val="30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9DFB0B4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8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8AE8C5" w14:textId="77777777" w:rsidR="00E90269" w:rsidRPr="00E90269" w:rsidRDefault="00E90269" w:rsidP="00E9026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2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Proportion of patients who are provided with social support in a quarter </w:t>
            </w:r>
          </w:p>
        </w:tc>
      </w:tr>
    </w:tbl>
    <w:p w14:paraId="01BCA06D" w14:textId="77777777" w:rsidR="00E90269" w:rsidRPr="00E90269" w:rsidRDefault="00E90269" w:rsidP="00E9026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902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C63197D" w14:textId="77777777" w:rsidR="00E90269" w:rsidRPr="00E90269" w:rsidRDefault="00E90269" w:rsidP="00E9026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902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2EA5C869" w14:textId="77777777" w:rsidR="00A5324C" w:rsidRDefault="00A5324C"/>
    <w:sectPr w:rsidR="00A532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69"/>
    <w:rsid w:val="000C5F83"/>
    <w:rsid w:val="00464AA3"/>
    <w:rsid w:val="00A5324C"/>
    <w:rsid w:val="00E9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E96B"/>
  <w15:chartTrackingRefBased/>
  <w15:docId w15:val="{897B29D2-216B-4B8B-BD98-3BF38598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2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4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80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82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7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85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2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92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78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788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891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95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81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56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0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8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7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40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749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30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5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2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17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7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7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3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93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9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8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29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5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0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48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124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1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0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71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81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78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13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33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2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35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50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8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6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3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817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26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6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9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8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4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2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2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711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3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15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1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2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0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69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7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263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7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9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4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72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4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1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8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9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53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92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4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15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8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193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3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0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4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2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5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3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9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8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8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0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5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15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0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5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1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06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6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5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60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6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28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3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8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6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98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843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5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6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Karoli, Peter</dc:creator>
  <cp:keywords/>
  <dc:description/>
  <cp:lastModifiedBy>Karoli, Peter</cp:lastModifiedBy>
  <cp:revision>1</cp:revision>
  <dcterms:created xsi:type="dcterms:W3CDTF">2024-12-06T10:30:00Z</dcterms:created>
  <dcterms:modified xsi:type="dcterms:W3CDTF">2024-12-06T10:32:00Z</dcterms:modified>
</cp:coreProperties>
</file>