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textAlignment w:val="baseline"/>
        <w:rPr>
          <w:rFonts w:ascii="Times New Roman" w:hAnsi="Times New Roman" w:eastAsia="Times New Roman" w:cs="Times New Roman"/>
          <w:i/>
          <w:i/>
          <w:iCs/>
          <w:color w:val="1F497D"/>
          <w:kern w:val="0"/>
          <w:sz w:val="18"/>
          <w:szCs w:val="18"/>
          <w:lang w:eastAsia="en-GB"/>
          <w14:ligatures w14:val="none"/>
        </w:rPr>
      </w:pPr>
      <w:r>
        <w:rPr>
          <w:rFonts w:eastAsia="Times New Roman" w:cs="Times New Roman" w:ascii="Times New Roman" w:hAnsi="Times New Roman"/>
          <w:i/>
          <w:iCs/>
          <w:color w:val="1F497D"/>
          <w:kern w:val="0"/>
          <w:sz w:val="18"/>
          <w:szCs w:val="18"/>
          <w:lang w:eastAsia="en-GB"/>
          <w14:ligatures w14:val="none"/>
        </w:rPr>
        <w:t xml:space="preserve">Table </w:t>
      </w:r>
      <w:r>
        <w:rPr>
          <w:rFonts w:eastAsia="Times New Roman" w:cs="Times New Roman" w:ascii="Times New Roman" w:hAnsi="Times New Roman"/>
          <w:i/>
          <w:iCs/>
          <w:color w:val="1F497D"/>
          <w:kern w:val="0"/>
          <w:sz w:val="18"/>
          <w:szCs w:val="18"/>
          <w:shd w:fill="E1E3E6" w:val="clear"/>
          <w:lang w:eastAsia="en-GB"/>
          <w14:ligatures w14:val="none"/>
        </w:rPr>
        <w:t>11</w:t>
      </w:r>
      <w:r>
        <w:rPr>
          <w:rFonts w:eastAsia="Times New Roman" w:cs="Calibri" w:ascii="Calibri" w:hAnsi="Calibri"/>
          <w:color w:val="1F497D"/>
          <w:kern w:val="0"/>
          <w:sz w:val="18"/>
          <w:szCs w:val="18"/>
          <w:lang w:eastAsia="en-GB"/>
          <w14:ligatures w14:val="none"/>
        </w:rPr>
        <w:tab/>
      </w:r>
      <w:r>
        <w:rPr>
          <w:rFonts w:eastAsia="Times New Roman" w:cs="Times New Roman" w:ascii="Times New Roman" w:hAnsi="Times New Roman"/>
          <w:i/>
          <w:iCs/>
          <w:color w:val="1F497D"/>
          <w:kern w:val="0"/>
          <w:sz w:val="18"/>
          <w:szCs w:val="18"/>
          <w:lang w:eastAsia="en-GB"/>
          <w14:ligatures w14:val="none"/>
        </w:rPr>
        <w:t xml:space="preserve"> PEN-Plus Clinical Indicators as highlighted in the NOP document</w:t>
      </w:r>
    </w:p>
    <w:p>
      <w:pPr>
        <w:pStyle w:val="Normal"/>
        <w:spacing w:lineRule="auto" w:line="240" w:before="0" w:after="0"/>
        <w:textAlignment w:val="baseline"/>
        <w:rPr>
          <w:rFonts w:ascii="Segoe UI" w:hAnsi="Segoe UI" w:eastAsia="Times New Roman" w:cs="Segoe UI"/>
          <w:i/>
          <w:i/>
          <w:iCs/>
          <w:color w:val="1F497D"/>
          <w:kern w:val="0"/>
          <w:sz w:val="18"/>
          <w:szCs w:val="18"/>
          <w:lang w:eastAsia="en-GB"/>
          <w14:ligatures w14:val="none"/>
        </w:rPr>
      </w:pPr>
      <w:r>
        <w:rPr>
          <w:rFonts w:eastAsia="Times New Roman" w:cs="Segoe UI" w:ascii="Segoe UI" w:hAnsi="Segoe UI"/>
          <w:i/>
          <w:iCs/>
          <w:color w:val="1F497D"/>
          <w:kern w:val="0"/>
          <w:sz w:val="18"/>
          <w:szCs w:val="18"/>
          <w:lang w:eastAsia="en-GB"/>
          <w14:ligatures w14:val="none"/>
        </w:rPr>
      </w:r>
    </w:p>
    <w:tbl>
      <w:tblPr>
        <w:tblW w:w="9010" w:type="dxa"/>
        <w:jc w:val="left"/>
        <w:tblInd w:w="0" w:type="dxa"/>
        <w:tblCellMar>
          <w:top w:w="0" w:type="dxa"/>
          <w:left w:w="7" w:type="dxa"/>
          <w:bottom w:w="0" w:type="dxa"/>
          <w:right w:w="7" w:type="dxa"/>
        </w:tblCellMar>
        <w:tblLook w:val="04a0" w:noHBand="0" w:noVBand="1" w:firstColumn="1" w:lastRow="0" w:lastColumn="0" w:firstRow="1"/>
      </w:tblPr>
      <w:tblGrid>
        <w:gridCol w:w="2340"/>
        <w:gridCol w:w="6669"/>
      </w:tblGrid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Diabetes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color w:val="000000"/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% people with T1D on basal bolus insulin (not pre-mixed insulin)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Diabetes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% people with T1D with home glucometer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Diabetes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% people with T1D with an A1C checked within the last 6 months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Diabetes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Proportion of patients with T1D with HbA1C &lt; 8 on last measure</w:t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Diabetes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Proportion of patients with T1D who have had DKA in the past 12 months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Cardiac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Proportion of patients who has had an echo in the past year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Cardiac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Proportion of patients with RHD who are on secondary prophylaxis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Cardiac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% of patients with cardiomyopathy on beta blocker and ACE-I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Cardiac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% of patients on warfarin with an INR checked in the last 3 months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Cardiac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Proportion of patients with none or mild limitation in activity (NYHA I and II) at last visit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Cardiac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Proportion of patients with marked limitation in activity (NYHA III and IV) at last visit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Cardiac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% of patients with suspected congital or RHD referred for surgical evaluation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Sickle Cell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Proportion of patients with SCD on hydroxyurea at last visit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Sickle Cell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Proportion of patients with SCD less than 5 years old who are on antibiotic prophylaxis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Sickle Cell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Proportion of patients with SCD who are on folic acid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Sickle Cell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% of patients with SCD needing transfusion within the last 12 months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Sickle Cell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Proportion of patients with SCD who had a hospitalization within the last 12 months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Chronic Respiratory 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% of patients with asthma who have a rescue beta-agonist inhaler 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Chronic Respiratory 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% of patients with asthma on oral salbutamol 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Chronic Respiratory 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% of eligible patients on inhaled corticosteroid 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Chronic Respiratory 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% of patients with nighttime awakening in last 4 weeks at last visit 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Chronic Respiratory 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% of patients with asthma who at last visit were well controlled (based on GINA system) 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Chronic Respiratory 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% of patients with asthma who at last visit were partly controlled (based on GINA system) 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Liver 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% of patients with chronic liver disease with fibrosis evaluation by non-invasive testing (ie, APRI Score) 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Liver 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% of patients tested for hepatitis B virus 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Liver 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% of patients with cirrhosis on prophylaxis for esophageal varices 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Liver 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symptom control - TBD 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Kidney 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% of eligible patients on ACE-I 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Kidney 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% of patients with chronic kidney disease with kidney function and electrolytes checked in last 6 months 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Kidney 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% patients with normal BP at last visit 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Kidney 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symptom control - TBD 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Epilepsy 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% of patients with epilepsy on anti-epilepsy medications 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Epilepsy 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% of patients with &lt;2 seizures in last 6 months 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Epilepsy 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highlight w:val="red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highlight w:val="red"/>
                <w:lang w:eastAsia="en-GB"/>
                <w14:ligatures w14:val="none"/>
              </w:rPr>
              <w:t>% of patients reporting 0 seizures in the last month 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Sociodemographic 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Proportion of patients for whom NCD has limited school attendance </w:t>
            </w:r>
            <w:r>
              <w:rPr>
                <w:rFonts w:eastAsia="Times New Roman" w:cs="Times New Roman" w:ascii="Times New Roman" w:hAnsi="Times New Roman"/>
                <w:color w:val="FF0000"/>
                <w:kern w:val="0"/>
                <w:sz w:val="20"/>
                <w:szCs w:val="20"/>
                <w:lang w:eastAsia="en-GB"/>
                <w14:ligatures w14:val="none"/>
              </w:rPr>
              <w:t>ever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Sociodemographic 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Average days of missed school in the last month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Sociodemographic 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Patients facing food inscecurity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Sociodemographic 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Average distance to clinic in kms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Sociodemographic 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Average distance to clinic in minutes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Sociodemographic 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Average cost of </w:t>
            </w:r>
            <w:r>
              <w:rPr>
                <w:rFonts w:eastAsia="Times New Roman" w:cs="Times New Roman" w:ascii="Times New Roman" w:hAnsi="Times New Roman"/>
                <w:color w:val="038387"/>
                <w:kern w:val="0"/>
                <w:sz w:val="20"/>
                <w:szCs w:val="20"/>
                <w:u w:val="single"/>
                <w:lang w:eastAsia="en-GB"/>
                <w14:ligatures w14:val="none"/>
              </w:rPr>
              <w:t>transportation</w:t>
            </w:r>
            <w:r>
              <w:rPr>
                <w:rFonts w:eastAsia="Times New Roman" w:cs="Times New Roman" w:ascii="Times New Roman" w:hAnsi="Times New Roman"/>
                <w:strike/>
                <w:color w:val="038387"/>
                <w:kern w:val="0"/>
                <w:sz w:val="20"/>
                <w:szCs w:val="20"/>
                <w:lang w:eastAsia="en-GB"/>
                <w14:ligatures w14:val="none"/>
              </w:rPr>
              <w:t>transportatation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Sociodemographic </w:t>
            </w:r>
          </w:p>
        </w:tc>
        <w:tc>
          <w:tcPr>
            <w:tcW w:w="6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Times New Roman" w:hAnsi="Times New Roman"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n-GB"/>
                <w14:ligatures w14:val="none"/>
              </w:rPr>
              <w:t>Proportion of patients who are provided with social support in a quarter </w:t>
            </w:r>
          </w:p>
        </w:tc>
      </w:tr>
    </w:tbl>
    <w:p>
      <w:pPr>
        <w:pStyle w:val="Normal"/>
        <w:spacing w:lineRule="auto" w:line="240" w:before="0" w:after="0"/>
        <w:textAlignment w:val="baseline"/>
        <w:rPr>
          <w:rFonts w:ascii="Segoe UI" w:hAnsi="Segoe UI" w:eastAsia="Times New Roman" w:cs="Segoe UI"/>
          <w:kern w:val="0"/>
          <w:sz w:val="18"/>
          <w:szCs w:val="18"/>
          <w:lang w:eastAsia="en-GB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n-GB"/>
          <w14:ligatures w14:val="none"/>
        </w:rPr>
        <w:t> </w:t>
      </w:r>
    </w:p>
    <w:p>
      <w:pPr>
        <w:pStyle w:val="Normal"/>
        <w:spacing w:lineRule="auto" w:line="240" w:before="0" w:after="0"/>
        <w:textAlignment w:val="baseline"/>
        <w:rPr>
          <w:rFonts w:ascii="Segoe UI" w:hAnsi="Segoe UI" w:eastAsia="Times New Roman" w:cs="Segoe UI"/>
          <w:kern w:val="0"/>
          <w:sz w:val="18"/>
          <w:szCs w:val="18"/>
          <w:lang w:eastAsia="en-GB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n-GB"/>
          <w14:ligatures w14:val="none"/>
        </w:rPr>
        <w:t> 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83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26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26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26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26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26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26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26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26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26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9026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9026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9026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9026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9026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9026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9026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9026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90269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e9026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9026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9026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90269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90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269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e9026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269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269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269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90269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Application>LibreOffice/6.4.7.2$Linux_X86_64 LibreOffice_project/40$Build-2</Application>
  <Pages>2</Pages>
  <Words>495</Words>
  <Characters>2574</Characters>
  <CharactersWithSpaces>3031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2024-12-06T10:30:00Z</dcterms:created>
  <dc:creator>Karoli, Peter</dc:creator>
  <dc:description/>
  <dc:language>en-US</dc:language>
  <cp:lastModifiedBy/>
  <dcterms:modified xsi:type="dcterms:W3CDTF">2024-12-16T16:10:47Z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