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F4E79"/>
          <w:sz w:val="50"/>
        </w:rPr>
        <w:t>SOFTWARE REQUIREMENTS</w:t>
        <w:br/>
        <w:t>SPECIFICATION</w:t>
      </w:r>
    </w:p>
    <w:p>
      <w:pPr>
        <w:jc w:val="center"/>
      </w:pPr>
      <w:r>
        <w:rPr>
          <w:b/>
          <w:sz w:val="36"/>
        </w:rPr>
        <w:t>NCD Clinical and Research Management System</w:t>
      </w:r>
    </w:p>
    <w:p>
      <w:pPr>
        <w:jc w:val="center"/>
      </w:pPr>
      <w:r>
        <w:rPr>
          <w:i/>
        </w:rPr>
        <w:t>Standalone, multi-facility clinical care and research platform</w:t>
      </w:r>
    </w:p>
    <w:p/>
    <w:p/>
    <w:tbl>
      <w:tblPr>
        <w:tblStyle w:val="TableGrid"/>
        <w:tblW w:type="auto" w:w="0"/>
        <w:jc w:val="center"/>
        <w:tblLook w:firstColumn="1" w:firstRow="1" w:lastColumn="0" w:lastRow="0" w:noHBand="0" w:noVBand="1" w:val="04A0"/>
      </w:tblPr>
      <w:tblGrid>
        <w:gridCol w:w="4968"/>
        <w:gridCol w:w="4968"/>
      </w:tblGrid>
      <w:tr>
        <w:tc>
          <w:tcPr>
            <w:tcW w:type="dxa" w:w="2880"/>
            <w:shd w:fill="D9EAF7"/>
          </w:tcPr>
          <w:p>
            <w:r>
              <w:rPr>
                <w:b/>
                <w:sz w:val="17"/>
              </w:rPr>
              <w:t>Item</w:t>
            </w:r>
          </w:p>
        </w:tc>
        <w:tc>
          <w:tcPr>
            <w:tcW w:type="dxa" w:w="6480"/>
            <w:shd w:fill="D9EAF7"/>
          </w:tcPr>
          <w:p>
            <w:r>
              <w:rPr>
                <w:b/>
                <w:sz w:val="17"/>
              </w:rPr>
              <w:t>Description</w:t>
            </w:r>
          </w:p>
        </w:tc>
      </w:tr>
      <w:tr>
        <w:tc>
          <w:tcPr>
            <w:tcW w:type="dxa" w:w="2880"/>
            <w:vAlign w:val="center"/>
          </w:tcPr>
          <w:p>
            <w:pPr>
              <w:spacing w:after="0"/>
            </w:pPr>
            <w:r>
              <w:rPr>
                <w:rFonts w:ascii="Arial" w:hAnsi="Arial"/>
                <w:sz w:val="16"/>
              </w:rPr>
              <w:t>Document version</w:t>
            </w:r>
          </w:p>
        </w:tc>
        <w:tc>
          <w:tcPr>
            <w:tcW w:type="dxa" w:w="6480"/>
            <w:vAlign w:val="center"/>
          </w:tcPr>
          <w:p>
            <w:pPr>
              <w:spacing w:after="0"/>
            </w:pPr>
            <w:r>
              <w:rPr>
                <w:rFonts w:ascii="Arial" w:hAnsi="Arial"/>
                <w:sz w:val="16"/>
              </w:rPr>
              <w:t>1.0 — Initial consolidated draft</w:t>
            </w:r>
          </w:p>
        </w:tc>
      </w:tr>
      <w:tr>
        <w:tc>
          <w:tcPr>
            <w:tcW w:type="dxa" w:w="2880"/>
            <w:vAlign w:val="center"/>
          </w:tcPr>
          <w:p>
            <w:pPr>
              <w:spacing w:after="0"/>
            </w:pPr>
            <w:r>
              <w:rPr>
                <w:rFonts w:ascii="Arial" w:hAnsi="Arial"/>
                <w:sz w:val="16"/>
              </w:rPr>
              <w:t>Date</w:t>
            </w:r>
          </w:p>
        </w:tc>
        <w:tc>
          <w:tcPr>
            <w:tcW w:type="dxa" w:w="6480"/>
            <w:vAlign w:val="center"/>
          </w:tcPr>
          <w:p>
            <w:pPr>
              <w:spacing w:after="0"/>
            </w:pPr>
            <w:r>
              <w:rPr>
                <w:rFonts w:ascii="Arial" w:hAnsi="Arial"/>
                <w:sz w:val="16"/>
              </w:rPr>
              <w:t>12 October 2026</w:t>
            </w:r>
          </w:p>
        </w:tc>
      </w:tr>
      <w:tr>
        <w:tc>
          <w:tcPr>
            <w:tcW w:type="dxa" w:w="2880"/>
            <w:vAlign w:val="center"/>
          </w:tcPr>
          <w:p>
            <w:pPr>
              <w:spacing w:after="0"/>
            </w:pPr>
            <w:r>
              <w:rPr>
                <w:rFonts w:ascii="Arial" w:hAnsi="Arial"/>
                <w:sz w:val="16"/>
              </w:rPr>
              <w:t>Intended host</w:t>
            </w:r>
          </w:p>
        </w:tc>
        <w:tc>
          <w:tcPr>
            <w:tcW w:type="dxa" w:w="6480"/>
            <w:vAlign w:val="center"/>
          </w:tcPr>
          <w:p>
            <w:pPr>
              <w:spacing w:after="0"/>
            </w:pPr>
            <w:r>
              <w:rPr>
                <w:rFonts w:ascii="Arial" w:hAnsi="Arial"/>
                <w:sz w:val="16"/>
              </w:rPr>
              <w:t>National Institute for Medical Research (NIMR)</w:t>
            </w:r>
          </w:p>
        </w:tc>
      </w:tr>
      <w:tr>
        <w:tc>
          <w:tcPr>
            <w:tcW w:type="dxa" w:w="2880"/>
            <w:vAlign w:val="center"/>
          </w:tcPr>
          <w:p>
            <w:pPr>
              <w:spacing w:after="0"/>
            </w:pPr>
            <w:r>
              <w:rPr>
                <w:rFonts w:ascii="Arial" w:hAnsi="Arial"/>
                <w:sz w:val="16"/>
              </w:rPr>
              <w:t>Initial disease areas</w:t>
            </w:r>
          </w:p>
        </w:tc>
        <w:tc>
          <w:tcPr>
            <w:tcW w:type="dxa" w:w="6480"/>
            <w:vAlign w:val="center"/>
          </w:tcPr>
          <w:p>
            <w:pPr>
              <w:spacing w:after="0"/>
            </w:pPr>
            <w:r>
              <w:rPr>
                <w:rFonts w:ascii="Arial" w:hAnsi="Arial"/>
                <w:sz w:val="16"/>
              </w:rPr>
              <w:t>Diabetes, cardiac diseases, sickle cell disease</w:t>
            </w:r>
          </w:p>
        </w:tc>
      </w:tr>
      <w:tr>
        <w:tc>
          <w:tcPr>
            <w:tcW w:type="dxa" w:w="2880"/>
            <w:vAlign w:val="center"/>
          </w:tcPr>
          <w:p>
            <w:pPr>
              <w:spacing w:after="0"/>
            </w:pPr>
            <w:r>
              <w:rPr>
                <w:rFonts w:ascii="Arial" w:hAnsi="Arial"/>
                <w:sz w:val="16"/>
              </w:rPr>
              <w:t>Technology direction</w:t>
            </w:r>
          </w:p>
        </w:tc>
        <w:tc>
          <w:tcPr>
            <w:tcW w:type="dxa" w:w="6480"/>
            <w:vAlign w:val="center"/>
          </w:tcPr>
          <w:p>
            <w:pPr>
              <w:spacing w:after="0"/>
            </w:pPr>
            <w:r>
              <w:rPr>
                <w:rFonts w:ascii="Arial" w:hAnsi="Arial"/>
                <w:sz w:val="16"/>
              </w:rPr>
              <w:t>Django modular monolith with PostgreSQL</w:t>
            </w:r>
          </w:p>
        </w:tc>
      </w:tr>
      <w:tr>
        <w:tc>
          <w:tcPr>
            <w:tcW w:type="dxa" w:w="2880"/>
            <w:vAlign w:val="center"/>
          </w:tcPr>
          <w:p>
            <w:pPr>
              <w:spacing w:after="0"/>
            </w:pPr>
            <w:r>
              <w:rPr>
                <w:rFonts w:ascii="Arial" w:hAnsi="Arial"/>
                <w:sz w:val="16"/>
              </w:rPr>
              <w:t>Status</w:t>
            </w:r>
          </w:p>
        </w:tc>
        <w:tc>
          <w:tcPr>
            <w:tcW w:type="dxa" w:w="6480"/>
            <w:vAlign w:val="center"/>
          </w:tcPr>
          <w:p>
            <w:pPr>
              <w:spacing w:after="0"/>
            </w:pPr>
            <w:r>
              <w:rPr>
                <w:rFonts w:ascii="Arial" w:hAnsi="Arial"/>
                <w:sz w:val="16"/>
              </w:rPr>
              <w:t>Draft for stakeholder review and approval</w:t>
            </w:r>
          </w:p>
        </w:tc>
      </w:tr>
    </w:tbl>
    <w:p/>
    <w:p>
      <w:pPr>
        <w:jc w:val="center"/>
      </w:pPr>
      <w:r>
        <w:rPr>
          <w:i/>
        </w:rPr>
        <w:t>Development baseline; clinical protocols, privacy requirements, messaging providers and external interfaces require stakeholder validation.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880"/>
            <w:shd w:fill="D9EAF7"/>
          </w:tcPr>
          <w:p>
            <w:r>
              <w:rPr>
                <w:b/>
                <w:sz w:val="17"/>
              </w:rPr>
              <w:t>Field</w:t>
            </w:r>
          </w:p>
        </w:tc>
        <w:tc>
          <w:tcPr>
            <w:tcW w:type="dxa" w:w="6480"/>
            <w:shd w:fill="D9EAF7"/>
          </w:tcPr>
          <w:p>
            <w:r>
              <w:rPr>
                <w:b/>
                <w:sz w:val="17"/>
              </w:rPr>
              <w:t>Value</w:t>
            </w:r>
          </w:p>
        </w:tc>
      </w:tr>
      <w:tr>
        <w:tc>
          <w:tcPr>
            <w:tcW w:type="dxa" w:w="2880"/>
            <w:vAlign w:val="center"/>
          </w:tcPr>
          <w:p>
            <w:pPr>
              <w:spacing w:after="0"/>
            </w:pPr>
            <w:r>
              <w:rPr>
                <w:rFonts w:ascii="Arial" w:hAnsi="Arial"/>
                <w:sz w:val="16"/>
              </w:rPr>
              <w:t>Title</w:t>
            </w:r>
          </w:p>
        </w:tc>
        <w:tc>
          <w:tcPr>
            <w:tcW w:type="dxa" w:w="6480"/>
            <w:vAlign w:val="center"/>
          </w:tcPr>
          <w:p>
            <w:pPr>
              <w:spacing w:after="0"/>
            </w:pPr>
            <w:r>
              <w:rPr>
                <w:rFonts w:ascii="Arial" w:hAnsi="Arial"/>
                <w:sz w:val="16"/>
              </w:rPr>
              <w:t>Software Requirements Specification — NCD Clinical and Research Management System</w:t>
            </w:r>
          </w:p>
        </w:tc>
      </w:tr>
      <w:tr>
        <w:tc>
          <w:tcPr>
            <w:tcW w:type="dxa" w:w="2880"/>
            <w:vAlign w:val="center"/>
          </w:tcPr>
          <w:p>
            <w:pPr>
              <w:spacing w:after="0"/>
            </w:pPr>
            <w:r>
              <w:rPr>
                <w:rFonts w:ascii="Arial" w:hAnsi="Arial"/>
                <w:sz w:val="16"/>
              </w:rPr>
              <w:t>Version</w:t>
            </w:r>
          </w:p>
        </w:tc>
        <w:tc>
          <w:tcPr>
            <w:tcW w:type="dxa" w:w="6480"/>
            <w:vAlign w:val="center"/>
          </w:tcPr>
          <w:p>
            <w:pPr>
              <w:spacing w:after="0"/>
            </w:pPr>
            <w:r>
              <w:rPr>
                <w:rFonts w:ascii="Arial" w:hAnsi="Arial"/>
                <w:sz w:val="16"/>
              </w:rPr>
              <w:t>1.0</w:t>
            </w:r>
          </w:p>
        </w:tc>
      </w:tr>
      <w:tr>
        <w:tc>
          <w:tcPr>
            <w:tcW w:type="dxa" w:w="2880"/>
            <w:vAlign w:val="center"/>
          </w:tcPr>
          <w:p>
            <w:pPr>
              <w:spacing w:after="0"/>
            </w:pPr>
            <w:r>
              <w:rPr>
                <w:rFonts w:ascii="Arial" w:hAnsi="Arial"/>
                <w:sz w:val="16"/>
              </w:rPr>
              <w:t>Status</w:t>
            </w:r>
          </w:p>
        </w:tc>
        <w:tc>
          <w:tcPr>
            <w:tcW w:type="dxa" w:w="6480"/>
            <w:vAlign w:val="center"/>
          </w:tcPr>
          <w:p>
            <w:pPr>
              <w:spacing w:after="0"/>
            </w:pPr>
            <w:r>
              <w:rPr>
                <w:rFonts w:ascii="Arial" w:hAnsi="Arial"/>
                <w:sz w:val="16"/>
              </w:rPr>
              <w:t>Draft for review</w:t>
            </w:r>
          </w:p>
        </w:tc>
      </w:tr>
      <w:tr>
        <w:tc>
          <w:tcPr>
            <w:tcW w:type="dxa" w:w="2880"/>
            <w:vAlign w:val="center"/>
          </w:tcPr>
          <w:p>
            <w:pPr>
              <w:spacing w:after="0"/>
            </w:pPr>
            <w:r>
              <w:rPr>
                <w:rFonts w:ascii="Arial" w:hAnsi="Arial"/>
                <w:sz w:val="16"/>
              </w:rPr>
              <w:t>Owner/sponsor</w:t>
            </w:r>
          </w:p>
        </w:tc>
        <w:tc>
          <w:tcPr>
            <w:tcW w:type="dxa" w:w="6480"/>
            <w:vAlign w:val="center"/>
          </w:tcPr>
          <w:p>
            <w:pPr>
              <w:spacing w:after="0"/>
            </w:pPr>
            <w:r>
              <w:rPr>
                <w:rFonts w:ascii="Arial" w:hAnsi="Arial"/>
                <w:sz w:val="16"/>
              </w:rPr>
              <w:t>NIMR (proposed; confirmation required)</w:t>
            </w:r>
          </w:p>
        </w:tc>
      </w:tr>
      <w:tr>
        <w:tc>
          <w:tcPr>
            <w:tcW w:type="dxa" w:w="2880"/>
            <w:vAlign w:val="center"/>
          </w:tcPr>
          <w:p>
            <w:pPr>
              <w:spacing w:after="0"/>
            </w:pPr>
            <w:r>
              <w:rPr>
                <w:rFonts w:ascii="Arial" w:hAnsi="Arial"/>
                <w:sz w:val="16"/>
              </w:rPr>
              <w:t>Reviewers</w:t>
            </w:r>
          </w:p>
        </w:tc>
        <w:tc>
          <w:tcPr>
            <w:tcW w:type="dxa" w:w="6480"/>
            <w:vAlign w:val="center"/>
          </w:tcPr>
          <w:p>
            <w:pPr>
              <w:spacing w:after="0"/>
            </w:pPr>
            <w:r>
              <w:rPr>
                <w:rFonts w:ascii="Arial" w:hAnsi="Arial"/>
                <w:sz w:val="16"/>
              </w:rPr>
              <w:t>Clinical lead, research lead/PI, data manager, facility representatives, ICT/security and privacy/legal representatives</w:t>
            </w:r>
          </w:p>
        </w:tc>
      </w:tr>
      <w:tr>
        <w:tc>
          <w:tcPr>
            <w:tcW w:type="dxa" w:w="2880"/>
            <w:vAlign w:val="center"/>
          </w:tcPr>
          <w:p>
            <w:pPr>
              <w:spacing w:after="0"/>
            </w:pPr>
            <w:r>
              <w:rPr>
                <w:rFonts w:ascii="Arial" w:hAnsi="Arial"/>
                <w:sz w:val="16"/>
              </w:rPr>
              <w:t>Approval</w:t>
            </w:r>
          </w:p>
        </w:tc>
        <w:tc>
          <w:tcPr>
            <w:tcW w:type="dxa" w:w="6480"/>
            <w:vAlign w:val="center"/>
          </w:tcPr>
          <w:p>
            <w:pPr>
              <w:spacing w:after="0"/>
            </w:pPr>
            <w:r>
              <w:rPr>
                <w:rFonts w:ascii="Arial" w:hAnsi="Arial"/>
                <w:sz w:val="16"/>
              </w:rPr>
              <w:t>To be completed by authorized stakeholders</w:t>
            </w:r>
          </w:p>
        </w:tc>
      </w:tr>
    </w:tbl>
    <w:p/>
    <w:p>
      <w:pPr>
        <w:pStyle w:val="Heading2"/>
      </w:pPr>
      <w:r>
        <w:t>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D9EAF7"/>
          </w:tcPr>
          <w:p>
            <w:r>
              <w:rPr>
                <w:b/>
                <w:sz w:val="17"/>
              </w:rPr>
              <w:t>Version</w:t>
            </w:r>
          </w:p>
        </w:tc>
        <w:tc>
          <w:tcPr>
            <w:tcW w:type="dxa" w:w="2016"/>
            <w:shd w:fill="D9EAF7"/>
          </w:tcPr>
          <w:p>
            <w:r>
              <w:rPr>
                <w:b/>
                <w:sz w:val="17"/>
              </w:rPr>
              <w:t>Date</w:t>
            </w:r>
          </w:p>
        </w:tc>
        <w:tc>
          <w:tcPr>
            <w:tcW w:type="dxa" w:w="5904"/>
            <w:shd w:fill="D9EAF7"/>
          </w:tcPr>
          <w:p>
            <w:r>
              <w:rPr>
                <w:b/>
                <w:sz w:val="17"/>
              </w:rPr>
              <w:t>Description</w:t>
            </w:r>
          </w:p>
        </w:tc>
      </w:tr>
      <w:tr>
        <w:tc>
          <w:tcPr>
            <w:tcW w:type="dxa" w:w="1440"/>
            <w:vAlign w:val="center"/>
          </w:tcPr>
          <w:p>
            <w:pPr>
              <w:spacing w:after="0"/>
            </w:pPr>
            <w:r>
              <w:rPr>
                <w:rFonts w:ascii="Arial" w:hAnsi="Arial"/>
                <w:sz w:val="16"/>
              </w:rPr>
              <w:t>0.1</w:t>
            </w:r>
          </w:p>
        </w:tc>
        <w:tc>
          <w:tcPr>
            <w:tcW w:type="dxa" w:w="2016"/>
            <w:vAlign w:val="center"/>
          </w:tcPr>
          <w:p>
            <w:pPr>
              <w:spacing w:after="0"/>
            </w:pPr>
            <w:r>
              <w:rPr>
                <w:rFonts w:ascii="Arial" w:hAnsi="Arial"/>
                <w:sz w:val="16"/>
              </w:rPr>
              <w:t>12 Oct 2026</w:t>
            </w:r>
          </w:p>
        </w:tc>
        <w:tc>
          <w:tcPr>
            <w:tcW w:type="dxa" w:w="5904"/>
            <w:vAlign w:val="center"/>
          </w:tcPr>
          <w:p>
            <w:pPr>
              <w:spacing w:after="0"/>
            </w:pPr>
            <w:r>
              <w:rPr>
                <w:rFonts w:ascii="Arial" w:hAnsi="Arial"/>
                <w:sz w:val="16"/>
              </w:rPr>
              <w:t>Initial requirements collection</w:t>
            </w:r>
          </w:p>
        </w:tc>
      </w:tr>
      <w:tr>
        <w:tc>
          <w:tcPr>
            <w:tcW w:type="dxa" w:w="1440"/>
            <w:vAlign w:val="center"/>
          </w:tcPr>
          <w:p>
            <w:pPr>
              <w:spacing w:after="0"/>
            </w:pPr>
            <w:r>
              <w:rPr>
                <w:rFonts w:ascii="Arial" w:hAnsi="Arial"/>
                <w:sz w:val="16"/>
              </w:rPr>
              <w:t>1.0</w:t>
            </w:r>
          </w:p>
        </w:tc>
        <w:tc>
          <w:tcPr>
            <w:tcW w:type="dxa" w:w="2016"/>
            <w:vAlign w:val="center"/>
          </w:tcPr>
          <w:p>
            <w:pPr>
              <w:spacing w:after="0"/>
            </w:pPr>
            <w:r>
              <w:rPr>
                <w:rFonts w:ascii="Arial" w:hAnsi="Arial"/>
                <w:sz w:val="16"/>
              </w:rPr>
              <w:t>12 Oct 2026</w:t>
            </w:r>
          </w:p>
        </w:tc>
        <w:tc>
          <w:tcPr>
            <w:tcW w:type="dxa" w:w="5904"/>
            <w:vAlign w:val="center"/>
          </w:tcPr>
          <w:p>
            <w:pPr>
              <w:spacing w:after="0"/>
            </w:pPr>
            <w:r>
              <w:rPr>
                <w:rFonts w:ascii="Arial" w:hAnsi="Arial"/>
                <w:sz w:val="16"/>
              </w:rPr>
              <w:t>Consolidated clinical, research, transfer, audit, messaging and reporting requirements</w:t>
            </w:r>
          </w:p>
        </w:tc>
      </w:tr>
    </w:tbl>
    <w:p/>
    <w:p>
      <w:pPr>
        <w:pStyle w:val="Heading1"/>
      </w:pPr>
      <w:r>
        <w:t>Table of Contents</w:t>
      </w:r>
    </w:p>
    <w:p>
      <w:pPr>
        <w:pStyle w:val="ListBullet"/>
        <w:spacing w:after="30"/>
      </w:pPr>
      <w:r>
        <w:t>1. Introduction</w:t>
      </w:r>
    </w:p>
    <w:p>
      <w:pPr>
        <w:pStyle w:val="ListBullet"/>
        <w:spacing w:after="30"/>
      </w:pPr>
      <w:r>
        <w:t>2. System Vision and Scope</w:t>
      </w:r>
    </w:p>
    <w:p>
      <w:pPr>
        <w:pStyle w:val="ListBullet"/>
        <w:spacing w:after="30"/>
      </w:pPr>
      <w:r>
        <w:t>3. Stakeholders and User Classes</w:t>
      </w:r>
    </w:p>
    <w:p>
      <w:pPr>
        <w:pStyle w:val="ListBullet"/>
        <w:spacing w:after="30"/>
      </w:pPr>
      <w:r>
        <w:t>4. Assumptions and Constraints</w:t>
      </w:r>
    </w:p>
    <w:p>
      <w:pPr>
        <w:pStyle w:val="ListBullet"/>
        <w:spacing w:after="30"/>
      </w:pPr>
      <w:r>
        <w:t>5. End-to-End Workflows</w:t>
      </w:r>
    </w:p>
    <w:p>
      <w:pPr>
        <w:pStyle w:val="ListBullet"/>
        <w:spacing w:after="30"/>
      </w:pPr>
      <w:r>
        <w:t>6. Functional Requirements</w:t>
      </w:r>
    </w:p>
    <w:p>
      <w:pPr>
        <w:pStyle w:val="ListBullet"/>
        <w:spacing w:after="30"/>
      </w:pPr>
      <w:r>
        <w:t>7. SMS, Email and Phone Verification</w:t>
      </w:r>
    </w:p>
    <w:p>
      <w:pPr>
        <w:pStyle w:val="ListBullet"/>
        <w:spacing w:after="30"/>
      </w:pPr>
      <w:r>
        <w:t>8. Scheduled Reporting</w:t>
      </w:r>
    </w:p>
    <w:p>
      <w:pPr>
        <w:pStyle w:val="ListBullet"/>
        <w:spacing w:after="30"/>
      </w:pPr>
      <w:r>
        <w:t>9. Data Requirements</w:t>
      </w:r>
    </w:p>
    <w:p>
      <w:pPr>
        <w:pStyle w:val="ListBullet"/>
        <w:spacing w:after="30"/>
      </w:pPr>
      <w:r>
        <w:t>10. Access Control and Privacy</w:t>
      </w:r>
    </w:p>
    <w:p>
      <w:pPr>
        <w:pStyle w:val="ListBullet"/>
        <w:spacing w:after="30"/>
      </w:pPr>
      <w:r>
        <w:t>11. Audit and Record Lifecycle</w:t>
      </w:r>
    </w:p>
    <w:p>
      <w:pPr>
        <w:pStyle w:val="ListBullet"/>
        <w:spacing w:after="30"/>
      </w:pPr>
      <w:r>
        <w:t>12. Reporting and Dashboards</w:t>
      </w:r>
    </w:p>
    <w:p>
      <w:pPr>
        <w:pStyle w:val="ListBullet"/>
        <w:spacing w:after="30"/>
      </w:pPr>
      <w:r>
        <w:t>13. Integration and Interoperability</w:t>
      </w:r>
    </w:p>
    <w:p>
      <w:pPr>
        <w:pStyle w:val="ListBullet"/>
        <w:spacing w:after="30"/>
      </w:pPr>
      <w:r>
        <w:t>14. Non-Functional Requirements</w:t>
      </w:r>
    </w:p>
    <w:p>
      <w:pPr>
        <w:pStyle w:val="ListBullet"/>
        <w:spacing w:after="30"/>
      </w:pPr>
      <w:r>
        <w:t>15. Business Rules and Edge Cases</w:t>
      </w:r>
    </w:p>
    <w:p>
      <w:pPr>
        <w:pStyle w:val="ListBullet"/>
        <w:spacing w:after="30"/>
      </w:pPr>
      <w:r>
        <w:t>16. Django Architecture</w:t>
      </w:r>
    </w:p>
    <w:p>
      <w:pPr>
        <w:pStyle w:val="ListBullet"/>
        <w:spacing w:after="30"/>
      </w:pPr>
      <w:r>
        <w:t>17. Development Phases and Acceptance Criteria</w:t>
      </w:r>
    </w:p>
    <w:p>
      <w:pPr>
        <w:pStyle w:val="ListBullet"/>
        <w:spacing w:after="30"/>
      </w:pPr>
      <w:r>
        <w:t>18. Open Decisions and Risks</w:t>
      </w:r>
    </w:p>
    <w:p>
      <w:pPr>
        <w:pStyle w:val="ListBullet"/>
        <w:spacing w:after="30"/>
      </w:pPr>
      <w:r>
        <w:t>Appendices</w:t>
      </w:r>
    </w:p>
    <w:p>
      <w:r>
        <w:br w:type="page"/>
      </w:r>
    </w:p>
    <w:p>
      <w:pPr>
        <w:pStyle w:val="Heading1"/>
      </w:pPr>
      <w:r>
        <w:t>1. Introduction</w:t>
      </w:r>
    </w:p>
    <w:p>
      <w:pPr>
        <w:pStyle w:val="Heading2"/>
      </w:pPr>
      <w:r>
        <w:t>1.1 Purpose</w:t>
      </w:r>
    </w:p>
    <w:p>
      <w:r>
        <w:t>This Software Requirements Specification (SRS) defines the intended functions, constraints, data concepts, security controls, workflows and acceptance criteria for a standalone NCD Clinical and Research Management System. It is the baseline for stakeholder review, detailed design, development, testing, deployment and future enhancement.</w:t>
      </w:r>
    </w:p>
    <w:p>
      <w:pPr>
        <w:pStyle w:val="Heading2"/>
      </w:pPr>
      <w:r>
        <w:t>1.2 Intended audience</w:t>
      </w:r>
    </w:p>
    <w:p>
      <w:pPr>
        <w:pStyle w:val="ListBullet"/>
        <w:spacing w:after="30"/>
      </w:pPr>
      <w:r>
        <w:t>NIMR project sponsors and system owners</w:t>
      </w:r>
    </w:p>
    <w:p>
      <w:pPr>
        <w:pStyle w:val="ListBullet"/>
        <w:spacing w:after="30"/>
      </w:pPr>
      <w:r>
        <w:t>Clinicians, nurses and facility teams</w:t>
      </w:r>
    </w:p>
    <w:p>
      <w:pPr>
        <w:pStyle w:val="ListBullet"/>
        <w:spacing w:after="30"/>
      </w:pPr>
      <w:r>
        <w:t>Research investigators, coordinators and monitors</w:t>
      </w:r>
    </w:p>
    <w:p>
      <w:pPr>
        <w:pStyle w:val="ListBullet"/>
        <w:spacing w:after="30"/>
      </w:pPr>
      <w:r>
        <w:t>Data managers and data clerks</w:t>
      </w:r>
    </w:p>
    <w:p>
      <w:pPr>
        <w:pStyle w:val="ListBullet"/>
        <w:spacing w:after="30"/>
      </w:pPr>
      <w:r>
        <w:t>Laboratory, imaging, pharmacy and admissions staff</w:t>
      </w:r>
    </w:p>
    <w:p>
      <w:pPr>
        <w:pStyle w:val="ListBullet"/>
        <w:spacing w:after="30"/>
      </w:pPr>
      <w:r>
        <w:t>ICT developers, administrators and security personnel</w:t>
      </w:r>
    </w:p>
    <w:p>
      <w:pPr>
        <w:pStyle w:val="ListBullet"/>
        <w:spacing w:after="30"/>
      </w:pPr>
      <w:r>
        <w:t>Potential Ministry of Health and hospital-system integration stakeholders</w:t>
      </w:r>
    </w:p>
    <w:p>
      <w:pPr>
        <w:pStyle w:val="Heading2"/>
      </w:pPr>
      <w:r>
        <w:t>1.3 System vision</w:t>
      </w:r>
    </w:p>
    <w:p>
      <w:r>
        <w:t>The system will operate as a hospital-like clinical management platform for NCD care and also support implementation research. Routine clinical care must remain available even when a patient is not enrolled in a study, completes a study or withdraws from research. Research workflows will share appropriate patient and encounter records without duplicating patient identities.</w:t>
      </w:r>
    </w:p>
    <w:p>
      <w:pPr>
        <w:pStyle w:val="Heading2"/>
      </w:pPr>
      <w:r>
        <w:t>1.4 Requirement language</w:t>
      </w:r>
    </w:p>
    <w:p>
      <w:r>
        <w:t>MUST/MUST NOT indicate mandatory requirements; SHOULD/SHOULD NOT indicate strong recommendations; MAY indicates optional capability.</w:t>
      </w:r>
    </w:p>
    <w:p>
      <w:pPr>
        <w:pStyle w:val="Heading1"/>
      </w:pPr>
      <w:r>
        <w:t>2. System Vision and Scope</w:t>
      </w:r>
    </w:p>
    <w:p>
      <w:pPr>
        <w:pStyle w:val="Heading2"/>
      </w:pPr>
      <w:r>
        <w:t>2.1 In scope</w:t>
      </w:r>
    </w:p>
    <w:p>
      <w:pPr>
        <w:pStyle w:val="ListBullet"/>
        <w:spacing w:after="30"/>
      </w:pPr>
      <w:r>
        <w:t>Patient registration, duplicate checking, system-generated IDs and protected identity data.</w:t>
      </w:r>
    </w:p>
    <w:p>
      <w:pPr>
        <w:pStyle w:val="ListBullet"/>
        <w:spacing w:after="30"/>
      </w:pPr>
      <w:r>
        <w:t>Facility, district, region, zone and national access scopes.</w:t>
      </w:r>
    </w:p>
    <w:p>
      <w:pPr>
        <w:pStyle w:val="ListBullet"/>
        <w:spacing w:after="30"/>
      </w:pPr>
      <w:r>
        <w:t>Clinical screening, triage, encounters, diagnoses, treatment plans, appointments and follow-up.</w:t>
      </w:r>
    </w:p>
    <w:p>
      <w:pPr>
        <w:pStyle w:val="ListBullet"/>
        <w:spacing w:after="30"/>
      </w:pPr>
      <w:r>
        <w:t>Diabetes, cardiac diseases and sickle cell disease at launch, with configurable future disease expansion.</w:t>
      </w:r>
    </w:p>
    <w:p>
      <w:pPr>
        <w:pStyle w:val="ListBullet"/>
        <w:spacing w:after="30"/>
      </w:pPr>
      <w:r>
        <w:t>Clinical programme enrollment separate from research-study enrollment.</w:t>
      </w:r>
    </w:p>
    <w:p>
      <w:pPr>
        <w:pStyle w:val="ListBullet"/>
        <w:spacing w:after="30"/>
      </w:pPr>
      <w:r>
        <w:t>Research screening, consent, eligibility, enrollment, protocol CRFs, study visits and outcomes.</w:t>
      </w:r>
    </w:p>
    <w:p>
      <w:pPr>
        <w:pStyle w:val="ListBullet"/>
        <w:spacing w:after="30"/>
      </w:pPr>
      <w:r>
        <w:t>Configurable forms for facility, home and community workflows; visit completeness tracking.</w:t>
      </w:r>
    </w:p>
    <w:p>
      <w:pPr>
        <w:pStyle w:val="ListBullet"/>
        <w:spacing w:after="30"/>
      </w:pPr>
      <w:r>
        <w:t>Laboratory, ECG, echocardiography, imaging, pharmacy, prescriptions, dispensing and admissions.</w:t>
      </w:r>
    </w:p>
    <w:p>
      <w:pPr>
        <w:pStyle w:val="ListBullet"/>
        <w:spacing w:after="30"/>
      </w:pPr>
      <w:r>
        <w:t>Facility assignments, transfer-in/out workflows and transfer history.</w:t>
      </w:r>
    </w:p>
    <w:p>
      <w:pPr>
        <w:pStyle w:val="ListBullet"/>
        <w:spacing w:after="30"/>
      </w:pPr>
      <w:r>
        <w:t>Audit trail, soft deletion, staff/patient deactivation and authorized restoration.</w:t>
      </w:r>
    </w:p>
    <w:p>
      <w:pPr>
        <w:pStyle w:val="ListBullet"/>
        <w:spacing w:after="30"/>
      </w:pPr>
      <w:r>
        <w:t>Patient SMS reminders; staff account and password-reset email; phone verification; monthly access-scoped enrollment reports.</w:t>
      </w:r>
    </w:p>
    <w:p>
      <w:pPr>
        <w:pStyle w:val="ListBullet"/>
        <w:spacing w:after="30"/>
      </w:pPr>
      <w:r>
        <w:t>Dashboards, reporting and a future-ready integration layer.</w:t>
      </w:r>
    </w:p>
    <w:p>
      <w:pPr>
        <w:pStyle w:val="Heading2"/>
      </w:pPr>
      <w:r>
        <w:t>2.2 Out of scope for initial release</w:t>
      </w:r>
    </w:p>
    <w:p>
      <w:pPr>
        <w:pStyle w:val="ListBullet"/>
        <w:spacing w:after="30"/>
      </w:pPr>
      <w:r>
        <w:t>Replacing every general hospital or national health system.</w:t>
      </w:r>
    </w:p>
    <w:p>
      <w:pPr>
        <w:pStyle w:val="ListBullet"/>
        <w:spacing w:after="30"/>
      </w:pPr>
      <w:r>
        <w:t>Assuming a GoTHOMIS API or external interface before verification.</w:t>
      </w:r>
    </w:p>
    <w:p>
      <w:pPr>
        <w:pStyle w:val="ListBullet"/>
        <w:spacing w:after="30"/>
      </w:pPr>
      <w:r>
        <w:t>Billing, insurance claims, payroll and general hospital administration unless approved later.</w:t>
      </w:r>
    </w:p>
    <w:p>
      <w:pPr>
        <w:pStyle w:val="ListBullet"/>
        <w:spacing w:after="30"/>
      </w:pPr>
      <w:r>
        <w:t>Automated diagnosis or autonomous treatment recommendations.</w:t>
      </w:r>
    </w:p>
    <w:p>
      <w:pPr>
        <w:pStyle w:val="ListBullet"/>
        <w:spacing w:after="30"/>
      </w:pPr>
      <w:r>
        <w:t>Advanced field-level record locking and data-query management as initial-release blockers; planned for a later phase.</w:t>
      </w:r>
    </w:p>
    <w:p>
      <w:pPr>
        <w:pStyle w:val="ListBullet"/>
        <w:spacing w:after="30"/>
      </w:pPr>
      <w:r>
        <w:t>Sending sensitive identifiable patient data by ordinary email without approved protection.</w:t>
      </w:r>
    </w:p>
    <w:p>
      <w:pPr>
        <w:pStyle w:val="Heading2"/>
      </w:pPr>
      <w:r>
        <w:t>2.3 Architecture direction</w:t>
      </w:r>
    </w:p>
    <w:p>
      <w:r>
        <w:t>Use a Django modular monolith with PostgreSQL and well-separated Django apps. Avoid premature microservices. Approve hosting, backup and disaster-recovery targets before production.</w:t>
      </w:r>
    </w:p>
    <w:p>
      <w:pPr>
        <w:pStyle w:val="Heading1"/>
      </w:pPr>
      <w:r>
        <w:t>3. Stakeholders and User Classes</w:t>
      </w:r>
    </w:p>
    <w:tbl>
      <w:tblPr>
        <w:tblStyle w:val="TableGrid"/>
        <w:tblW w:type="auto" w:w="0"/>
        <w:jc w:val="center"/>
        <w:tblLook w:firstColumn="1" w:firstRow="1" w:lastColumn="0" w:lastRow="0" w:noHBand="0" w:noVBand="1" w:val="04A0"/>
      </w:tblPr>
      <w:tblGrid>
        <w:gridCol w:w="4968"/>
        <w:gridCol w:w="4968"/>
      </w:tblGrid>
      <w:tr>
        <w:tc>
          <w:tcPr>
            <w:tcW w:type="dxa" w:w="3024"/>
            <w:shd w:fill="D9EAF7"/>
          </w:tcPr>
          <w:p>
            <w:r>
              <w:rPr>
                <w:b/>
                <w:sz w:val="17"/>
              </w:rPr>
              <w:t>Group</w:t>
            </w:r>
          </w:p>
        </w:tc>
        <w:tc>
          <w:tcPr>
            <w:tcW w:type="dxa" w:w="6336"/>
            <w:shd w:fill="D9EAF7"/>
          </w:tcPr>
          <w:p>
            <w:r>
              <w:rPr>
                <w:b/>
                <w:sz w:val="17"/>
              </w:rPr>
              <w:t>Typical responsibilities</w:t>
            </w:r>
          </w:p>
        </w:tc>
      </w:tr>
      <w:tr>
        <w:tc>
          <w:tcPr>
            <w:tcW w:type="dxa" w:w="3024"/>
            <w:vAlign w:val="center"/>
          </w:tcPr>
          <w:p>
            <w:pPr>
              <w:spacing w:after="0"/>
            </w:pPr>
            <w:r>
              <w:rPr>
                <w:rFonts w:ascii="Arial" w:hAnsi="Arial"/>
                <w:sz w:val="16"/>
              </w:rPr>
              <w:t>System Administrator</w:t>
            </w:r>
          </w:p>
        </w:tc>
        <w:tc>
          <w:tcPr>
            <w:tcW w:type="dxa" w:w="6336"/>
            <w:vAlign w:val="center"/>
          </w:tcPr>
          <w:p>
            <w:pPr>
              <w:spacing w:after="0"/>
            </w:pPr>
            <w:r>
              <w:rPr>
                <w:rFonts w:ascii="Arial" w:hAnsi="Arial"/>
                <w:sz w:val="16"/>
              </w:rPr>
              <w:t>Technical configuration and accounts; technical role alone does not grant clinical authority.</w:t>
            </w:r>
          </w:p>
        </w:tc>
      </w:tr>
      <w:tr>
        <w:tc>
          <w:tcPr>
            <w:tcW w:type="dxa" w:w="3024"/>
            <w:vAlign w:val="center"/>
          </w:tcPr>
          <w:p>
            <w:pPr>
              <w:spacing w:after="0"/>
            </w:pPr>
            <w:r>
              <w:rPr>
                <w:rFonts w:ascii="Arial" w:hAnsi="Arial"/>
                <w:sz w:val="16"/>
              </w:rPr>
              <w:t>Facility Administrator</w:t>
            </w:r>
          </w:p>
        </w:tc>
        <w:tc>
          <w:tcPr>
            <w:tcW w:type="dxa" w:w="6336"/>
            <w:vAlign w:val="center"/>
          </w:tcPr>
          <w:p>
            <w:pPr>
              <w:spacing w:after="0"/>
            </w:pPr>
            <w:r>
              <w:rPr>
                <w:rFonts w:ascii="Arial" w:hAnsi="Arial"/>
                <w:sz w:val="16"/>
              </w:rPr>
              <w:t>Manage users and operations within assigned facility.</w:t>
            </w:r>
          </w:p>
        </w:tc>
      </w:tr>
      <w:tr>
        <w:tc>
          <w:tcPr>
            <w:tcW w:type="dxa" w:w="3024"/>
            <w:vAlign w:val="center"/>
          </w:tcPr>
          <w:p>
            <w:pPr>
              <w:spacing w:after="0"/>
            </w:pPr>
            <w:r>
              <w:rPr>
                <w:rFonts w:ascii="Arial" w:hAnsi="Arial"/>
                <w:sz w:val="16"/>
              </w:rPr>
              <w:t>Registration Officer</w:t>
            </w:r>
          </w:p>
        </w:tc>
        <w:tc>
          <w:tcPr>
            <w:tcW w:type="dxa" w:w="6336"/>
            <w:vAlign w:val="center"/>
          </w:tcPr>
          <w:p>
            <w:pPr>
              <w:spacing w:after="0"/>
            </w:pPr>
            <w:r>
              <w:rPr>
                <w:rFonts w:ascii="Arial" w:hAnsi="Arial"/>
                <w:sz w:val="16"/>
              </w:rPr>
              <w:t>Patient search, registration and authorized identity fields.</w:t>
            </w:r>
          </w:p>
        </w:tc>
      </w:tr>
      <w:tr>
        <w:tc>
          <w:tcPr>
            <w:tcW w:type="dxa" w:w="3024"/>
            <w:vAlign w:val="center"/>
          </w:tcPr>
          <w:p>
            <w:pPr>
              <w:spacing w:after="0"/>
            </w:pPr>
            <w:r>
              <w:rPr>
                <w:rFonts w:ascii="Arial" w:hAnsi="Arial"/>
                <w:sz w:val="16"/>
              </w:rPr>
              <w:t>Nurse/Triage Officer</w:t>
            </w:r>
          </w:p>
        </w:tc>
        <w:tc>
          <w:tcPr>
            <w:tcW w:type="dxa" w:w="6336"/>
            <w:vAlign w:val="center"/>
          </w:tcPr>
          <w:p>
            <w:pPr>
              <w:spacing w:after="0"/>
            </w:pPr>
            <w:r>
              <w:rPr>
                <w:rFonts w:ascii="Arial" w:hAnsi="Arial"/>
                <w:sz w:val="16"/>
              </w:rPr>
              <w:t>Triage, vitals and nursing assessments.</w:t>
            </w:r>
          </w:p>
        </w:tc>
      </w:tr>
      <w:tr>
        <w:tc>
          <w:tcPr>
            <w:tcW w:type="dxa" w:w="3024"/>
            <w:vAlign w:val="center"/>
          </w:tcPr>
          <w:p>
            <w:pPr>
              <w:spacing w:after="0"/>
            </w:pPr>
            <w:r>
              <w:rPr>
                <w:rFonts w:ascii="Arial" w:hAnsi="Arial"/>
                <w:sz w:val="16"/>
              </w:rPr>
              <w:t>Clinician/Doctor</w:t>
            </w:r>
          </w:p>
        </w:tc>
        <w:tc>
          <w:tcPr>
            <w:tcW w:type="dxa" w:w="6336"/>
            <w:vAlign w:val="center"/>
          </w:tcPr>
          <w:p>
            <w:pPr>
              <w:spacing w:after="0"/>
            </w:pPr>
            <w:r>
              <w:rPr>
                <w:rFonts w:ascii="Arial" w:hAnsi="Arial"/>
                <w:sz w:val="16"/>
              </w:rPr>
              <w:t>Assessment, diagnosis, treatment, referrals and clinical decisions.</w:t>
            </w:r>
          </w:p>
        </w:tc>
      </w:tr>
      <w:tr>
        <w:tc>
          <w:tcPr>
            <w:tcW w:type="dxa" w:w="3024"/>
            <w:vAlign w:val="center"/>
          </w:tcPr>
          <w:p>
            <w:pPr>
              <w:spacing w:after="0"/>
            </w:pPr>
            <w:r>
              <w:rPr>
                <w:rFonts w:ascii="Arial" w:hAnsi="Arial"/>
                <w:sz w:val="16"/>
              </w:rPr>
              <w:t>Laboratory Staff / Reviewer</w:t>
            </w:r>
          </w:p>
        </w:tc>
        <w:tc>
          <w:tcPr>
            <w:tcW w:type="dxa" w:w="6336"/>
            <w:vAlign w:val="center"/>
          </w:tcPr>
          <w:p>
            <w:pPr>
              <w:spacing w:after="0"/>
            </w:pPr>
            <w:r>
              <w:rPr>
                <w:rFonts w:ascii="Arial" w:hAnsi="Arial"/>
                <w:sz w:val="16"/>
              </w:rPr>
              <w:t>Specimen and result workflow; result validation where required.</w:t>
            </w:r>
          </w:p>
        </w:tc>
      </w:tr>
      <w:tr>
        <w:tc>
          <w:tcPr>
            <w:tcW w:type="dxa" w:w="3024"/>
            <w:vAlign w:val="center"/>
          </w:tcPr>
          <w:p>
            <w:pPr>
              <w:spacing w:after="0"/>
            </w:pPr>
            <w:r>
              <w:rPr>
                <w:rFonts w:ascii="Arial" w:hAnsi="Arial"/>
                <w:sz w:val="16"/>
              </w:rPr>
              <w:t>Imaging/ECG/Echo Staff</w:t>
            </w:r>
          </w:p>
        </w:tc>
        <w:tc>
          <w:tcPr>
            <w:tcW w:type="dxa" w:w="6336"/>
            <w:vAlign w:val="center"/>
          </w:tcPr>
          <w:p>
            <w:pPr>
              <w:spacing w:after="0"/>
            </w:pPr>
            <w:r>
              <w:rPr>
                <w:rFonts w:ascii="Arial" w:hAnsi="Arial"/>
                <w:sz w:val="16"/>
              </w:rPr>
              <w:t>Investigation requests, procedures and reports.</w:t>
            </w:r>
          </w:p>
        </w:tc>
      </w:tr>
      <w:tr>
        <w:tc>
          <w:tcPr>
            <w:tcW w:type="dxa" w:w="3024"/>
            <w:vAlign w:val="center"/>
          </w:tcPr>
          <w:p>
            <w:pPr>
              <w:spacing w:after="0"/>
            </w:pPr>
            <w:r>
              <w:rPr>
                <w:rFonts w:ascii="Arial" w:hAnsi="Arial"/>
                <w:sz w:val="16"/>
              </w:rPr>
              <w:t>Pharmacist/Dispenser</w:t>
            </w:r>
          </w:p>
        </w:tc>
        <w:tc>
          <w:tcPr>
            <w:tcW w:type="dxa" w:w="6336"/>
            <w:vAlign w:val="center"/>
          </w:tcPr>
          <w:p>
            <w:pPr>
              <w:spacing w:after="0"/>
            </w:pPr>
            <w:r>
              <w:rPr>
                <w:rFonts w:ascii="Arial" w:hAnsi="Arial"/>
                <w:sz w:val="16"/>
              </w:rPr>
              <w:t>Medication catalogue, stock, prescription and dispensing.</w:t>
            </w:r>
          </w:p>
        </w:tc>
      </w:tr>
      <w:tr>
        <w:tc>
          <w:tcPr>
            <w:tcW w:type="dxa" w:w="3024"/>
            <w:vAlign w:val="center"/>
          </w:tcPr>
          <w:p>
            <w:pPr>
              <w:spacing w:after="0"/>
            </w:pPr>
            <w:r>
              <w:rPr>
                <w:rFonts w:ascii="Arial" w:hAnsi="Arial"/>
                <w:sz w:val="16"/>
              </w:rPr>
              <w:t>Data Clerk</w:t>
            </w:r>
          </w:p>
        </w:tc>
        <w:tc>
          <w:tcPr>
            <w:tcW w:type="dxa" w:w="6336"/>
            <w:vAlign w:val="center"/>
          </w:tcPr>
          <w:p>
            <w:pPr>
              <w:spacing w:after="0"/>
            </w:pPr>
            <w:r>
              <w:rPr>
                <w:rFonts w:ascii="Arial" w:hAnsi="Arial"/>
                <w:sz w:val="16"/>
              </w:rPr>
              <w:t>Authorized data entry and correction.</w:t>
            </w:r>
          </w:p>
        </w:tc>
      </w:tr>
      <w:tr>
        <w:tc>
          <w:tcPr>
            <w:tcW w:type="dxa" w:w="3024"/>
            <w:vAlign w:val="center"/>
          </w:tcPr>
          <w:p>
            <w:pPr>
              <w:spacing w:after="0"/>
            </w:pPr>
            <w:r>
              <w:rPr>
                <w:rFonts w:ascii="Arial" w:hAnsi="Arial"/>
                <w:sz w:val="16"/>
              </w:rPr>
              <w:t>Data Manager</w:t>
            </w:r>
          </w:p>
        </w:tc>
        <w:tc>
          <w:tcPr>
            <w:tcW w:type="dxa" w:w="6336"/>
            <w:vAlign w:val="center"/>
          </w:tcPr>
          <w:p>
            <w:pPr>
              <w:spacing w:after="0"/>
            </w:pPr>
            <w:r>
              <w:rPr>
                <w:rFonts w:ascii="Arial" w:hAnsi="Arial"/>
                <w:sz w:val="16"/>
              </w:rPr>
              <w:t>Data completeness, validation, review and correction workflows.</w:t>
            </w:r>
          </w:p>
        </w:tc>
      </w:tr>
      <w:tr>
        <w:tc>
          <w:tcPr>
            <w:tcW w:type="dxa" w:w="3024"/>
            <w:vAlign w:val="center"/>
          </w:tcPr>
          <w:p>
            <w:pPr>
              <w:spacing w:after="0"/>
            </w:pPr>
            <w:r>
              <w:rPr>
                <w:rFonts w:ascii="Arial" w:hAnsi="Arial"/>
                <w:sz w:val="16"/>
              </w:rPr>
              <w:t>Facility Coordinator</w:t>
            </w:r>
          </w:p>
        </w:tc>
        <w:tc>
          <w:tcPr>
            <w:tcW w:type="dxa" w:w="6336"/>
            <w:vAlign w:val="center"/>
          </w:tcPr>
          <w:p>
            <w:pPr>
              <w:spacing w:after="0"/>
            </w:pPr>
            <w:r>
              <w:rPr>
                <w:rFonts w:ascii="Arial" w:hAnsi="Arial"/>
                <w:sz w:val="16"/>
              </w:rPr>
              <w:t>Facility operations and follow-up monitoring.</w:t>
            </w:r>
          </w:p>
        </w:tc>
      </w:tr>
      <w:tr>
        <w:tc>
          <w:tcPr>
            <w:tcW w:type="dxa" w:w="3024"/>
            <w:vAlign w:val="center"/>
          </w:tcPr>
          <w:p>
            <w:pPr>
              <w:spacing w:after="0"/>
            </w:pPr>
            <w:r>
              <w:rPr>
                <w:rFonts w:ascii="Arial" w:hAnsi="Arial"/>
                <w:sz w:val="16"/>
              </w:rPr>
              <w:t>District/Regional/Zonal/National Coordinator</w:t>
            </w:r>
          </w:p>
        </w:tc>
        <w:tc>
          <w:tcPr>
            <w:tcW w:type="dxa" w:w="6336"/>
            <w:vAlign w:val="center"/>
          </w:tcPr>
          <w:p>
            <w:pPr>
              <w:spacing w:after="0"/>
            </w:pPr>
            <w:r>
              <w:rPr>
                <w:rFonts w:ascii="Arial" w:hAnsi="Arial"/>
                <w:sz w:val="16"/>
              </w:rPr>
              <w:t>Authorized monitoring and reporting within assigned geographic scope.</w:t>
            </w:r>
          </w:p>
        </w:tc>
      </w:tr>
      <w:tr>
        <w:tc>
          <w:tcPr>
            <w:tcW w:type="dxa" w:w="3024"/>
            <w:vAlign w:val="center"/>
          </w:tcPr>
          <w:p>
            <w:pPr>
              <w:spacing w:after="0"/>
            </w:pPr>
            <w:r>
              <w:rPr>
                <w:rFonts w:ascii="Arial" w:hAnsi="Arial"/>
                <w:sz w:val="16"/>
              </w:rPr>
              <w:t>Research Coordinator</w:t>
            </w:r>
          </w:p>
        </w:tc>
        <w:tc>
          <w:tcPr>
            <w:tcW w:type="dxa" w:w="6336"/>
            <w:vAlign w:val="center"/>
          </w:tcPr>
          <w:p>
            <w:pPr>
              <w:spacing w:after="0"/>
            </w:pPr>
            <w:r>
              <w:rPr>
                <w:rFonts w:ascii="Arial" w:hAnsi="Arial"/>
                <w:sz w:val="16"/>
              </w:rPr>
              <w:t>Research screening, consent, enrollment and schedules.</w:t>
            </w:r>
          </w:p>
        </w:tc>
      </w:tr>
      <w:tr>
        <w:tc>
          <w:tcPr>
            <w:tcW w:type="dxa" w:w="3024"/>
            <w:vAlign w:val="center"/>
          </w:tcPr>
          <w:p>
            <w:pPr>
              <w:spacing w:after="0"/>
            </w:pPr>
            <w:r>
              <w:rPr>
                <w:rFonts w:ascii="Arial" w:hAnsi="Arial"/>
                <w:sz w:val="16"/>
              </w:rPr>
              <w:t>PI/Co-Investigator</w:t>
            </w:r>
          </w:p>
        </w:tc>
        <w:tc>
          <w:tcPr>
            <w:tcW w:type="dxa" w:w="6336"/>
            <w:vAlign w:val="center"/>
          </w:tcPr>
          <w:p>
            <w:pPr>
              <w:spacing w:after="0"/>
            </w:pPr>
            <w:r>
              <w:rPr>
                <w:rFonts w:ascii="Arial" w:hAnsi="Arial"/>
                <w:sz w:val="16"/>
              </w:rPr>
              <w:t>Authorized study oversight and review.</w:t>
            </w:r>
          </w:p>
        </w:tc>
      </w:tr>
      <w:tr>
        <w:tc>
          <w:tcPr>
            <w:tcW w:type="dxa" w:w="3024"/>
            <w:vAlign w:val="center"/>
          </w:tcPr>
          <w:p>
            <w:pPr>
              <w:spacing w:after="0"/>
            </w:pPr>
            <w:r>
              <w:rPr>
                <w:rFonts w:ascii="Arial" w:hAnsi="Arial"/>
                <w:sz w:val="16"/>
              </w:rPr>
              <w:t>Monitor/Auditor</w:t>
            </w:r>
          </w:p>
        </w:tc>
        <w:tc>
          <w:tcPr>
            <w:tcW w:type="dxa" w:w="6336"/>
            <w:vAlign w:val="center"/>
          </w:tcPr>
          <w:p>
            <w:pPr>
              <w:spacing w:after="0"/>
            </w:pPr>
            <w:r>
              <w:rPr>
                <w:rFonts w:ascii="Arial" w:hAnsi="Arial"/>
                <w:sz w:val="16"/>
              </w:rPr>
              <w:t>Authorized monitoring or read-only audit access.</w:t>
            </w:r>
          </w:p>
        </w:tc>
      </w:tr>
      <w:tr>
        <w:tc>
          <w:tcPr>
            <w:tcW w:type="dxa" w:w="3024"/>
            <w:vAlign w:val="center"/>
          </w:tcPr>
          <w:p>
            <w:pPr>
              <w:spacing w:after="0"/>
            </w:pPr>
            <w:r>
              <w:rPr>
                <w:rFonts w:ascii="Arial" w:hAnsi="Arial"/>
                <w:sz w:val="16"/>
              </w:rPr>
              <w:t>Report Viewer</w:t>
            </w:r>
          </w:p>
        </w:tc>
        <w:tc>
          <w:tcPr>
            <w:tcW w:type="dxa" w:w="6336"/>
            <w:vAlign w:val="center"/>
          </w:tcPr>
          <w:p>
            <w:pPr>
              <w:spacing w:after="0"/>
            </w:pPr>
            <w:r>
              <w:rPr>
                <w:rFonts w:ascii="Arial" w:hAnsi="Arial"/>
                <w:sz w:val="16"/>
              </w:rPr>
              <w:t>Approved dashboards and reports only.</w:t>
            </w:r>
          </w:p>
        </w:tc>
      </w:tr>
    </w:tbl>
    <w:p/>
    <w:p>
      <w:r>
        <w:t>Job title, permission group, facility assignment, geographic scope, module permission and access to identifiable data MUST be represented separately. Effective permissions must be consistently calculated and tested.</w:t>
      </w:r>
    </w:p>
    <w:p>
      <w:pPr>
        <w:pStyle w:val="Heading1"/>
      </w:pPr>
      <w:r>
        <w:t>4. Assumptions and Constraints</w:t>
      </w:r>
    </w:p>
    <w:p>
      <w:pPr>
        <w:pStyle w:val="ListBullet"/>
        <w:spacing w:after="30"/>
      </w:pPr>
      <w:r>
        <w:t>NIMR is the intended host; a tenant Organization/Hospital model is not required for separate customer organizations.</w:t>
      </w:r>
    </w:p>
    <w:p>
      <w:pPr>
        <w:pStyle w:val="ListBullet"/>
        <w:spacing w:after="30"/>
      </w:pPr>
      <w:r>
        <w:t>Geographic hierarchy: Country → Zone → Region → District → Facility; validate actual geography and facility records.</w:t>
      </w:r>
    </w:p>
    <w:p>
      <w:pPr>
        <w:pStyle w:val="ListBullet"/>
        <w:spacing w:after="30"/>
      </w:pPr>
      <w:r>
        <w:t>Patients may attend multiple facilities and have multiple diagnoses, admissions, programmes and research enrollments where allowed.</w:t>
      </w:r>
    </w:p>
    <w:p>
      <w:pPr>
        <w:pStyle w:val="ListBullet"/>
        <w:spacing w:after="30"/>
      </w:pPr>
      <w:r>
        <w:t>Patient identity, clinical care, clinical programme enrollment and research enrollment are distinct.</w:t>
      </w:r>
    </w:p>
    <w:p>
      <w:pPr>
        <w:pStyle w:val="ListBullet"/>
        <w:spacing w:after="30"/>
      </w:pPr>
      <w:r>
        <w:t>SMS/email require an approved provider, credentials, sender identity, templates, consent/opt-out rules where applicable and budget.</w:t>
      </w:r>
    </w:p>
    <w:p>
      <w:pPr>
        <w:pStyle w:val="ListBullet"/>
        <w:spacing w:after="30"/>
      </w:pPr>
      <w:r>
        <w:t>Default timezone is Africa/Dar_es_Salaam, subject to owner approval.</w:t>
      </w:r>
    </w:p>
    <w:p>
      <w:pPr>
        <w:pStyle w:val="ListBullet"/>
        <w:spacing w:after="30"/>
      </w:pPr>
      <w:r>
        <w:t>Clinical protocols, retention periods, consent and privacy/security controls require approval from responsible authorities.</w:t>
      </w:r>
    </w:p>
    <w:p>
      <w:pPr>
        <w:pStyle w:val="ListBullet"/>
        <w:spacing w:after="30"/>
      </w:pPr>
      <w:r>
        <w:t>External integration depends on verified specifications, approvals and test access.</w:t>
      </w:r>
    </w:p>
    <w:p>
      <w:pPr>
        <w:pStyle w:val="Heading1"/>
      </w:pPr>
      <w:r>
        <w:t>5. End-to-End Workflows</w:t>
      </w:r>
    </w:p>
    <w:p>
      <w:pPr>
        <w:pStyle w:val="Heading2"/>
      </w:pPr>
      <w:r>
        <w:t>5.1 Staff access</w:t>
      </w:r>
    </w:p>
    <w:p>
      <w:pPr>
        <w:pStyle w:val="ListNumber"/>
        <w:spacing w:after="40"/>
      </w:pPr>
      <w:r>
        <w:t>Authorized administrator creates/invites a staff account and assigns groups and scope.</w:t>
      </w:r>
    </w:p>
    <w:p>
      <w:pPr>
        <w:pStyle w:val="ListNumber"/>
        <w:spacing w:after="40"/>
      </w:pPr>
      <w:r>
        <w:t>System sends the staff member an email with the system URL and a single-use, time-limited activation/set-password link; never send plaintext passwords.</w:t>
      </w:r>
    </w:p>
    <w:p>
      <w:pPr>
        <w:pStyle w:val="ListNumber"/>
        <w:spacing w:after="40"/>
      </w:pPr>
      <w:r>
        <w:t>Staff activates the account, sets a password and verifies their phone if policy requires.</w:t>
      </w:r>
    </w:p>
    <w:p>
      <w:pPr>
        <w:pStyle w:val="ListNumber"/>
        <w:spacing w:after="40"/>
      </w:pPr>
      <w:r>
        <w:t>System applies module, facility, geographic and sensitive-field permissions.</w:t>
      </w:r>
    </w:p>
    <w:p>
      <w:pPr>
        <w:pStyle w:val="ListNumber"/>
        <w:spacing w:after="40"/>
      </w:pPr>
      <w:r>
        <w:t>Inactive staff cannot sign in; historic actions remain attributable to the account.</w:t>
      </w:r>
    </w:p>
    <w:p>
      <w:pPr>
        <w:pStyle w:val="Heading2"/>
      </w:pPr>
      <w:r>
        <w:t>5.2 Patient registration</w:t>
      </w:r>
    </w:p>
    <w:p>
      <w:pPr>
        <w:pStyle w:val="ListNumber"/>
        <w:spacing w:after="40"/>
      </w:pPr>
      <w:r>
        <w:t>Search existing records using permitted identifiers and review possible duplicate matches.</w:t>
      </w:r>
    </w:p>
    <w:p>
      <w:pPr>
        <w:pStyle w:val="ListNumber"/>
        <w:spacing w:after="40"/>
      </w:pPr>
      <w:r>
        <w:t>If no duplicate is confirmed, enter required demographics, contacts and facility information.</w:t>
      </w:r>
    </w:p>
    <w:p>
      <w:pPr>
        <w:pStyle w:val="ListNumber"/>
        <w:spacing w:after="40"/>
      </w:pPr>
      <w:r>
        <w:t>Generate a unique patient ID, e.g. NCD26-0001, based on registration year and a concurrency-safe sequence.</w:t>
      </w:r>
    </w:p>
    <w:p>
      <w:pPr>
        <w:pStyle w:val="ListNumber"/>
        <w:spacing w:after="40"/>
      </w:pPr>
      <w:r>
        <w:t>Store the original registration facility and open an initial facility assignment.</w:t>
      </w:r>
    </w:p>
    <w:p>
      <w:pPr>
        <w:pStyle w:val="ListNumber"/>
        <w:spacing w:after="40"/>
      </w:pPr>
      <w:r>
        <w:t>Expose patient identity only to authorized users and workflows.</w:t>
      </w:r>
    </w:p>
    <w:p>
      <w:pPr>
        <w:pStyle w:val="Heading2"/>
      </w:pPr>
      <w:r>
        <w:t>5.3 Screening and assessment</w:t>
      </w:r>
    </w:p>
    <w:p>
      <w:pPr>
        <w:pStyle w:val="ListNumber"/>
        <w:spacing w:after="40"/>
      </w:pPr>
      <w:r>
        <w:t>Record screening source as community or facility, separately from the actual encounter location.</w:t>
      </w:r>
    </w:p>
    <w:p>
      <w:pPr>
        <w:pStyle w:val="ListNumber"/>
        <w:spacing w:after="40"/>
      </w:pPr>
      <w:r>
        <w:t>Select one or more diseases for screening.</w:t>
      </w:r>
    </w:p>
    <w:p>
      <w:pPr>
        <w:pStyle w:val="ListNumber"/>
        <w:spacing w:after="40"/>
      </w:pPr>
      <w:r>
        <w:t>Capture configurable eligibility questions, risk factors, symptoms, vitals and appropriate test requests.</w:t>
      </w:r>
    </w:p>
    <w:p>
      <w:pPr>
        <w:pStyle w:val="ListNumber"/>
        <w:spacing w:after="40"/>
      </w:pPr>
      <w:r>
        <w:t>Authorized clinician assesses results and records diagnoses where clinically justified.</w:t>
      </w:r>
    </w:p>
    <w:p>
      <w:pPr>
        <w:pStyle w:val="ListNumber"/>
        <w:spacing w:after="40"/>
      </w:pPr>
      <w:r>
        <w:t>Screening alone must not automatically create a confirmed diagnosis or research enrollment.</w:t>
      </w:r>
    </w:p>
    <w:p>
      <w:pPr>
        <w:pStyle w:val="ListNumber"/>
        <w:spacing w:after="40"/>
      </w:pPr>
      <w:r>
        <w:t>Patients who are ineligible for a programme or study may still receive routine care.</w:t>
      </w:r>
    </w:p>
    <w:p>
      <w:pPr>
        <w:pStyle w:val="Heading2"/>
      </w:pPr>
      <w:r>
        <w:t>5.4 Clinical and research enrollment</w:t>
      </w:r>
    </w:p>
    <w:p>
      <w:r>
        <w:t>Clinical programme enrollment records disease/programme, enrollment date, enrolling facility, responsible team and clinical status. Research enrollment separately records study, study-specific eligibility, consent, enrollment date/facility, protocol schedule and research outcome. Both may link to the same patient and encounter without duplicating patient identity.</w:t>
      </w:r>
    </w:p>
    <w:p>
      <w:pPr>
        <w:pStyle w:val="Heading2"/>
      </w:pPr>
      <w:r>
        <w:t>5.5 Encounter and CRF workflow</w:t>
      </w:r>
    </w:p>
    <w:p>
      <w:pPr>
        <w:pStyle w:val="ListNumber"/>
        <w:spacing w:after="40"/>
      </w:pPr>
      <w:r>
        <w:t>Create an appointment when a future contact is planned.</w:t>
      </w:r>
    </w:p>
    <w:p>
      <w:pPr>
        <w:pStyle w:val="ListNumber"/>
        <w:spacing w:after="40"/>
      </w:pPr>
      <w:r>
        <w:t>Create an encounter for an actual contact; support facility, home, community, emergency and other approved locations.</w:t>
      </w:r>
    </w:p>
    <w:p>
      <w:pPr>
        <w:pStyle w:val="ListNumber"/>
        <w:spacing w:after="40"/>
      </w:pPr>
      <w:r>
        <w:t>Record triage for applicable facility encounters.</w:t>
      </w:r>
    </w:p>
    <w:p>
      <w:pPr>
        <w:pStyle w:val="ListNumber"/>
        <w:spacing w:after="40"/>
      </w:pPr>
      <w:r>
        <w:t>Load CRFs configured for the workflow stage, disease/study and location.</w:t>
      </w:r>
    </w:p>
    <w:p>
      <w:pPr>
        <w:pStyle w:val="ListNumber"/>
        <w:spacing w:after="40"/>
      </w:pPr>
      <w:r>
        <w:t>Track required-form completion, pending results and review independently.</w:t>
      </w:r>
    </w:p>
    <w:p>
      <w:pPr>
        <w:pStyle w:val="ListNumber"/>
        <w:spacing w:after="40"/>
      </w:pPr>
      <w:r>
        <w:t>Keep incomplete encounters visible in work queues; close only according to configured rules and permissions.</w:t>
      </w:r>
    </w:p>
    <w:p>
      <w:pPr>
        <w:pStyle w:val="Heading2"/>
      </w:pPr>
      <w:r>
        <w:t>5.6 Follow-up scheduling</w:t>
      </w:r>
    </w:p>
    <w:p>
      <w:pPr>
        <w:pStyle w:val="ListBullet"/>
        <w:spacing w:after="30"/>
      </w:pPr>
      <w:r>
        <w:t>Support monthly, every two months, every three months and other configurable intervals.</w:t>
      </w:r>
    </w:p>
    <w:p>
      <w:pPr>
        <w:pStyle w:val="ListBullet"/>
        <w:spacing w:after="30"/>
      </w:pPr>
      <w:r>
        <w:t>Allow anchors: enrollment date, baseline date, last completed visit or custom date.</w:t>
      </w:r>
    </w:p>
    <w:p>
      <w:pPr>
        <w:pStyle w:val="ListBullet"/>
        <w:spacing w:after="30"/>
      </w:pPr>
      <w:r>
        <w:t>Allow automatic/manual generation, future-visit count and maximum duration/end date.</w:t>
      </w:r>
    </w:p>
    <w:p>
      <w:pPr>
        <w:pStyle w:val="ListBullet"/>
        <w:spacing w:after="30"/>
      </w:pPr>
      <w:r>
        <w:t>For older enrollments, calculate historical expected visits from the selected anchor and generate the configured future visits.</w:t>
      </w:r>
    </w:p>
    <w:p>
      <w:pPr>
        <w:pStyle w:val="ListBullet"/>
        <w:spacing w:after="30"/>
      </w:pPr>
      <w:r>
        <w:t>Do not automatically mark historical expected visits missed; staff reconcile them with source records.</w:t>
      </w:r>
    </w:p>
    <w:p>
      <w:pPr>
        <w:pStyle w:val="ListBullet"/>
        <w:spacing w:after="30"/>
      </w:pPr>
      <w:r>
        <w:t>Prevent duplicate generation; preserve completed visits; version schedule changes and record reasons.</w:t>
      </w:r>
    </w:p>
    <w:p>
      <w:pPr>
        <w:pStyle w:val="ListBullet"/>
        <w:spacing w:after="30"/>
      </w:pPr>
      <w:r>
        <w:t>Only eligible future, unstarted visits may be edited/cancelled/regenerated under normal workflow.</w:t>
      </w:r>
    </w:p>
    <w:p>
      <w:pPr>
        <w:pStyle w:val="ListBullet"/>
        <w:spacing w:after="30"/>
      </w:pPr>
      <w:r>
        <w:t>Unscheduled encounters do not shift the planned schedule unless a configured rule explicitly requires it.</w:t>
      </w:r>
    </w:p>
    <w:p>
      <w:pPr>
        <w:pStyle w:val="Heading2"/>
      </w:pPr>
      <w:r>
        <w:t>5.7 Transfer workflow</w:t>
      </w:r>
    </w:p>
    <w:p>
      <w:pPr>
        <w:pStyle w:val="ListBullet"/>
        <w:spacing w:after="30"/>
      </w:pPr>
      <w:r>
        <w:t>Keep original registration facility, programme/study enrollment facility, current assigned facility and assignment history separately.</w:t>
      </w:r>
    </w:p>
    <w:p>
      <w:pPr>
        <w:pStyle w:val="ListBullet"/>
        <w:spacing w:after="30"/>
      </w:pPr>
      <w:r>
        <w:t>Record sending/receiving facility, request/effective dates, reason, study-area classification, initiator, status and receiving confirmation.</w:t>
      </w:r>
    </w:p>
    <w:p>
      <w:pPr>
        <w:pStyle w:val="ListBullet"/>
        <w:spacing w:after="30"/>
      </w:pPr>
      <w:r>
        <w:t>Transfer reports count events in a date range; current patient lists use current confirmed assignment.</w:t>
      </w:r>
    </w:p>
    <w:p>
      <w:pPr>
        <w:pStyle w:val="ListBullet"/>
        <w:spacing w:after="30"/>
      </w:pPr>
      <w:r>
        <w:t>Clinical transfer does not automatically terminate research enrollment; apply study-area rules separately.</w:t>
      </w:r>
    </w:p>
    <w:p>
      <w:pPr>
        <w:pStyle w:val="ListBullet"/>
        <w:spacing w:after="30"/>
      </w:pPr>
      <w:r>
        <w:t>Support transfer-in, transfer-in-back, return and controlled corrections with audit history.</w:t>
      </w:r>
    </w:p>
    <w:p>
      <w:pPr>
        <w:pStyle w:val="Heading2"/>
      </w:pPr>
      <w:r>
        <w:t>5.8 Outcomes</w:t>
      </w:r>
    </w:p>
    <w:p>
      <w:r>
        <w:t>Clinical programme status, research enrollment status, appointment status and encounter status MUST be separate. Study completion, research withdrawal or research LTFU MUST NOT automatically stop routine clinical care. Death is a controlled patient-level event reflected in relevant programme/study workflows according to policy.</w:t>
      </w:r>
    </w:p>
    <w:p>
      <w:pPr>
        <w:pStyle w:val="Heading1"/>
      </w:pPr>
      <w:r>
        <w:t>6.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80"/>
            <w:shd w:fill="D9EAF7"/>
          </w:tcPr>
          <w:p>
            <w:r>
              <w:rPr>
                <w:b/>
                <w:sz w:val="17"/>
              </w:rPr>
              <w:t>ID</w:t>
            </w:r>
          </w:p>
        </w:tc>
        <w:tc>
          <w:tcPr>
            <w:tcW w:type="dxa" w:w="1944"/>
            <w:shd w:fill="D9EAF7"/>
          </w:tcPr>
          <w:p>
            <w:r>
              <w:rPr>
                <w:b/>
                <w:sz w:val="17"/>
              </w:rPr>
              <w:t>Area</w:t>
            </w:r>
          </w:p>
        </w:tc>
        <w:tc>
          <w:tcPr>
            <w:tcW w:type="dxa" w:w="6336"/>
            <w:shd w:fill="D9EAF7"/>
          </w:tcPr>
          <w:p>
            <w:r>
              <w:rPr>
                <w:b/>
                <w:sz w:val="17"/>
              </w:rPr>
              <w:t>Requirement</w:t>
            </w:r>
          </w:p>
        </w:tc>
      </w:tr>
      <w:tr>
        <w:tc>
          <w:tcPr>
            <w:tcW w:type="dxa" w:w="1080"/>
            <w:vAlign w:val="center"/>
          </w:tcPr>
          <w:p>
            <w:pPr>
              <w:spacing w:after="0"/>
            </w:pPr>
            <w:r>
              <w:rPr>
                <w:rFonts w:ascii="Arial" w:hAnsi="Arial"/>
                <w:sz w:val="16"/>
              </w:rPr>
              <w:t>FR-001</w:t>
            </w:r>
          </w:p>
        </w:tc>
        <w:tc>
          <w:tcPr>
            <w:tcW w:type="dxa" w:w="1944"/>
            <w:vAlign w:val="center"/>
          </w:tcPr>
          <w:p>
            <w:pPr>
              <w:spacing w:after="0"/>
            </w:pPr>
            <w:r>
              <w:rPr>
                <w:rFonts w:ascii="Arial" w:hAnsi="Arial"/>
                <w:sz w:val="16"/>
              </w:rPr>
              <w:t>Accounts and roles</w:t>
            </w:r>
          </w:p>
        </w:tc>
        <w:tc>
          <w:tcPr>
            <w:tcW w:type="dxa" w:w="6336"/>
            <w:vAlign w:val="center"/>
          </w:tcPr>
          <w:p>
            <w:pPr>
              <w:spacing w:after="0"/>
            </w:pPr>
            <w:r>
              <w:rPr>
                <w:rFonts w:ascii="Arial" w:hAnsi="Arial"/>
                <w:sz w:val="16"/>
              </w:rPr>
              <w:t>Support authentication, active/inactive accounts, permission groups, module permissions and facility/geographic scope.</w:t>
            </w:r>
          </w:p>
        </w:tc>
      </w:tr>
      <w:tr>
        <w:tc>
          <w:tcPr>
            <w:tcW w:type="dxa" w:w="1080"/>
            <w:vAlign w:val="center"/>
          </w:tcPr>
          <w:p>
            <w:pPr>
              <w:spacing w:after="0"/>
            </w:pPr>
            <w:r>
              <w:rPr>
                <w:rFonts w:ascii="Arial" w:hAnsi="Arial"/>
                <w:sz w:val="16"/>
              </w:rPr>
              <w:t>FR-002</w:t>
            </w:r>
          </w:p>
        </w:tc>
        <w:tc>
          <w:tcPr>
            <w:tcW w:type="dxa" w:w="1944"/>
            <w:vAlign w:val="center"/>
          </w:tcPr>
          <w:p>
            <w:pPr>
              <w:spacing w:after="0"/>
            </w:pPr>
            <w:r>
              <w:rPr>
                <w:rFonts w:ascii="Arial" w:hAnsi="Arial"/>
                <w:sz w:val="16"/>
              </w:rPr>
              <w:t>Facility hierarchy</w:t>
            </w:r>
          </w:p>
        </w:tc>
        <w:tc>
          <w:tcPr>
            <w:tcW w:type="dxa" w:w="6336"/>
            <w:vAlign w:val="center"/>
          </w:tcPr>
          <w:p>
            <w:pPr>
              <w:spacing w:after="0"/>
            </w:pPr>
            <w:r>
              <w:rPr>
                <w:rFonts w:ascii="Arial" w:hAnsi="Arial"/>
                <w:sz w:val="16"/>
              </w:rPr>
              <w:t>Support country, zone, region, district and facility with validated relationships.</w:t>
            </w:r>
          </w:p>
        </w:tc>
      </w:tr>
      <w:tr>
        <w:tc>
          <w:tcPr>
            <w:tcW w:type="dxa" w:w="1080"/>
            <w:vAlign w:val="center"/>
          </w:tcPr>
          <w:p>
            <w:pPr>
              <w:spacing w:after="0"/>
            </w:pPr>
            <w:r>
              <w:rPr>
                <w:rFonts w:ascii="Arial" w:hAnsi="Arial"/>
                <w:sz w:val="16"/>
              </w:rPr>
              <w:t>FR-003</w:t>
            </w:r>
          </w:p>
        </w:tc>
        <w:tc>
          <w:tcPr>
            <w:tcW w:type="dxa" w:w="1944"/>
            <w:vAlign w:val="center"/>
          </w:tcPr>
          <w:p>
            <w:pPr>
              <w:spacing w:after="0"/>
            </w:pPr>
            <w:r>
              <w:rPr>
                <w:rFonts w:ascii="Arial" w:hAnsi="Arial"/>
                <w:sz w:val="16"/>
              </w:rPr>
              <w:t>Patient search</w:t>
            </w:r>
          </w:p>
        </w:tc>
        <w:tc>
          <w:tcPr>
            <w:tcW w:type="dxa" w:w="6336"/>
            <w:vAlign w:val="center"/>
          </w:tcPr>
          <w:p>
            <w:pPr>
              <w:spacing w:after="0"/>
            </w:pPr>
            <w:r>
              <w:rPr>
                <w:rFonts w:ascii="Arial" w:hAnsi="Arial"/>
                <w:sz w:val="16"/>
              </w:rPr>
              <w:t>Search for likely duplicates before registration, subject to field permissions.</w:t>
            </w:r>
          </w:p>
        </w:tc>
      </w:tr>
      <w:tr>
        <w:tc>
          <w:tcPr>
            <w:tcW w:type="dxa" w:w="1080"/>
            <w:vAlign w:val="center"/>
          </w:tcPr>
          <w:p>
            <w:pPr>
              <w:spacing w:after="0"/>
            </w:pPr>
            <w:r>
              <w:rPr>
                <w:rFonts w:ascii="Arial" w:hAnsi="Arial"/>
                <w:sz w:val="16"/>
              </w:rPr>
              <w:t>FR-004</w:t>
            </w:r>
          </w:p>
        </w:tc>
        <w:tc>
          <w:tcPr>
            <w:tcW w:type="dxa" w:w="1944"/>
            <w:vAlign w:val="center"/>
          </w:tcPr>
          <w:p>
            <w:pPr>
              <w:spacing w:after="0"/>
            </w:pPr>
            <w:r>
              <w:rPr>
                <w:rFonts w:ascii="Arial" w:hAnsi="Arial"/>
                <w:sz w:val="16"/>
              </w:rPr>
              <w:t>Patient identifier</w:t>
            </w:r>
          </w:p>
        </w:tc>
        <w:tc>
          <w:tcPr>
            <w:tcW w:type="dxa" w:w="6336"/>
            <w:vAlign w:val="center"/>
          </w:tcPr>
          <w:p>
            <w:pPr>
              <w:spacing w:after="0"/>
            </w:pPr>
            <w:r>
              <w:rPr>
                <w:rFonts w:ascii="Arial" w:hAnsi="Arial"/>
                <w:sz w:val="16"/>
              </w:rPr>
              <w:t>Generate unique NCDYY-NNNN IDs, e.g. NCD26-0001, using a transaction-safe sequence; never reuse issued IDs.</w:t>
            </w:r>
          </w:p>
        </w:tc>
      </w:tr>
      <w:tr>
        <w:tc>
          <w:tcPr>
            <w:tcW w:type="dxa" w:w="1080"/>
            <w:vAlign w:val="center"/>
          </w:tcPr>
          <w:p>
            <w:pPr>
              <w:spacing w:after="0"/>
            </w:pPr>
            <w:r>
              <w:rPr>
                <w:rFonts w:ascii="Arial" w:hAnsi="Arial"/>
                <w:sz w:val="16"/>
              </w:rPr>
              <w:t>FR-005</w:t>
            </w:r>
          </w:p>
        </w:tc>
        <w:tc>
          <w:tcPr>
            <w:tcW w:type="dxa" w:w="1944"/>
            <w:vAlign w:val="center"/>
          </w:tcPr>
          <w:p>
            <w:pPr>
              <w:spacing w:after="0"/>
            </w:pPr>
            <w:r>
              <w:rPr>
                <w:rFonts w:ascii="Arial" w:hAnsi="Arial"/>
                <w:sz w:val="16"/>
              </w:rPr>
              <w:t>Identity privacy</w:t>
            </w:r>
          </w:p>
        </w:tc>
        <w:tc>
          <w:tcPr>
            <w:tcW w:type="dxa" w:w="6336"/>
            <w:vAlign w:val="center"/>
          </w:tcPr>
          <w:p>
            <w:pPr>
              <w:spacing w:after="0"/>
            </w:pPr>
            <w:r>
              <w:rPr>
                <w:rFonts w:ascii="Arial" w:hAnsi="Arial"/>
                <w:sz w:val="16"/>
              </w:rPr>
              <w:t>Restrict names, phone numbers, hospital IDs and sensitive registration fields by explicit permission.</w:t>
            </w:r>
          </w:p>
        </w:tc>
      </w:tr>
      <w:tr>
        <w:tc>
          <w:tcPr>
            <w:tcW w:type="dxa" w:w="1080"/>
            <w:vAlign w:val="center"/>
          </w:tcPr>
          <w:p>
            <w:pPr>
              <w:spacing w:after="0"/>
            </w:pPr>
            <w:r>
              <w:rPr>
                <w:rFonts w:ascii="Arial" w:hAnsi="Arial"/>
                <w:sz w:val="16"/>
              </w:rPr>
              <w:t>FR-006</w:t>
            </w:r>
          </w:p>
        </w:tc>
        <w:tc>
          <w:tcPr>
            <w:tcW w:type="dxa" w:w="1944"/>
            <w:vAlign w:val="center"/>
          </w:tcPr>
          <w:p>
            <w:pPr>
              <w:spacing w:after="0"/>
            </w:pPr>
            <w:r>
              <w:rPr>
                <w:rFonts w:ascii="Arial" w:hAnsi="Arial"/>
                <w:sz w:val="16"/>
              </w:rPr>
              <w:t>Patient lifecycle</w:t>
            </w:r>
          </w:p>
        </w:tc>
        <w:tc>
          <w:tcPr>
            <w:tcW w:type="dxa" w:w="6336"/>
            <w:vAlign w:val="center"/>
          </w:tcPr>
          <w:p>
            <w:pPr>
              <w:spacing w:after="0"/>
            </w:pPr>
            <w:r>
              <w:rPr>
                <w:rFonts w:ascii="Arial" w:hAnsi="Arial"/>
                <w:sz w:val="16"/>
              </w:rPr>
              <w:t>Allow authorized deactivation, soft deletion and restoration while preserving clinical history.</w:t>
            </w:r>
          </w:p>
        </w:tc>
      </w:tr>
      <w:tr>
        <w:tc>
          <w:tcPr>
            <w:tcW w:type="dxa" w:w="1080"/>
            <w:vAlign w:val="center"/>
          </w:tcPr>
          <w:p>
            <w:pPr>
              <w:spacing w:after="0"/>
            </w:pPr>
            <w:r>
              <w:rPr>
                <w:rFonts w:ascii="Arial" w:hAnsi="Arial"/>
                <w:sz w:val="16"/>
              </w:rPr>
              <w:t>FR-007</w:t>
            </w:r>
          </w:p>
        </w:tc>
        <w:tc>
          <w:tcPr>
            <w:tcW w:type="dxa" w:w="1944"/>
            <w:vAlign w:val="center"/>
          </w:tcPr>
          <w:p>
            <w:pPr>
              <w:spacing w:after="0"/>
            </w:pPr>
            <w:r>
              <w:rPr>
                <w:rFonts w:ascii="Arial" w:hAnsi="Arial"/>
                <w:sz w:val="16"/>
              </w:rPr>
              <w:t>Screening</w:t>
            </w:r>
          </w:p>
        </w:tc>
        <w:tc>
          <w:tcPr>
            <w:tcW w:type="dxa" w:w="6336"/>
            <w:vAlign w:val="center"/>
          </w:tcPr>
          <w:p>
            <w:pPr>
              <w:spacing w:after="0"/>
            </w:pPr>
            <w:r>
              <w:rPr>
                <w:rFonts w:ascii="Arial" w:hAnsi="Arial"/>
                <w:sz w:val="16"/>
              </w:rPr>
              <w:t>Record source, location, disease(s), date, eligibility and outcome.</w:t>
            </w:r>
          </w:p>
        </w:tc>
      </w:tr>
      <w:tr>
        <w:tc>
          <w:tcPr>
            <w:tcW w:type="dxa" w:w="1080"/>
            <w:vAlign w:val="center"/>
          </w:tcPr>
          <w:p>
            <w:pPr>
              <w:spacing w:after="0"/>
            </w:pPr>
            <w:r>
              <w:rPr>
                <w:rFonts w:ascii="Arial" w:hAnsi="Arial"/>
                <w:sz w:val="16"/>
              </w:rPr>
              <w:t>FR-008</w:t>
            </w:r>
          </w:p>
        </w:tc>
        <w:tc>
          <w:tcPr>
            <w:tcW w:type="dxa" w:w="1944"/>
            <w:vAlign w:val="center"/>
          </w:tcPr>
          <w:p>
            <w:pPr>
              <w:spacing w:after="0"/>
            </w:pPr>
            <w:r>
              <w:rPr>
                <w:rFonts w:ascii="Arial" w:hAnsi="Arial"/>
                <w:sz w:val="16"/>
              </w:rPr>
              <w:t>Encounters</w:t>
            </w:r>
          </w:p>
        </w:tc>
        <w:tc>
          <w:tcPr>
            <w:tcW w:type="dxa" w:w="6336"/>
            <w:vAlign w:val="center"/>
          </w:tcPr>
          <w:p>
            <w:pPr>
              <w:spacing w:after="0"/>
            </w:pPr>
            <w:r>
              <w:rPr>
                <w:rFonts w:ascii="Arial" w:hAnsi="Arial"/>
                <w:sz w:val="16"/>
              </w:rPr>
              <w:t>Support scheduled/unscheduled encounters and actual contact location/facility.</w:t>
            </w:r>
          </w:p>
        </w:tc>
      </w:tr>
      <w:tr>
        <w:tc>
          <w:tcPr>
            <w:tcW w:type="dxa" w:w="1080"/>
            <w:vAlign w:val="center"/>
          </w:tcPr>
          <w:p>
            <w:pPr>
              <w:spacing w:after="0"/>
            </w:pPr>
            <w:r>
              <w:rPr>
                <w:rFonts w:ascii="Arial" w:hAnsi="Arial"/>
                <w:sz w:val="16"/>
              </w:rPr>
              <w:t>FR-009</w:t>
            </w:r>
          </w:p>
        </w:tc>
        <w:tc>
          <w:tcPr>
            <w:tcW w:type="dxa" w:w="1944"/>
            <w:vAlign w:val="center"/>
          </w:tcPr>
          <w:p>
            <w:pPr>
              <w:spacing w:after="0"/>
            </w:pPr>
            <w:r>
              <w:rPr>
                <w:rFonts w:ascii="Arial" w:hAnsi="Arial"/>
                <w:sz w:val="16"/>
              </w:rPr>
              <w:t>Triage</w:t>
            </w:r>
          </w:p>
        </w:tc>
        <w:tc>
          <w:tcPr>
            <w:tcW w:type="dxa" w:w="6336"/>
            <w:vAlign w:val="center"/>
          </w:tcPr>
          <w:p>
            <w:pPr>
              <w:spacing w:after="0"/>
            </w:pPr>
            <w:r>
              <w:rPr>
                <w:rFonts w:ascii="Arial" w:hAnsi="Arial"/>
                <w:sz w:val="16"/>
              </w:rPr>
              <w:t>Support triage and vitals for applicable facility encounters.</w:t>
            </w:r>
          </w:p>
        </w:tc>
      </w:tr>
      <w:tr>
        <w:tc>
          <w:tcPr>
            <w:tcW w:type="dxa" w:w="1080"/>
            <w:vAlign w:val="center"/>
          </w:tcPr>
          <w:p>
            <w:pPr>
              <w:spacing w:after="0"/>
            </w:pPr>
            <w:r>
              <w:rPr>
                <w:rFonts w:ascii="Arial" w:hAnsi="Arial"/>
                <w:sz w:val="16"/>
              </w:rPr>
              <w:t>FR-010</w:t>
            </w:r>
          </w:p>
        </w:tc>
        <w:tc>
          <w:tcPr>
            <w:tcW w:type="dxa" w:w="1944"/>
            <w:vAlign w:val="center"/>
          </w:tcPr>
          <w:p>
            <w:pPr>
              <w:spacing w:after="0"/>
            </w:pPr>
            <w:r>
              <w:rPr>
                <w:rFonts w:ascii="Arial" w:hAnsi="Arial"/>
                <w:sz w:val="16"/>
              </w:rPr>
              <w:t>Multiple diseases</w:t>
            </w:r>
          </w:p>
        </w:tc>
        <w:tc>
          <w:tcPr>
            <w:tcW w:type="dxa" w:w="6336"/>
            <w:vAlign w:val="center"/>
          </w:tcPr>
          <w:p>
            <w:pPr>
              <w:spacing w:after="0"/>
            </w:pPr>
            <w:r>
              <w:rPr>
                <w:rFonts w:ascii="Arial" w:hAnsi="Arial"/>
                <w:sz w:val="16"/>
              </w:rPr>
              <w:t>Support multiple diagnoses and concurrent disease/programme records.</w:t>
            </w:r>
          </w:p>
        </w:tc>
      </w:tr>
      <w:tr>
        <w:tc>
          <w:tcPr>
            <w:tcW w:type="dxa" w:w="1080"/>
            <w:vAlign w:val="center"/>
          </w:tcPr>
          <w:p>
            <w:pPr>
              <w:spacing w:after="0"/>
            </w:pPr>
            <w:r>
              <w:rPr>
                <w:rFonts w:ascii="Arial" w:hAnsi="Arial"/>
                <w:sz w:val="16"/>
              </w:rPr>
              <w:t>FR-011</w:t>
            </w:r>
          </w:p>
        </w:tc>
        <w:tc>
          <w:tcPr>
            <w:tcW w:type="dxa" w:w="1944"/>
            <w:vAlign w:val="center"/>
          </w:tcPr>
          <w:p>
            <w:pPr>
              <w:spacing w:after="0"/>
            </w:pPr>
            <w:r>
              <w:rPr>
                <w:rFonts w:ascii="Arial" w:hAnsi="Arial"/>
                <w:sz w:val="16"/>
              </w:rPr>
              <w:t>Clinical enrollment</w:t>
            </w:r>
          </w:p>
        </w:tc>
        <w:tc>
          <w:tcPr>
            <w:tcW w:type="dxa" w:w="6336"/>
            <w:vAlign w:val="center"/>
          </w:tcPr>
          <w:p>
            <w:pPr>
              <w:spacing w:after="0"/>
            </w:pPr>
            <w:r>
              <w:rPr>
                <w:rFonts w:ascii="Arial" w:hAnsi="Arial"/>
                <w:sz w:val="16"/>
              </w:rPr>
              <w:t>Distinguish clinical programme enrollment from registration and research enrollment.</w:t>
            </w:r>
          </w:p>
        </w:tc>
      </w:tr>
      <w:tr>
        <w:tc>
          <w:tcPr>
            <w:tcW w:type="dxa" w:w="1080"/>
            <w:vAlign w:val="center"/>
          </w:tcPr>
          <w:p>
            <w:pPr>
              <w:spacing w:after="0"/>
            </w:pPr>
            <w:r>
              <w:rPr>
                <w:rFonts w:ascii="Arial" w:hAnsi="Arial"/>
                <w:sz w:val="16"/>
              </w:rPr>
              <w:t>FR-012</w:t>
            </w:r>
          </w:p>
        </w:tc>
        <w:tc>
          <w:tcPr>
            <w:tcW w:type="dxa" w:w="1944"/>
            <w:vAlign w:val="center"/>
          </w:tcPr>
          <w:p>
            <w:pPr>
              <w:spacing w:after="0"/>
            </w:pPr>
            <w:r>
              <w:rPr>
                <w:rFonts w:ascii="Arial" w:hAnsi="Arial"/>
                <w:sz w:val="16"/>
              </w:rPr>
              <w:t>Research enrollment</w:t>
            </w:r>
          </w:p>
        </w:tc>
        <w:tc>
          <w:tcPr>
            <w:tcW w:type="dxa" w:w="6336"/>
            <w:vAlign w:val="center"/>
          </w:tcPr>
          <w:p>
            <w:pPr>
              <w:spacing w:after="0"/>
            </w:pPr>
            <w:r>
              <w:rPr>
                <w:rFonts w:ascii="Arial" w:hAnsi="Arial"/>
                <w:sz w:val="16"/>
              </w:rPr>
              <w:t>Support study screening, consent, eligibility, enrollment, CRFs, schedules and outcomes.</w:t>
            </w:r>
          </w:p>
        </w:tc>
      </w:tr>
      <w:tr>
        <w:tc>
          <w:tcPr>
            <w:tcW w:type="dxa" w:w="1080"/>
            <w:vAlign w:val="center"/>
          </w:tcPr>
          <w:p>
            <w:pPr>
              <w:spacing w:after="0"/>
            </w:pPr>
            <w:r>
              <w:rPr>
                <w:rFonts w:ascii="Arial" w:hAnsi="Arial"/>
                <w:sz w:val="16"/>
              </w:rPr>
              <w:t>FR-013</w:t>
            </w:r>
          </w:p>
        </w:tc>
        <w:tc>
          <w:tcPr>
            <w:tcW w:type="dxa" w:w="1944"/>
            <w:vAlign w:val="center"/>
          </w:tcPr>
          <w:p>
            <w:pPr>
              <w:spacing w:after="0"/>
            </w:pPr>
            <w:r>
              <w:rPr>
                <w:rFonts w:ascii="Arial" w:hAnsi="Arial"/>
                <w:sz w:val="16"/>
              </w:rPr>
              <w:t>CRF configuration</w:t>
            </w:r>
          </w:p>
        </w:tc>
        <w:tc>
          <w:tcPr>
            <w:tcW w:type="dxa" w:w="6336"/>
            <w:vAlign w:val="center"/>
          </w:tcPr>
          <w:p>
            <w:pPr>
              <w:spacing w:after="0"/>
            </w:pPr>
            <w:r>
              <w:rPr>
                <w:rFonts w:ascii="Arial" w:hAnsi="Arial"/>
                <w:sz w:val="16"/>
              </w:rPr>
              <w:t>Configure forms by stage, disease/study, location, requirement, repeatability, validation and review policy.</w:t>
            </w:r>
          </w:p>
        </w:tc>
      </w:tr>
      <w:tr>
        <w:tc>
          <w:tcPr>
            <w:tcW w:type="dxa" w:w="1080"/>
            <w:vAlign w:val="center"/>
          </w:tcPr>
          <w:p>
            <w:pPr>
              <w:spacing w:after="0"/>
            </w:pPr>
            <w:r>
              <w:rPr>
                <w:rFonts w:ascii="Arial" w:hAnsi="Arial"/>
                <w:sz w:val="16"/>
              </w:rPr>
              <w:t>FR-014</w:t>
            </w:r>
          </w:p>
        </w:tc>
        <w:tc>
          <w:tcPr>
            <w:tcW w:type="dxa" w:w="1944"/>
            <w:vAlign w:val="center"/>
          </w:tcPr>
          <w:p>
            <w:pPr>
              <w:spacing w:after="0"/>
            </w:pPr>
            <w:r>
              <w:rPr>
                <w:rFonts w:ascii="Arial" w:hAnsi="Arial"/>
                <w:sz w:val="16"/>
              </w:rPr>
              <w:t>CRF locations</w:t>
            </w:r>
          </w:p>
        </w:tc>
        <w:tc>
          <w:tcPr>
            <w:tcW w:type="dxa" w:w="6336"/>
            <w:vAlign w:val="center"/>
          </w:tcPr>
          <w:p>
            <w:pPr>
              <w:spacing w:after="0"/>
            </w:pPr>
            <w:r>
              <w:rPr>
                <w:rFonts w:ascii="Arial" w:hAnsi="Arial"/>
                <w:sz w:val="16"/>
              </w:rPr>
              <w:t>Default forms to facility; support facility-only, home-only, community-only or multiple locations.</w:t>
            </w:r>
          </w:p>
        </w:tc>
      </w:tr>
      <w:tr>
        <w:tc>
          <w:tcPr>
            <w:tcW w:type="dxa" w:w="1080"/>
            <w:vAlign w:val="center"/>
          </w:tcPr>
          <w:p>
            <w:pPr>
              <w:spacing w:after="0"/>
            </w:pPr>
            <w:r>
              <w:rPr>
                <w:rFonts w:ascii="Arial" w:hAnsi="Arial"/>
                <w:sz w:val="16"/>
              </w:rPr>
              <w:t>FR-015</w:t>
            </w:r>
          </w:p>
        </w:tc>
        <w:tc>
          <w:tcPr>
            <w:tcW w:type="dxa" w:w="1944"/>
            <w:vAlign w:val="center"/>
          </w:tcPr>
          <w:p>
            <w:pPr>
              <w:spacing w:after="0"/>
            </w:pPr>
            <w:r>
              <w:rPr>
                <w:rFonts w:ascii="Arial" w:hAnsi="Arial"/>
                <w:sz w:val="16"/>
              </w:rPr>
              <w:t>Completeness</w:t>
            </w:r>
          </w:p>
        </w:tc>
        <w:tc>
          <w:tcPr>
            <w:tcW w:type="dxa" w:w="6336"/>
            <w:vAlign w:val="center"/>
          </w:tcPr>
          <w:p>
            <w:pPr>
              <w:spacing w:after="0"/>
            </w:pPr>
            <w:r>
              <w:rPr>
                <w:rFonts w:ascii="Arial" w:hAnsi="Arial"/>
                <w:sz w:val="16"/>
              </w:rPr>
              <w:t>Track missing/incomplete required forms separately from missed appointments and pending results.</w:t>
            </w:r>
          </w:p>
        </w:tc>
      </w:tr>
      <w:tr>
        <w:tc>
          <w:tcPr>
            <w:tcW w:type="dxa" w:w="1080"/>
            <w:vAlign w:val="center"/>
          </w:tcPr>
          <w:p>
            <w:pPr>
              <w:spacing w:after="0"/>
            </w:pPr>
            <w:r>
              <w:rPr>
                <w:rFonts w:ascii="Arial" w:hAnsi="Arial"/>
                <w:sz w:val="16"/>
              </w:rPr>
              <w:t>FR-016</w:t>
            </w:r>
          </w:p>
        </w:tc>
        <w:tc>
          <w:tcPr>
            <w:tcW w:type="dxa" w:w="1944"/>
            <w:vAlign w:val="center"/>
          </w:tcPr>
          <w:p>
            <w:pPr>
              <w:spacing w:after="0"/>
            </w:pPr>
            <w:r>
              <w:rPr>
                <w:rFonts w:ascii="Arial" w:hAnsi="Arial"/>
                <w:sz w:val="16"/>
              </w:rPr>
              <w:t>Home visits</w:t>
            </w:r>
          </w:p>
        </w:tc>
        <w:tc>
          <w:tcPr>
            <w:tcW w:type="dxa" w:w="6336"/>
            <w:vAlign w:val="center"/>
          </w:tcPr>
          <w:p>
            <w:pPr>
              <w:spacing w:after="0"/>
            </w:pPr>
            <w:r>
              <w:rPr>
                <w:rFonts w:ascii="Arial" w:hAnsi="Arial"/>
                <w:sz w:val="16"/>
              </w:rPr>
              <w:t>Record attempts and outcomes: completed, patient absent, refused, rescheduled or unsuccessful.</w:t>
            </w:r>
          </w:p>
        </w:tc>
      </w:tr>
      <w:tr>
        <w:tc>
          <w:tcPr>
            <w:tcW w:type="dxa" w:w="1080"/>
            <w:vAlign w:val="center"/>
          </w:tcPr>
          <w:p>
            <w:pPr>
              <w:spacing w:after="0"/>
            </w:pPr>
            <w:r>
              <w:rPr>
                <w:rFonts w:ascii="Arial" w:hAnsi="Arial"/>
                <w:sz w:val="16"/>
              </w:rPr>
              <w:t>FR-017</w:t>
            </w:r>
          </w:p>
        </w:tc>
        <w:tc>
          <w:tcPr>
            <w:tcW w:type="dxa" w:w="1944"/>
            <w:vAlign w:val="center"/>
          </w:tcPr>
          <w:p>
            <w:pPr>
              <w:spacing w:after="0"/>
            </w:pPr>
            <w:r>
              <w:rPr>
                <w:rFonts w:ascii="Arial" w:hAnsi="Arial"/>
                <w:sz w:val="16"/>
              </w:rPr>
              <w:t>Scheduling</w:t>
            </w:r>
          </w:p>
        </w:tc>
        <w:tc>
          <w:tcPr>
            <w:tcW w:type="dxa" w:w="6336"/>
            <w:vAlign w:val="center"/>
          </w:tcPr>
          <w:p>
            <w:pPr>
              <w:spacing w:after="0"/>
            </w:pPr>
            <w:r>
              <w:rPr>
                <w:rFonts w:ascii="Arial" w:hAnsi="Arial"/>
                <w:sz w:val="16"/>
              </w:rPr>
              <w:t>Support interval, anchor, maximum duration, future count, automatic/manual generation and versioning.</w:t>
            </w:r>
          </w:p>
        </w:tc>
      </w:tr>
      <w:tr>
        <w:tc>
          <w:tcPr>
            <w:tcW w:type="dxa" w:w="1080"/>
            <w:vAlign w:val="center"/>
          </w:tcPr>
          <w:p>
            <w:pPr>
              <w:spacing w:after="0"/>
            </w:pPr>
            <w:r>
              <w:rPr>
                <w:rFonts w:ascii="Arial" w:hAnsi="Arial"/>
                <w:sz w:val="16"/>
              </w:rPr>
              <w:t>FR-018</w:t>
            </w:r>
          </w:p>
        </w:tc>
        <w:tc>
          <w:tcPr>
            <w:tcW w:type="dxa" w:w="1944"/>
            <w:vAlign w:val="center"/>
          </w:tcPr>
          <w:p>
            <w:pPr>
              <w:spacing w:after="0"/>
            </w:pPr>
            <w:r>
              <w:rPr>
                <w:rFonts w:ascii="Arial" w:hAnsi="Arial"/>
                <w:sz w:val="16"/>
              </w:rPr>
              <w:t>Historical schedules</w:t>
            </w:r>
          </w:p>
        </w:tc>
        <w:tc>
          <w:tcPr>
            <w:tcW w:type="dxa" w:w="6336"/>
            <w:vAlign w:val="center"/>
          </w:tcPr>
          <w:p>
            <w:pPr>
              <w:spacing w:after="0"/>
            </w:pPr>
            <w:r>
              <w:rPr>
                <w:rFonts w:ascii="Arial" w:hAnsi="Arial"/>
                <w:sz w:val="16"/>
              </w:rPr>
              <w:t>Generate expected historical visits without automatically labelling them missed.</w:t>
            </w:r>
          </w:p>
        </w:tc>
      </w:tr>
      <w:tr>
        <w:tc>
          <w:tcPr>
            <w:tcW w:type="dxa" w:w="1080"/>
            <w:vAlign w:val="center"/>
          </w:tcPr>
          <w:p>
            <w:pPr>
              <w:spacing w:after="0"/>
            </w:pPr>
            <w:r>
              <w:rPr>
                <w:rFonts w:ascii="Arial" w:hAnsi="Arial"/>
                <w:sz w:val="16"/>
              </w:rPr>
              <w:t>FR-019</w:t>
            </w:r>
          </w:p>
        </w:tc>
        <w:tc>
          <w:tcPr>
            <w:tcW w:type="dxa" w:w="1944"/>
            <w:vAlign w:val="center"/>
          </w:tcPr>
          <w:p>
            <w:pPr>
              <w:spacing w:after="0"/>
            </w:pPr>
            <w:r>
              <w:rPr>
                <w:rFonts w:ascii="Arial" w:hAnsi="Arial"/>
                <w:sz w:val="16"/>
              </w:rPr>
              <w:t>Laboratory</w:t>
            </w:r>
          </w:p>
        </w:tc>
        <w:tc>
          <w:tcPr>
            <w:tcW w:type="dxa" w:w="6336"/>
            <w:vAlign w:val="center"/>
          </w:tcPr>
          <w:p>
            <w:pPr>
              <w:spacing w:after="0"/>
            </w:pPr>
            <w:r>
              <w:rPr>
                <w:rFonts w:ascii="Arial" w:hAnsi="Arial"/>
                <w:sz w:val="16"/>
              </w:rPr>
              <w:t>Support catalogue, orders, specimens, results, validation, amendments, cancellations and pending results.</w:t>
            </w:r>
          </w:p>
        </w:tc>
      </w:tr>
      <w:tr>
        <w:tc>
          <w:tcPr>
            <w:tcW w:type="dxa" w:w="1080"/>
            <w:vAlign w:val="center"/>
          </w:tcPr>
          <w:p>
            <w:pPr>
              <w:spacing w:after="0"/>
            </w:pPr>
            <w:r>
              <w:rPr>
                <w:rFonts w:ascii="Arial" w:hAnsi="Arial"/>
                <w:sz w:val="16"/>
              </w:rPr>
              <w:t>FR-020</w:t>
            </w:r>
          </w:p>
        </w:tc>
        <w:tc>
          <w:tcPr>
            <w:tcW w:type="dxa" w:w="1944"/>
            <w:vAlign w:val="center"/>
          </w:tcPr>
          <w:p>
            <w:pPr>
              <w:spacing w:after="0"/>
            </w:pPr>
            <w:r>
              <w:rPr>
                <w:rFonts w:ascii="Arial" w:hAnsi="Arial"/>
                <w:sz w:val="16"/>
              </w:rPr>
              <w:t>Investigations</w:t>
            </w:r>
          </w:p>
        </w:tc>
        <w:tc>
          <w:tcPr>
            <w:tcW w:type="dxa" w:w="6336"/>
            <w:vAlign w:val="center"/>
          </w:tcPr>
          <w:p>
            <w:pPr>
              <w:spacing w:after="0"/>
            </w:pPr>
            <w:r>
              <w:rPr>
                <w:rFonts w:ascii="Arial" w:hAnsi="Arial"/>
                <w:sz w:val="16"/>
              </w:rPr>
              <w:t>Support ECG, echo, imaging and other procedure request, scheduling, result/report and review.</w:t>
            </w:r>
          </w:p>
        </w:tc>
      </w:tr>
      <w:tr>
        <w:tc>
          <w:tcPr>
            <w:tcW w:type="dxa" w:w="1080"/>
            <w:vAlign w:val="center"/>
          </w:tcPr>
          <w:p>
            <w:pPr>
              <w:spacing w:after="0"/>
            </w:pPr>
            <w:r>
              <w:rPr>
                <w:rFonts w:ascii="Arial" w:hAnsi="Arial"/>
                <w:sz w:val="16"/>
              </w:rPr>
              <w:t>FR-021</w:t>
            </w:r>
          </w:p>
        </w:tc>
        <w:tc>
          <w:tcPr>
            <w:tcW w:type="dxa" w:w="1944"/>
            <w:vAlign w:val="center"/>
          </w:tcPr>
          <w:p>
            <w:pPr>
              <w:spacing w:after="0"/>
            </w:pPr>
            <w:r>
              <w:rPr>
                <w:rFonts w:ascii="Arial" w:hAnsi="Arial"/>
                <w:sz w:val="16"/>
              </w:rPr>
              <w:t>Pharmacy</w:t>
            </w:r>
          </w:p>
        </w:tc>
        <w:tc>
          <w:tcPr>
            <w:tcW w:type="dxa" w:w="6336"/>
            <w:vAlign w:val="center"/>
          </w:tcPr>
          <w:p>
            <w:pPr>
              <w:spacing w:after="0"/>
            </w:pPr>
            <w:r>
              <w:rPr>
                <w:rFonts w:ascii="Arial" w:hAnsi="Arial"/>
                <w:sz w:val="16"/>
              </w:rPr>
              <w:t>Support medicines, batches, expiry, stock movements, prescriptions, dispensing and auditable adjustments.</w:t>
            </w:r>
          </w:p>
        </w:tc>
      </w:tr>
      <w:tr>
        <w:tc>
          <w:tcPr>
            <w:tcW w:type="dxa" w:w="1080"/>
            <w:vAlign w:val="center"/>
          </w:tcPr>
          <w:p>
            <w:pPr>
              <w:spacing w:after="0"/>
            </w:pPr>
            <w:r>
              <w:rPr>
                <w:rFonts w:ascii="Arial" w:hAnsi="Arial"/>
                <w:sz w:val="16"/>
              </w:rPr>
              <w:t>FR-022</w:t>
            </w:r>
          </w:p>
        </w:tc>
        <w:tc>
          <w:tcPr>
            <w:tcW w:type="dxa" w:w="1944"/>
            <w:vAlign w:val="center"/>
          </w:tcPr>
          <w:p>
            <w:pPr>
              <w:spacing w:after="0"/>
            </w:pPr>
            <w:r>
              <w:rPr>
                <w:rFonts w:ascii="Arial" w:hAnsi="Arial"/>
                <w:sz w:val="16"/>
              </w:rPr>
              <w:t>Admissions</w:t>
            </w:r>
          </w:p>
        </w:tc>
        <w:tc>
          <w:tcPr>
            <w:tcW w:type="dxa" w:w="6336"/>
            <w:vAlign w:val="center"/>
          </w:tcPr>
          <w:p>
            <w:pPr>
              <w:spacing w:after="0"/>
            </w:pPr>
            <w:r>
              <w:rPr>
                <w:rFonts w:ascii="Arial" w:hAnsi="Arial"/>
                <w:sz w:val="16"/>
              </w:rPr>
              <w:t>Support multiple admission/discharge episodes, separate from outpatient encounters.</w:t>
            </w:r>
          </w:p>
        </w:tc>
      </w:tr>
      <w:tr>
        <w:tc>
          <w:tcPr>
            <w:tcW w:type="dxa" w:w="1080"/>
            <w:vAlign w:val="center"/>
          </w:tcPr>
          <w:p>
            <w:pPr>
              <w:spacing w:after="0"/>
            </w:pPr>
            <w:r>
              <w:rPr>
                <w:rFonts w:ascii="Arial" w:hAnsi="Arial"/>
                <w:sz w:val="16"/>
              </w:rPr>
              <w:t>FR-023</w:t>
            </w:r>
          </w:p>
        </w:tc>
        <w:tc>
          <w:tcPr>
            <w:tcW w:type="dxa" w:w="1944"/>
            <w:vAlign w:val="center"/>
          </w:tcPr>
          <w:p>
            <w:pPr>
              <w:spacing w:after="0"/>
            </w:pPr>
            <w:r>
              <w:rPr>
                <w:rFonts w:ascii="Arial" w:hAnsi="Arial"/>
                <w:sz w:val="16"/>
              </w:rPr>
              <w:t>Transfers</w:t>
            </w:r>
          </w:p>
        </w:tc>
        <w:tc>
          <w:tcPr>
            <w:tcW w:type="dxa" w:w="6336"/>
            <w:vAlign w:val="center"/>
          </w:tcPr>
          <w:p>
            <w:pPr>
              <w:spacing w:after="0"/>
            </w:pPr>
            <w:r>
              <w:rPr>
                <w:rFonts w:ascii="Arial" w:hAnsi="Arial"/>
                <w:sz w:val="16"/>
              </w:rPr>
              <w:t>Preserve original registration, enrollment facility, current assignment and complete transfer history.</w:t>
            </w:r>
          </w:p>
        </w:tc>
      </w:tr>
      <w:tr>
        <w:tc>
          <w:tcPr>
            <w:tcW w:type="dxa" w:w="1080"/>
            <w:vAlign w:val="center"/>
          </w:tcPr>
          <w:p>
            <w:pPr>
              <w:spacing w:after="0"/>
            </w:pPr>
            <w:r>
              <w:rPr>
                <w:rFonts w:ascii="Arial" w:hAnsi="Arial"/>
                <w:sz w:val="16"/>
              </w:rPr>
              <w:t>FR-024</w:t>
            </w:r>
          </w:p>
        </w:tc>
        <w:tc>
          <w:tcPr>
            <w:tcW w:type="dxa" w:w="1944"/>
            <w:vAlign w:val="center"/>
          </w:tcPr>
          <w:p>
            <w:pPr>
              <w:spacing w:after="0"/>
            </w:pPr>
            <w:r>
              <w:rPr>
                <w:rFonts w:ascii="Arial" w:hAnsi="Arial"/>
                <w:sz w:val="16"/>
              </w:rPr>
              <w:t>Transfer reporting</w:t>
            </w:r>
          </w:p>
        </w:tc>
        <w:tc>
          <w:tcPr>
            <w:tcW w:type="dxa" w:w="6336"/>
            <w:vAlign w:val="center"/>
          </w:tcPr>
          <w:p>
            <w:pPr>
              <w:spacing w:after="0"/>
            </w:pPr>
            <w:r>
              <w:rPr>
                <w:rFonts w:ascii="Arial" w:hAnsi="Arial"/>
                <w:sz w:val="16"/>
              </w:rPr>
              <w:t>Report transfer-in/out events by facility/period and current assigned patients separately.</w:t>
            </w:r>
          </w:p>
        </w:tc>
      </w:tr>
      <w:tr>
        <w:tc>
          <w:tcPr>
            <w:tcW w:type="dxa" w:w="1080"/>
            <w:vAlign w:val="center"/>
          </w:tcPr>
          <w:p>
            <w:pPr>
              <w:spacing w:after="0"/>
            </w:pPr>
            <w:r>
              <w:rPr>
                <w:rFonts w:ascii="Arial" w:hAnsi="Arial"/>
                <w:sz w:val="16"/>
              </w:rPr>
              <w:t>FR-025</w:t>
            </w:r>
          </w:p>
        </w:tc>
        <w:tc>
          <w:tcPr>
            <w:tcW w:type="dxa" w:w="1944"/>
            <w:vAlign w:val="center"/>
          </w:tcPr>
          <w:p>
            <w:pPr>
              <w:spacing w:after="0"/>
            </w:pPr>
            <w:r>
              <w:rPr>
                <w:rFonts w:ascii="Arial" w:hAnsi="Arial"/>
                <w:sz w:val="16"/>
              </w:rPr>
              <w:t>Audit</w:t>
            </w:r>
          </w:p>
        </w:tc>
        <w:tc>
          <w:tcPr>
            <w:tcW w:type="dxa" w:w="6336"/>
            <w:vAlign w:val="center"/>
          </w:tcPr>
          <w:p>
            <w:pPr>
              <w:spacing w:after="0"/>
            </w:pPr>
            <w:r>
              <w:rPr>
                <w:rFonts w:ascii="Arial" w:hAnsi="Arial"/>
                <w:sz w:val="16"/>
              </w:rPr>
              <w:t>Record actor, timestamp, action, target, appropriate before/after values and reason for sensitive changes.</w:t>
            </w:r>
          </w:p>
        </w:tc>
      </w:tr>
      <w:tr>
        <w:tc>
          <w:tcPr>
            <w:tcW w:type="dxa" w:w="1080"/>
            <w:vAlign w:val="center"/>
          </w:tcPr>
          <w:p>
            <w:pPr>
              <w:spacing w:after="0"/>
            </w:pPr>
            <w:r>
              <w:rPr>
                <w:rFonts w:ascii="Arial" w:hAnsi="Arial"/>
                <w:sz w:val="16"/>
              </w:rPr>
              <w:t>FR-026</w:t>
            </w:r>
          </w:p>
        </w:tc>
        <w:tc>
          <w:tcPr>
            <w:tcW w:type="dxa" w:w="1944"/>
            <w:vAlign w:val="center"/>
          </w:tcPr>
          <w:p>
            <w:pPr>
              <w:spacing w:after="0"/>
            </w:pPr>
            <w:r>
              <w:rPr>
                <w:rFonts w:ascii="Arial" w:hAnsi="Arial"/>
                <w:sz w:val="16"/>
              </w:rPr>
              <w:t>Soft deletion</w:t>
            </w:r>
          </w:p>
        </w:tc>
        <w:tc>
          <w:tcPr>
            <w:tcW w:type="dxa" w:w="6336"/>
            <w:vAlign w:val="center"/>
          </w:tcPr>
          <w:p>
            <w:pPr>
              <w:spacing w:after="0"/>
            </w:pPr>
            <w:r>
              <w:rPr>
                <w:rFonts w:ascii="Arial" w:hAnsi="Arial"/>
                <w:sz w:val="16"/>
              </w:rPr>
              <w:t>Ordinary deletion is recoverable; permanent deletion is exceptional and tightly controlled.</w:t>
            </w:r>
          </w:p>
        </w:tc>
      </w:tr>
      <w:tr>
        <w:tc>
          <w:tcPr>
            <w:tcW w:type="dxa" w:w="1080"/>
            <w:vAlign w:val="center"/>
          </w:tcPr>
          <w:p>
            <w:pPr>
              <w:spacing w:after="0"/>
            </w:pPr>
            <w:r>
              <w:rPr>
                <w:rFonts w:ascii="Arial" w:hAnsi="Arial"/>
                <w:sz w:val="16"/>
              </w:rPr>
              <w:t>FR-027</w:t>
            </w:r>
          </w:p>
        </w:tc>
        <w:tc>
          <w:tcPr>
            <w:tcW w:type="dxa" w:w="1944"/>
            <w:vAlign w:val="center"/>
          </w:tcPr>
          <w:p>
            <w:pPr>
              <w:spacing w:after="0"/>
            </w:pPr>
            <w:r>
              <w:rPr>
                <w:rFonts w:ascii="Arial" w:hAnsi="Arial"/>
                <w:sz w:val="16"/>
              </w:rPr>
              <w:t>Staff lifecycle</w:t>
            </w:r>
          </w:p>
        </w:tc>
        <w:tc>
          <w:tcPr>
            <w:tcW w:type="dxa" w:w="6336"/>
            <w:vAlign w:val="center"/>
          </w:tcPr>
          <w:p>
            <w:pPr>
              <w:spacing w:after="0"/>
            </w:pPr>
            <w:r>
              <w:rPr>
                <w:rFonts w:ascii="Arial" w:hAnsi="Arial"/>
                <w:sz w:val="16"/>
              </w:rPr>
              <w:t>Deactivate/reactivate staff without deleting historical attribution.</w:t>
            </w:r>
          </w:p>
        </w:tc>
      </w:tr>
      <w:tr>
        <w:tc>
          <w:tcPr>
            <w:tcW w:type="dxa" w:w="1080"/>
            <w:vAlign w:val="center"/>
          </w:tcPr>
          <w:p>
            <w:pPr>
              <w:spacing w:after="0"/>
            </w:pPr>
            <w:r>
              <w:rPr>
                <w:rFonts w:ascii="Arial" w:hAnsi="Arial"/>
                <w:sz w:val="16"/>
              </w:rPr>
              <w:t>FR-028</w:t>
            </w:r>
          </w:p>
        </w:tc>
        <w:tc>
          <w:tcPr>
            <w:tcW w:type="dxa" w:w="1944"/>
            <w:vAlign w:val="center"/>
          </w:tcPr>
          <w:p>
            <w:pPr>
              <w:spacing w:after="0"/>
            </w:pPr>
            <w:r>
              <w:rPr>
                <w:rFonts w:ascii="Arial" w:hAnsi="Arial"/>
                <w:sz w:val="16"/>
              </w:rPr>
              <w:t>Phone verification</w:t>
            </w:r>
          </w:p>
        </w:tc>
        <w:tc>
          <w:tcPr>
            <w:tcW w:type="dxa" w:w="6336"/>
            <w:vAlign w:val="center"/>
          </w:tcPr>
          <w:p>
            <w:pPr>
              <w:spacing w:after="0"/>
            </w:pPr>
            <w:r>
              <w:rPr>
                <w:rFonts w:ascii="Arial" w:hAnsi="Arial"/>
                <w:sz w:val="16"/>
              </w:rPr>
              <w:t>Support time-limited, single-use OTP/link, rate limits, attempt limits and audit.</w:t>
            </w:r>
          </w:p>
        </w:tc>
      </w:tr>
      <w:tr>
        <w:tc>
          <w:tcPr>
            <w:tcW w:type="dxa" w:w="1080"/>
            <w:vAlign w:val="center"/>
          </w:tcPr>
          <w:p>
            <w:pPr>
              <w:spacing w:after="0"/>
            </w:pPr>
            <w:r>
              <w:rPr>
                <w:rFonts w:ascii="Arial" w:hAnsi="Arial"/>
                <w:sz w:val="16"/>
              </w:rPr>
              <w:t>FR-029</w:t>
            </w:r>
          </w:p>
        </w:tc>
        <w:tc>
          <w:tcPr>
            <w:tcW w:type="dxa" w:w="1944"/>
            <w:vAlign w:val="center"/>
          </w:tcPr>
          <w:p>
            <w:pPr>
              <w:spacing w:after="0"/>
            </w:pPr>
            <w:r>
              <w:rPr>
                <w:rFonts w:ascii="Arial" w:hAnsi="Arial"/>
                <w:sz w:val="16"/>
              </w:rPr>
              <w:t>Staff onboarding email</w:t>
            </w:r>
          </w:p>
        </w:tc>
        <w:tc>
          <w:tcPr>
            <w:tcW w:type="dxa" w:w="6336"/>
            <w:vAlign w:val="center"/>
          </w:tcPr>
          <w:p>
            <w:pPr>
              <w:spacing w:after="0"/>
            </w:pPr>
            <w:r>
              <w:rPr>
                <w:rFonts w:ascii="Arial" w:hAnsi="Arial"/>
                <w:sz w:val="16"/>
              </w:rPr>
              <w:t>Send system URL and secure activation/set-password link; never email plaintext credentials.</w:t>
            </w:r>
          </w:p>
        </w:tc>
      </w:tr>
      <w:tr>
        <w:tc>
          <w:tcPr>
            <w:tcW w:type="dxa" w:w="1080"/>
            <w:vAlign w:val="center"/>
          </w:tcPr>
          <w:p>
            <w:pPr>
              <w:spacing w:after="0"/>
            </w:pPr>
            <w:r>
              <w:rPr>
                <w:rFonts w:ascii="Arial" w:hAnsi="Arial"/>
                <w:sz w:val="16"/>
              </w:rPr>
              <w:t>FR-030</w:t>
            </w:r>
          </w:p>
        </w:tc>
        <w:tc>
          <w:tcPr>
            <w:tcW w:type="dxa" w:w="1944"/>
            <w:vAlign w:val="center"/>
          </w:tcPr>
          <w:p>
            <w:pPr>
              <w:spacing w:after="0"/>
            </w:pPr>
            <w:r>
              <w:rPr>
                <w:rFonts w:ascii="Arial" w:hAnsi="Arial"/>
                <w:sz w:val="16"/>
              </w:rPr>
              <w:t>Password reset</w:t>
            </w:r>
          </w:p>
        </w:tc>
        <w:tc>
          <w:tcPr>
            <w:tcW w:type="dxa" w:w="6336"/>
            <w:vAlign w:val="center"/>
          </w:tcPr>
          <w:p>
            <w:pPr>
              <w:spacing w:after="0"/>
            </w:pPr>
            <w:r>
              <w:rPr>
                <w:rFonts w:ascii="Arial" w:hAnsi="Arial"/>
                <w:sz w:val="16"/>
              </w:rPr>
              <w:t>Send time-limited reset link, invalidate used/expired tokens, rate-limit and log safely.</w:t>
            </w:r>
          </w:p>
        </w:tc>
      </w:tr>
      <w:tr>
        <w:tc>
          <w:tcPr>
            <w:tcW w:type="dxa" w:w="1080"/>
            <w:vAlign w:val="center"/>
          </w:tcPr>
          <w:p>
            <w:pPr>
              <w:spacing w:after="0"/>
            </w:pPr>
            <w:r>
              <w:rPr>
                <w:rFonts w:ascii="Arial" w:hAnsi="Arial"/>
                <w:sz w:val="16"/>
              </w:rPr>
              <w:t>FR-031</w:t>
            </w:r>
          </w:p>
        </w:tc>
        <w:tc>
          <w:tcPr>
            <w:tcW w:type="dxa" w:w="1944"/>
            <w:vAlign w:val="center"/>
          </w:tcPr>
          <w:p>
            <w:pPr>
              <w:spacing w:after="0"/>
            </w:pPr>
            <w:r>
              <w:rPr>
                <w:rFonts w:ascii="Arial" w:hAnsi="Arial"/>
                <w:sz w:val="16"/>
              </w:rPr>
              <w:t>Patient SMS reminders</w:t>
            </w:r>
          </w:p>
        </w:tc>
        <w:tc>
          <w:tcPr>
            <w:tcW w:type="dxa" w:w="6336"/>
            <w:vAlign w:val="center"/>
          </w:tcPr>
          <w:p>
            <w:pPr>
              <w:spacing w:after="0"/>
            </w:pPr>
            <w:r>
              <w:rPr>
                <w:rFonts w:ascii="Arial" w:hAnsi="Arial"/>
                <w:sz w:val="16"/>
              </w:rPr>
              <w:t>Schedule reminders one day before and on appointment day for eligible visits, subject to contact preference and policy.</w:t>
            </w:r>
          </w:p>
        </w:tc>
      </w:tr>
      <w:tr>
        <w:tc>
          <w:tcPr>
            <w:tcW w:type="dxa" w:w="1080"/>
            <w:vAlign w:val="center"/>
          </w:tcPr>
          <w:p>
            <w:pPr>
              <w:spacing w:after="0"/>
            </w:pPr>
            <w:r>
              <w:rPr>
                <w:rFonts w:ascii="Arial" w:hAnsi="Arial"/>
                <w:sz w:val="16"/>
              </w:rPr>
              <w:t>FR-032</w:t>
            </w:r>
          </w:p>
        </w:tc>
        <w:tc>
          <w:tcPr>
            <w:tcW w:type="dxa" w:w="1944"/>
            <w:vAlign w:val="center"/>
          </w:tcPr>
          <w:p>
            <w:pPr>
              <w:spacing w:after="0"/>
            </w:pPr>
            <w:r>
              <w:rPr>
                <w:rFonts w:ascii="Arial" w:hAnsi="Arial"/>
                <w:sz w:val="16"/>
              </w:rPr>
              <w:t>Message delivery tracking</w:t>
            </w:r>
          </w:p>
        </w:tc>
        <w:tc>
          <w:tcPr>
            <w:tcW w:type="dxa" w:w="6336"/>
            <w:vAlign w:val="center"/>
          </w:tcPr>
          <w:p>
            <w:pPr>
              <w:spacing w:after="0"/>
            </w:pPr>
            <w:r>
              <w:rPr>
                <w:rFonts w:ascii="Arial" w:hAnsi="Arial"/>
                <w:sz w:val="16"/>
              </w:rPr>
              <w:t>Log status, provider reference, timestamps, failure and retry attempts where supported.</w:t>
            </w:r>
          </w:p>
        </w:tc>
      </w:tr>
      <w:tr>
        <w:tc>
          <w:tcPr>
            <w:tcW w:type="dxa" w:w="1080"/>
            <w:vAlign w:val="center"/>
          </w:tcPr>
          <w:p>
            <w:pPr>
              <w:spacing w:after="0"/>
            </w:pPr>
            <w:r>
              <w:rPr>
                <w:rFonts w:ascii="Arial" w:hAnsi="Arial"/>
                <w:sz w:val="16"/>
              </w:rPr>
              <w:t>FR-033</w:t>
            </w:r>
          </w:p>
        </w:tc>
        <w:tc>
          <w:tcPr>
            <w:tcW w:type="dxa" w:w="1944"/>
            <w:vAlign w:val="center"/>
          </w:tcPr>
          <w:p>
            <w:pPr>
              <w:spacing w:after="0"/>
            </w:pPr>
            <w:r>
              <w:rPr>
                <w:rFonts w:ascii="Arial" w:hAnsi="Arial"/>
                <w:sz w:val="16"/>
              </w:rPr>
              <w:t>Monthly enrollment report</w:t>
            </w:r>
          </w:p>
        </w:tc>
        <w:tc>
          <w:tcPr>
            <w:tcW w:type="dxa" w:w="6336"/>
            <w:vAlign w:val="center"/>
          </w:tcPr>
          <w:p>
            <w:pPr>
              <w:spacing w:after="0"/>
            </w:pPr>
            <w:r>
              <w:rPr>
                <w:rFonts w:ascii="Arial" w:hAnsi="Arial"/>
                <w:sz w:val="16"/>
              </w:rPr>
              <w:t>Generate a report of enrolled patients within each recipient's access scope and deliver on the last Sunday monthly.</w:t>
            </w:r>
          </w:p>
        </w:tc>
      </w:tr>
      <w:tr>
        <w:tc>
          <w:tcPr>
            <w:tcW w:type="dxa" w:w="1080"/>
            <w:vAlign w:val="center"/>
          </w:tcPr>
          <w:p>
            <w:pPr>
              <w:spacing w:after="0"/>
            </w:pPr>
            <w:r>
              <w:rPr>
                <w:rFonts w:ascii="Arial" w:hAnsi="Arial"/>
                <w:sz w:val="16"/>
              </w:rPr>
              <w:t>FR-034</w:t>
            </w:r>
          </w:p>
        </w:tc>
        <w:tc>
          <w:tcPr>
            <w:tcW w:type="dxa" w:w="1944"/>
            <w:vAlign w:val="center"/>
          </w:tcPr>
          <w:p>
            <w:pPr>
              <w:spacing w:after="0"/>
            </w:pPr>
            <w:r>
              <w:rPr>
                <w:rFonts w:ascii="Arial" w:hAnsi="Arial"/>
                <w:sz w:val="16"/>
              </w:rPr>
              <w:t>Scope-safe reports</w:t>
            </w:r>
          </w:p>
        </w:tc>
        <w:tc>
          <w:tcPr>
            <w:tcW w:type="dxa" w:w="6336"/>
            <w:vAlign w:val="center"/>
          </w:tcPr>
          <w:p>
            <w:pPr>
              <w:spacing w:after="0"/>
            </w:pPr>
            <w:r>
              <w:rPr>
                <w:rFonts w:ascii="Arial" w:hAnsi="Arial"/>
                <w:sz w:val="16"/>
              </w:rPr>
              <w:t>Enforce recipient's current facility/geographic/module permissions at generation and delivery.</w:t>
            </w:r>
          </w:p>
        </w:tc>
      </w:tr>
      <w:tr>
        <w:tc>
          <w:tcPr>
            <w:tcW w:type="dxa" w:w="1080"/>
            <w:vAlign w:val="center"/>
          </w:tcPr>
          <w:p>
            <w:pPr>
              <w:spacing w:after="0"/>
            </w:pPr>
            <w:r>
              <w:rPr>
                <w:rFonts w:ascii="Arial" w:hAnsi="Arial"/>
                <w:sz w:val="16"/>
              </w:rPr>
              <w:t>FR-035</w:t>
            </w:r>
          </w:p>
        </w:tc>
        <w:tc>
          <w:tcPr>
            <w:tcW w:type="dxa" w:w="1944"/>
            <w:vAlign w:val="center"/>
          </w:tcPr>
          <w:p>
            <w:pPr>
              <w:spacing w:after="0"/>
            </w:pPr>
            <w:r>
              <w:rPr>
                <w:rFonts w:ascii="Arial" w:hAnsi="Arial"/>
                <w:sz w:val="16"/>
              </w:rPr>
              <w:t>Report privacy</w:t>
            </w:r>
          </w:p>
        </w:tc>
        <w:tc>
          <w:tcPr>
            <w:tcW w:type="dxa" w:w="6336"/>
            <w:vAlign w:val="center"/>
          </w:tcPr>
          <w:p>
            <w:pPr>
              <w:spacing w:after="0"/>
            </w:pPr>
            <w:r>
              <w:rPr>
                <w:rFonts w:ascii="Arial" w:hAnsi="Arial"/>
                <w:sz w:val="16"/>
              </w:rPr>
              <w:t>Minimize email content; protect patient-level identifiable attachments.</w:t>
            </w:r>
          </w:p>
        </w:tc>
      </w:tr>
      <w:tr>
        <w:tc>
          <w:tcPr>
            <w:tcW w:type="dxa" w:w="1080"/>
            <w:vAlign w:val="center"/>
          </w:tcPr>
          <w:p>
            <w:pPr>
              <w:spacing w:after="0"/>
            </w:pPr>
            <w:r>
              <w:rPr>
                <w:rFonts w:ascii="Arial" w:hAnsi="Arial"/>
                <w:sz w:val="16"/>
              </w:rPr>
              <w:t>FR-036</w:t>
            </w:r>
          </w:p>
        </w:tc>
        <w:tc>
          <w:tcPr>
            <w:tcW w:type="dxa" w:w="1944"/>
            <w:vAlign w:val="center"/>
          </w:tcPr>
          <w:p>
            <w:pPr>
              <w:spacing w:after="0"/>
            </w:pPr>
            <w:r>
              <w:rPr>
                <w:rFonts w:ascii="Arial" w:hAnsi="Arial"/>
                <w:sz w:val="16"/>
              </w:rPr>
              <w:t>Notification administration</w:t>
            </w:r>
          </w:p>
        </w:tc>
        <w:tc>
          <w:tcPr>
            <w:tcW w:type="dxa" w:w="6336"/>
            <w:vAlign w:val="center"/>
          </w:tcPr>
          <w:p>
            <w:pPr>
              <w:spacing w:after="0"/>
            </w:pPr>
            <w:r>
              <w:rPr>
                <w:rFonts w:ascii="Arial" w:hAnsi="Arial"/>
                <w:sz w:val="16"/>
              </w:rPr>
              <w:t>Support templates, provider settings, logs, retry rules and scoped recipients.</w:t>
            </w:r>
          </w:p>
        </w:tc>
      </w:tr>
      <w:tr>
        <w:tc>
          <w:tcPr>
            <w:tcW w:type="dxa" w:w="1080"/>
            <w:vAlign w:val="center"/>
          </w:tcPr>
          <w:p>
            <w:pPr>
              <w:spacing w:after="0"/>
            </w:pPr>
            <w:r>
              <w:rPr>
                <w:rFonts w:ascii="Arial" w:hAnsi="Arial"/>
                <w:sz w:val="16"/>
              </w:rPr>
              <w:t>FR-037</w:t>
            </w:r>
          </w:p>
        </w:tc>
        <w:tc>
          <w:tcPr>
            <w:tcW w:type="dxa" w:w="1944"/>
            <w:vAlign w:val="center"/>
          </w:tcPr>
          <w:p>
            <w:pPr>
              <w:spacing w:after="0"/>
            </w:pPr>
            <w:r>
              <w:rPr>
                <w:rFonts w:ascii="Arial" w:hAnsi="Arial"/>
                <w:sz w:val="16"/>
              </w:rPr>
              <w:t>Future record locking</w:t>
            </w:r>
          </w:p>
        </w:tc>
        <w:tc>
          <w:tcPr>
            <w:tcW w:type="dxa" w:w="6336"/>
            <w:vAlign w:val="center"/>
          </w:tcPr>
          <w:p>
            <w:pPr>
              <w:spacing w:after="0"/>
            </w:pPr>
            <w:r>
              <w:rPr>
                <w:rFonts w:ascii="Arial" w:hAnsi="Arial"/>
                <w:sz w:val="16"/>
              </w:rPr>
              <w:t>Design for future field/form/encounter/patient locking with authorized unlock and audit.</w:t>
            </w:r>
          </w:p>
        </w:tc>
      </w:tr>
      <w:tr>
        <w:tc>
          <w:tcPr>
            <w:tcW w:type="dxa" w:w="1080"/>
            <w:vAlign w:val="center"/>
          </w:tcPr>
          <w:p>
            <w:pPr>
              <w:spacing w:after="0"/>
            </w:pPr>
            <w:r>
              <w:rPr>
                <w:rFonts w:ascii="Arial" w:hAnsi="Arial"/>
                <w:sz w:val="16"/>
              </w:rPr>
              <w:t>FR-038</w:t>
            </w:r>
          </w:p>
        </w:tc>
        <w:tc>
          <w:tcPr>
            <w:tcW w:type="dxa" w:w="1944"/>
            <w:vAlign w:val="center"/>
          </w:tcPr>
          <w:p>
            <w:pPr>
              <w:spacing w:after="0"/>
            </w:pPr>
            <w:r>
              <w:rPr>
                <w:rFonts w:ascii="Arial" w:hAnsi="Arial"/>
                <w:sz w:val="16"/>
              </w:rPr>
              <w:t>Future data queries</w:t>
            </w:r>
          </w:p>
        </w:tc>
        <w:tc>
          <w:tcPr>
            <w:tcW w:type="dxa" w:w="6336"/>
            <w:vAlign w:val="center"/>
          </w:tcPr>
          <w:p>
            <w:pPr>
              <w:spacing w:after="0"/>
            </w:pPr>
            <w:r>
              <w:rPr>
                <w:rFonts w:ascii="Arial" w:hAnsi="Arial"/>
                <w:sz w:val="16"/>
              </w:rPr>
              <w:t>Design for future query assignment, response, review and resolution with history.</w:t>
            </w:r>
          </w:p>
        </w:tc>
      </w:tr>
      <w:tr>
        <w:tc>
          <w:tcPr>
            <w:tcW w:type="dxa" w:w="1080"/>
            <w:vAlign w:val="center"/>
          </w:tcPr>
          <w:p>
            <w:pPr>
              <w:spacing w:after="0"/>
            </w:pPr>
            <w:r>
              <w:rPr>
                <w:rFonts w:ascii="Arial" w:hAnsi="Arial"/>
                <w:sz w:val="16"/>
              </w:rPr>
              <w:t>FR-039</w:t>
            </w:r>
          </w:p>
        </w:tc>
        <w:tc>
          <w:tcPr>
            <w:tcW w:type="dxa" w:w="1944"/>
            <w:vAlign w:val="center"/>
          </w:tcPr>
          <w:p>
            <w:pPr>
              <w:spacing w:after="0"/>
            </w:pPr>
            <w:r>
              <w:rPr>
                <w:rFonts w:ascii="Arial" w:hAnsi="Arial"/>
                <w:sz w:val="16"/>
              </w:rPr>
              <w:t>Integration</w:t>
            </w:r>
          </w:p>
        </w:tc>
        <w:tc>
          <w:tcPr>
            <w:tcW w:type="dxa" w:w="6336"/>
            <w:vAlign w:val="center"/>
          </w:tcPr>
          <w:p>
            <w:pPr>
              <w:spacing w:after="0"/>
            </w:pPr>
            <w:r>
              <w:rPr>
                <w:rFonts w:ascii="Arial" w:hAnsi="Arial"/>
                <w:sz w:val="16"/>
              </w:rPr>
              <w:t>Maintain external identifiers and controlled integration boundary; verify target interfaces first.</w:t>
            </w:r>
          </w:p>
        </w:tc>
      </w:tr>
      <w:tr>
        <w:tc>
          <w:tcPr>
            <w:tcW w:type="dxa" w:w="1080"/>
            <w:vAlign w:val="center"/>
          </w:tcPr>
          <w:p>
            <w:pPr>
              <w:spacing w:after="0"/>
            </w:pPr>
            <w:r>
              <w:rPr>
                <w:rFonts w:ascii="Arial" w:hAnsi="Arial"/>
                <w:sz w:val="16"/>
              </w:rPr>
              <w:t>FR-040</w:t>
            </w:r>
          </w:p>
        </w:tc>
        <w:tc>
          <w:tcPr>
            <w:tcW w:type="dxa" w:w="1944"/>
            <w:vAlign w:val="center"/>
          </w:tcPr>
          <w:p>
            <w:pPr>
              <w:spacing w:after="0"/>
            </w:pPr>
            <w:r>
              <w:rPr>
                <w:rFonts w:ascii="Arial" w:hAnsi="Arial"/>
                <w:sz w:val="16"/>
              </w:rPr>
              <w:t>Exports</w:t>
            </w:r>
          </w:p>
        </w:tc>
        <w:tc>
          <w:tcPr>
            <w:tcW w:type="dxa" w:w="6336"/>
            <w:vAlign w:val="center"/>
          </w:tcPr>
          <w:p>
            <w:pPr>
              <w:spacing w:after="0"/>
            </w:pPr>
            <w:r>
              <w:rPr>
                <w:rFonts w:ascii="Arial" w:hAnsi="Arial"/>
                <w:sz w:val="16"/>
              </w:rPr>
              <w:t>Generate authorized, scope-limited reports/exports and audit them where appropriate.</w:t>
            </w:r>
          </w:p>
        </w:tc>
      </w:tr>
    </w:tbl>
    <w:p/>
    <w:p>
      <w:pPr>
        <w:pStyle w:val="Heading1"/>
      </w:pPr>
      <w:r>
        <w:t>7. SMS, Email and Phone Verification</w:t>
      </w:r>
    </w:p>
    <w:p>
      <w:pPr>
        <w:pStyle w:val="Heading2"/>
      </w:pPr>
      <w:r>
        <w:t>7.1 Patient visit SMS reminders</w:t>
      </w:r>
    </w:p>
    <w:p>
      <w:r>
        <w:t>For eligible appointments, schedule two reminders: one calendar day before and on the appointment date. Default sending times must be configurable and approved before production.</w:t>
      </w:r>
    </w:p>
    <w:p>
      <w:pPr>
        <w:pStyle w:val="ListBullet"/>
        <w:spacing w:after="30"/>
      </w:pPr>
      <w:r>
        <w:t>Use the verified/approved phone number and contact preferences; follow consent, privacy and local messaging rules.</w:t>
      </w:r>
    </w:p>
    <w:p>
      <w:pPr>
        <w:pStyle w:val="ListBullet"/>
        <w:spacing w:after="30"/>
      </w:pPr>
      <w:r>
        <w:t>Keep messages concise and avoid unnecessary diagnoses, study names or sensitive details.</w:t>
      </w:r>
    </w:p>
    <w:p>
      <w:pPr>
        <w:pStyle w:val="ListBullet"/>
        <w:spacing w:after="30"/>
      </w:pPr>
      <w:r>
        <w:t>Example: “Reminder: you have an appointment at [Facility] on [Date]. Please contact [approved contact] if you need assistance.”</w:t>
      </w:r>
    </w:p>
    <w:p>
      <w:pPr>
        <w:pStyle w:val="ListBullet"/>
        <w:spacing w:after="30"/>
      </w:pPr>
      <w:r>
        <w:t>Do not send for cancelled appointments. On rescheduling, cancel obsolete queued reminders and schedule for the new date.</w:t>
      </w:r>
    </w:p>
    <w:p>
      <w:pPr>
        <w:pStyle w:val="ListBullet"/>
        <w:spacing w:after="30"/>
      </w:pPr>
      <w:r>
        <w:t>Prevent duplicates for the same appointment, reminder type and schedule version.</w:t>
      </w:r>
    </w:p>
    <w:p>
      <w:pPr>
        <w:pStyle w:val="ListBullet"/>
        <w:spacing w:after="30"/>
      </w:pPr>
      <w:r>
        <w:t>Use a background queue (e.g. Celery with a supported broker) and configurable SMS gateway adapter.</w:t>
      </w:r>
    </w:p>
    <w:p>
      <w:pPr>
        <w:pStyle w:val="ListBullet"/>
        <w:spacing w:after="30"/>
      </w:pPr>
      <w:r>
        <w:t>Track queued/sent/delivered/failed where supported, provider ID, timestamps and bounded retries.</w:t>
      </w:r>
    </w:p>
    <w:p>
      <w:pPr>
        <w:pStyle w:val="ListBullet"/>
        <w:spacing w:after="30"/>
      </w:pPr>
      <w:r>
        <w:t>Define behavior for invalid/unverified numbers, opt-outs, shared phones and provider outages.</w:t>
      </w:r>
    </w:p>
    <w:p>
      <w:pPr>
        <w:pStyle w:val="Heading2"/>
      </w:pPr>
      <w:r>
        <w:t>7.2 Staff account creation email</w:t>
      </w:r>
    </w:p>
    <w:p>
      <w:pPr>
        <w:pStyle w:val="ListBullet"/>
        <w:spacing w:after="30"/>
      </w:pPr>
      <w:r>
        <w:t>On account creation, email the official system URL, account identifier and a single-use, time-limited activation/set-password link.</w:t>
      </w:r>
    </w:p>
    <w:p>
      <w:pPr>
        <w:pStyle w:val="ListBullet"/>
        <w:spacing w:after="30"/>
      </w:pPr>
      <w:r>
        <w:t>Never send a generated or existing plaintext password by email; keep account pending until activation where practical.</w:t>
      </w:r>
    </w:p>
    <w:p>
      <w:pPr>
        <w:pStyle w:val="ListBullet"/>
        <w:spacing w:after="30"/>
      </w:pPr>
      <w:r>
        <w:t>Activation tokens must expire, be single-use, revocable and stored securely.</w:t>
      </w:r>
    </w:p>
    <w:p>
      <w:pPr>
        <w:pStyle w:val="ListBullet"/>
        <w:spacing w:after="30"/>
      </w:pPr>
      <w:r>
        <w:t>Do not include patient information in onboarding emails.</w:t>
      </w:r>
    </w:p>
    <w:p>
      <w:pPr>
        <w:pStyle w:val="Heading2"/>
      </w:pPr>
      <w:r>
        <w:t>7.3 Password reset email</w:t>
      </w:r>
    </w:p>
    <w:p>
      <w:pPr>
        <w:pStyle w:val="ListBullet"/>
        <w:spacing w:after="30"/>
      </w:pPr>
      <w:r>
        <w:t>Use a generic response to password-reset requests so account existence is not disclosed.</w:t>
      </w:r>
    </w:p>
    <w:p>
      <w:pPr>
        <w:pStyle w:val="ListBullet"/>
        <w:spacing w:after="30"/>
      </w:pPr>
      <w:r>
        <w:t>Send a time-limited reset link to the registered email.</w:t>
      </w:r>
    </w:p>
    <w:p>
      <w:pPr>
        <w:pStyle w:val="ListBullet"/>
        <w:spacing w:after="30"/>
      </w:pPr>
      <w:r>
        <w:t>Invalidate tokens after use/expiry; rate-limit requests; never log passwords or reset tokens.</w:t>
      </w:r>
    </w:p>
    <w:p>
      <w:pPr>
        <w:pStyle w:val="ListBullet"/>
        <w:spacing w:after="30"/>
      </w:pPr>
      <w:r>
        <w:t>Notify the user after a successful reset and consider session invalidation.</w:t>
      </w:r>
    </w:p>
    <w:p>
      <w:pPr>
        <w:pStyle w:val="Heading2"/>
      </w:pPr>
      <w:r>
        <w:t>7.4 Phone verification</w:t>
      </w:r>
    </w:p>
    <w:p>
      <w:pPr>
        <w:pStyle w:val="ListBullet"/>
        <w:spacing w:after="30"/>
      </w:pPr>
      <w:r>
        <w:t>Support verification for patient and staff phone numbers according to policy.</w:t>
      </w:r>
    </w:p>
    <w:p>
      <w:pPr>
        <w:pStyle w:val="ListBullet"/>
        <w:spacing w:after="30"/>
      </w:pPr>
      <w:r>
        <w:t>Use a short-lived single-use OTP or approved link; limit attempts and resends.</w:t>
      </w:r>
    </w:p>
    <w:p>
      <w:pPr>
        <w:pStyle w:val="ListBullet"/>
        <w:spacing w:after="30"/>
      </w:pPr>
      <w:r>
        <w:t>Do not retain OTPs in plaintext after validation.</w:t>
      </w:r>
    </w:p>
    <w:p>
      <w:pPr>
        <w:pStyle w:val="ListBullet"/>
        <w:spacing w:after="30"/>
      </w:pPr>
      <w:r>
        <w:t>Changing a number resets verification status and triggers re-verification where configured.</w:t>
      </w:r>
    </w:p>
    <w:p>
      <w:pPr>
        <w:pStyle w:val="ListBullet"/>
        <w:spacing w:after="30"/>
      </w:pPr>
      <w:r>
        <w:t>Phone verification alone is not proof of identity or consent.</w:t>
      </w:r>
    </w:p>
    <w:p>
      <w:pPr>
        <w:pStyle w:val="Heading2"/>
      </w:pPr>
      <w:r>
        <w:t>7.5 Notification administration</w:t>
      </w:r>
    </w:p>
    <w:p>
      <w:pPr>
        <w:pStyle w:val="ListBullet"/>
        <w:spacing w:after="30"/>
      </w:pPr>
      <w:r>
        <w:t>Store provider credentials in environment/secret management, never source code.</w:t>
      </w:r>
    </w:p>
    <w:p>
      <w:pPr>
        <w:pStyle w:val="ListBullet"/>
        <w:spacing w:after="30"/>
      </w:pPr>
      <w:r>
        <w:t>Support templates, delivery logs, bounded retries, failure queues and health indicators.</w:t>
      </w:r>
    </w:p>
    <w:p>
      <w:pPr>
        <w:pStyle w:val="ListBullet"/>
        <w:spacing w:after="30"/>
      </w:pPr>
      <w:r>
        <w:t>Use separate templates for activation, password reset, phone verification, patient reminders and internal reports.</w:t>
      </w:r>
    </w:p>
    <w:p>
      <w:pPr>
        <w:pStyle w:val="ListBullet"/>
        <w:spacing w:after="30"/>
      </w:pPr>
      <w:r>
        <w:t>Mask personal contact details in general-purpose logs where practical.</w:t>
      </w:r>
    </w:p>
    <w:p>
      <w:pPr>
        <w:pStyle w:val="Heading1"/>
      </w:pPr>
      <w:r>
        <w:t>8. Scheduled Reporting</w:t>
      </w:r>
    </w:p>
    <w:p>
      <w:pPr>
        <w:pStyle w:val="Heading2"/>
      </w:pPr>
      <w:r>
        <w:t>8.1 Monthly patient enrollment report</w:t>
      </w:r>
    </w:p>
    <w:p>
      <w:r>
        <w:t>Generate and deliver a monthly report on the last Sunday of each calendar month. Recommended default time is 09:00 Africa/Dar_es_Salaam, subject to stakeholder approval. Recommended interpretation: report new clinical programme enrollments in the reporting month and show research enrollments separately.</w:t>
      </w:r>
    </w:p>
    <w:p>
      <w:pPr>
        <w:pStyle w:val="ListBullet"/>
        <w:spacing w:after="30"/>
      </w:pPr>
      <w:r>
        <w:t>Calculate the last Sunday algorithmically for each month; never hard-code dates.</w:t>
      </w:r>
    </w:p>
    <w:p>
      <w:pPr>
        <w:pStyle w:val="ListBullet"/>
        <w:spacing w:after="30"/>
      </w:pPr>
      <w:r>
        <w:t>Create report output for each recipient or identical permission scope; do not send a national attachment to a mixed-scope recipient list.</w:t>
      </w:r>
    </w:p>
    <w:p>
      <w:pPr>
        <w:pStyle w:val="ListBullet"/>
        <w:spacing w:after="30"/>
      </w:pPr>
      <w:r>
        <w:t>Facility staff receive only their assigned facility data; district/region/zone/national users receive only explicitly assigned scope.</w:t>
      </w:r>
    </w:p>
    <w:p>
      <w:pPr>
        <w:pStyle w:val="ListBullet"/>
        <w:spacing w:after="30"/>
      </w:pPr>
      <w:r>
        <w:t>Recheck account active status and current permissions immediately before delivery.</w:t>
      </w:r>
    </w:p>
    <w:p>
      <w:pPr>
        <w:pStyle w:val="ListBullet"/>
        <w:spacing w:after="30"/>
      </w:pPr>
      <w:r>
        <w:t>Log report period, scope, generation timestamp, recipient, delivery status and errors.</w:t>
      </w:r>
    </w:p>
    <w:p>
      <w:pPr>
        <w:pStyle w:val="ListBullet"/>
        <w:spacing w:after="30"/>
      </w:pPr>
      <w:r>
        <w:t>Retry failures according to policy and expose failures to authorized administrators.</w:t>
      </w:r>
    </w:p>
    <w:p>
      <w:pPr>
        <w:pStyle w:val="ListBullet"/>
        <w:spacing w:after="30"/>
      </w:pPr>
      <w:r>
        <w:t>Define a correction/reissue process for late data changes; never silently rewrite prior sent reports.</w:t>
      </w:r>
    </w:p>
    <w:p>
      <w:pPr>
        <w:pStyle w:val="Heading2"/>
      </w:pPr>
      <w:r>
        <w:t>8.2 Suggested report contents</w:t>
      </w:r>
    </w:p>
    <w:tbl>
      <w:tblPr>
        <w:tblStyle w:val="TableGrid"/>
        <w:tblW w:type="auto" w:w="0"/>
        <w:jc w:val="center"/>
        <w:tblLook w:firstColumn="1" w:firstRow="1" w:lastColumn="0" w:lastRow="0" w:noHBand="0" w:noVBand="1" w:val="04A0"/>
      </w:tblPr>
      <w:tblGrid>
        <w:gridCol w:w="4968"/>
        <w:gridCol w:w="4968"/>
      </w:tblGrid>
      <w:tr>
        <w:tc>
          <w:tcPr>
            <w:tcW w:type="dxa" w:w="2016"/>
            <w:shd w:fill="D9EAF7"/>
          </w:tcPr>
          <w:p>
            <w:r>
              <w:rPr>
                <w:b/>
                <w:sz w:val="17"/>
              </w:rPr>
              <w:t>Section</w:t>
            </w:r>
          </w:p>
        </w:tc>
        <w:tc>
          <w:tcPr>
            <w:tcW w:type="dxa" w:w="7344"/>
            <w:shd w:fill="D9EAF7"/>
          </w:tcPr>
          <w:p>
            <w:r>
              <w:rPr>
                <w:b/>
                <w:sz w:val="17"/>
              </w:rPr>
              <w:t>Measures</w:t>
            </w:r>
          </w:p>
        </w:tc>
      </w:tr>
      <w:tr>
        <w:tc>
          <w:tcPr>
            <w:tcW w:type="dxa" w:w="2016"/>
            <w:vAlign w:val="center"/>
          </w:tcPr>
          <w:p>
            <w:pPr>
              <w:spacing w:after="0"/>
            </w:pPr>
            <w:r>
              <w:rPr>
                <w:rFonts w:ascii="Arial" w:hAnsi="Arial"/>
                <w:sz w:val="16"/>
              </w:rPr>
              <w:t>Summary</w:t>
            </w:r>
          </w:p>
        </w:tc>
        <w:tc>
          <w:tcPr>
            <w:tcW w:type="dxa" w:w="7344"/>
            <w:vAlign w:val="center"/>
          </w:tcPr>
          <w:p>
            <w:pPr>
              <w:spacing w:after="0"/>
            </w:pPr>
            <w:r>
              <w:rPr>
                <w:rFonts w:ascii="Arial" w:hAnsi="Arial"/>
                <w:sz w:val="16"/>
              </w:rPr>
              <w:t>New clinical programme enrollments, unique patients and approved breakdowns by disease/facility.</w:t>
            </w:r>
          </w:p>
        </w:tc>
      </w:tr>
      <w:tr>
        <w:tc>
          <w:tcPr>
            <w:tcW w:type="dxa" w:w="2016"/>
            <w:vAlign w:val="center"/>
          </w:tcPr>
          <w:p>
            <w:pPr>
              <w:spacing w:after="0"/>
            </w:pPr>
            <w:r>
              <w:rPr>
                <w:rFonts w:ascii="Arial" w:hAnsi="Arial"/>
                <w:sz w:val="16"/>
              </w:rPr>
              <w:t>Research</w:t>
            </w:r>
          </w:p>
        </w:tc>
        <w:tc>
          <w:tcPr>
            <w:tcW w:type="dxa" w:w="7344"/>
            <w:vAlign w:val="center"/>
          </w:tcPr>
          <w:p>
            <w:pPr>
              <w:spacing w:after="0"/>
            </w:pPr>
            <w:r>
              <w:rPr>
                <w:rFonts w:ascii="Arial" w:hAnsi="Arial"/>
                <w:sz w:val="16"/>
              </w:rPr>
              <w:t>New study enrollments by study and facility, separately from clinical enrollments.</w:t>
            </w:r>
          </w:p>
        </w:tc>
      </w:tr>
      <w:tr>
        <w:tc>
          <w:tcPr>
            <w:tcW w:type="dxa" w:w="2016"/>
            <w:vAlign w:val="center"/>
          </w:tcPr>
          <w:p>
            <w:pPr>
              <w:spacing w:after="0"/>
            </w:pPr>
            <w:r>
              <w:rPr>
                <w:rFonts w:ascii="Arial" w:hAnsi="Arial"/>
                <w:sz w:val="16"/>
              </w:rPr>
              <w:t>Transfers</w:t>
            </w:r>
          </w:p>
        </w:tc>
        <w:tc>
          <w:tcPr>
            <w:tcW w:type="dxa" w:w="7344"/>
            <w:vAlign w:val="center"/>
          </w:tcPr>
          <w:p>
            <w:pPr>
              <w:spacing w:after="0"/>
            </w:pPr>
            <w:r>
              <w:rPr>
                <w:rFonts w:ascii="Arial" w:hAnsi="Arial"/>
                <w:sz w:val="16"/>
              </w:rPr>
              <w:t>Transfer-in/out events in period, separate from enrollments.</w:t>
            </w:r>
          </w:p>
        </w:tc>
      </w:tr>
      <w:tr>
        <w:tc>
          <w:tcPr>
            <w:tcW w:type="dxa" w:w="2016"/>
            <w:vAlign w:val="center"/>
          </w:tcPr>
          <w:p>
            <w:pPr>
              <w:spacing w:after="0"/>
            </w:pPr>
            <w:r>
              <w:rPr>
                <w:rFonts w:ascii="Arial" w:hAnsi="Arial"/>
                <w:sz w:val="16"/>
              </w:rPr>
              <w:t>Follow-up</w:t>
            </w:r>
          </w:p>
        </w:tc>
        <w:tc>
          <w:tcPr>
            <w:tcW w:type="dxa" w:w="7344"/>
            <w:vAlign w:val="center"/>
          </w:tcPr>
          <w:p>
            <w:pPr>
              <w:spacing w:after="0"/>
            </w:pPr>
            <w:r>
              <w:rPr>
                <w:rFonts w:ascii="Arial" w:hAnsi="Arial"/>
                <w:sz w:val="16"/>
              </w:rPr>
              <w:t>Expected, attended, missed and incomplete visits; overdue forms.</w:t>
            </w:r>
          </w:p>
        </w:tc>
      </w:tr>
      <w:tr>
        <w:tc>
          <w:tcPr>
            <w:tcW w:type="dxa" w:w="2016"/>
            <w:vAlign w:val="center"/>
          </w:tcPr>
          <w:p>
            <w:pPr>
              <w:spacing w:after="0"/>
            </w:pPr>
            <w:r>
              <w:rPr>
                <w:rFonts w:ascii="Arial" w:hAnsi="Arial"/>
                <w:sz w:val="16"/>
              </w:rPr>
              <w:t>Data quality</w:t>
            </w:r>
          </w:p>
        </w:tc>
        <w:tc>
          <w:tcPr>
            <w:tcW w:type="dxa" w:w="7344"/>
            <w:vAlign w:val="center"/>
          </w:tcPr>
          <w:p>
            <w:pPr>
              <w:spacing w:after="0"/>
            </w:pPr>
            <w:r>
              <w:rPr>
                <w:rFonts w:ascii="Arial" w:hAnsi="Arial"/>
                <w:sz w:val="16"/>
              </w:rPr>
              <w:t>Missing mandatory fields, duplicate candidates and records awaiting review.</w:t>
            </w:r>
          </w:p>
        </w:tc>
      </w:tr>
      <w:tr>
        <w:tc>
          <w:tcPr>
            <w:tcW w:type="dxa" w:w="2016"/>
            <w:vAlign w:val="center"/>
          </w:tcPr>
          <w:p>
            <w:pPr>
              <w:spacing w:after="0"/>
            </w:pPr>
            <w:r>
              <w:rPr>
                <w:rFonts w:ascii="Arial" w:hAnsi="Arial"/>
                <w:sz w:val="16"/>
              </w:rPr>
              <w:t>Metadata</w:t>
            </w:r>
          </w:p>
        </w:tc>
        <w:tc>
          <w:tcPr>
            <w:tcW w:type="dxa" w:w="7344"/>
            <w:vAlign w:val="center"/>
          </w:tcPr>
          <w:p>
            <w:pPr>
              <w:spacing w:after="0"/>
            </w:pPr>
            <w:r>
              <w:rPr>
                <w:rFonts w:ascii="Arial" w:hAnsi="Arial"/>
                <w:sz w:val="16"/>
              </w:rPr>
              <w:t>Reporting period, generation timestamp, timezone, filters and access scope.</w:t>
            </w:r>
          </w:p>
        </w:tc>
      </w:tr>
    </w:tbl>
    <w:p/>
    <w:p>
      <w:pPr>
        <w:pStyle w:val="Heading2"/>
      </w:pPr>
      <w:r>
        <w:t>8.3 Access-level enforcement</w:t>
      </w:r>
    </w:p>
    <w:p>
      <w:r>
        <w:t>Generate reports per recipient or identical permission scope. Re-check access at generation and delivery. Deactivated users or users who lost the required access must not receive reports.</w:t>
      </w:r>
    </w:p>
    <w:p>
      <w:pPr>
        <w:pStyle w:val="Heading1"/>
      </w:pPr>
      <w:r>
        <w:t>9. Data Requirements and Conceptual Model</w:t>
      </w:r>
    </w:p>
    <w:tbl>
      <w:tblPr>
        <w:tblStyle w:val="TableGrid"/>
        <w:tblW w:type="auto" w:w="0"/>
        <w:jc w:val="center"/>
        <w:tblLook w:firstColumn="1" w:firstRow="1" w:lastColumn="0" w:lastRow="0" w:noHBand="0" w:noVBand="1" w:val="04A0"/>
      </w:tblPr>
      <w:tblGrid>
        <w:gridCol w:w="4968"/>
        <w:gridCol w:w="4968"/>
      </w:tblGrid>
      <w:tr>
        <w:tc>
          <w:tcPr>
            <w:tcW w:type="dxa" w:w="3168"/>
            <w:shd w:fill="D9EAF7"/>
          </w:tcPr>
          <w:p>
            <w:r>
              <w:rPr>
                <w:b/>
                <w:sz w:val="17"/>
              </w:rPr>
              <w:t>Entity</w:t>
            </w:r>
          </w:p>
        </w:tc>
        <w:tc>
          <w:tcPr>
            <w:tcW w:type="dxa" w:w="6192"/>
            <w:shd w:fill="D9EAF7"/>
          </w:tcPr>
          <w:p>
            <w:r>
              <w:rPr>
                <w:b/>
                <w:sz w:val="17"/>
              </w:rPr>
              <w:t>Purpose</w:t>
            </w:r>
          </w:p>
        </w:tc>
      </w:tr>
      <w:tr>
        <w:tc>
          <w:tcPr>
            <w:tcW w:type="dxa" w:w="3168"/>
            <w:vAlign w:val="center"/>
          </w:tcPr>
          <w:p>
            <w:pPr>
              <w:spacing w:after="0"/>
            </w:pPr>
            <w:r>
              <w:rPr>
                <w:rFonts w:ascii="Arial" w:hAnsi="Arial"/>
                <w:sz w:val="16"/>
              </w:rPr>
              <w:t>StaffUser</w:t>
            </w:r>
          </w:p>
        </w:tc>
        <w:tc>
          <w:tcPr>
            <w:tcW w:type="dxa" w:w="6192"/>
            <w:vAlign w:val="center"/>
          </w:tcPr>
          <w:p>
            <w:pPr>
              <w:spacing w:after="0"/>
            </w:pPr>
            <w:r>
              <w:rPr>
                <w:rFonts w:ascii="Arial" w:hAnsi="Arial"/>
                <w:sz w:val="16"/>
              </w:rPr>
              <w:t>Authentication, active status, attribution and group memberships.</w:t>
            </w:r>
          </w:p>
        </w:tc>
      </w:tr>
      <w:tr>
        <w:tc>
          <w:tcPr>
            <w:tcW w:type="dxa" w:w="3168"/>
            <w:vAlign w:val="center"/>
          </w:tcPr>
          <w:p>
            <w:pPr>
              <w:spacing w:after="0"/>
            </w:pPr>
            <w:r>
              <w:rPr>
                <w:rFonts w:ascii="Arial" w:hAnsi="Arial"/>
                <w:sz w:val="16"/>
              </w:rPr>
              <w:t>Role/PermissionGroup</w:t>
            </w:r>
          </w:p>
        </w:tc>
        <w:tc>
          <w:tcPr>
            <w:tcW w:type="dxa" w:w="6192"/>
            <w:vAlign w:val="center"/>
          </w:tcPr>
          <w:p>
            <w:pPr>
              <w:spacing w:after="0"/>
            </w:pPr>
            <w:r>
              <w:rPr>
                <w:rFonts w:ascii="Arial" w:hAnsi="Arial"/>
                <w:sz w:val="16"/>
              </w:rPr>
              <w:t>Reusable permissions independent of job title.</w:t>
            </w:r>
          </w:p>
        </w:tc>
      </w:tr>
      <w:tr>
        <w:tc>
          <w:tcPr>
            <w:tcW w:type="dxa" w:w="3168"/>
            <w:vAlign w:val="center"/>
          </w:tcPr>
          <w:p>
            <w:pPr>
              <w:spacing w:after="0"/>
            </w:pPr>
            <w:r>
              <w:rPr>
                <w:rFonts w:ascii="Arial" w:hAnsi="Arial"/>
                <w:sz w:val="16"/>
              </w:rPr>
              <w:t>GeographicUnit</w:t>
            </w:r>
          </w:p>
        </w:tc>
        <w:tc>
          <w:tcPr>
            <w:tcW w:type="dxa" w:w="6192"/>
            <w:vAlign w:val="center"/>
          </w:tcPr>
          <w:p>
            <w:pPr>
              <w:spacing w:after="0"/>
            </w:pPr>
            <w:r>
              <w:rPr>
                <w:rFonts w:ascii="Arial" w:hAnsi="Arial"/>
                <w:sz w:val="16"/>
              </w:rPr>
              <w:t>Country/zone/region/district hierarchy.</w:t>
            </w:r>
          </w:p>
        </w:tc>
      </w:tr>
      <w:tr>
        <w:tc>
          <w:tcPr>
            <w:tcW w:type="dxa" w:w="3168"/>
            <w:vAlign w:val="center"/>
          </w:tcPr>
          <w:p>
            <w:pPr>
              <w:spacing w:after="0"/>
            </w:pPr>
            <w:r>
              <w:rPr>
                <w:rFonts w:ascii="Arial" w:hAnsi="Arial"/>
                <w:sz w:val="16"/>
              </w:rPr>
              <w:t>Facility</w:t>
            </w:r>
          </w:p>
        </w:tc>
        <w:tc>
          <w:tcPr>
            <w:tcW w:type="dxa" w:w="6192"/>
            <w:vAlign w:val="center"/>
          </w:tcPr>
          <w:p>
            <w:pPr>
              <w:spacing w:after="0"/>
            </w:pPr>
            <w:r>
              <w:rPr>
                <w:rFonts w:ascii="Arial" w:hAnsi="Arial"/>
                <w:sz w:val="16"/>
              </w:rPr>
              <w:t>Service location linked to geographic units.</w:t>
            </w:r>
          </w:p>
        </w:tc>
      </w:tr>
      <w:tr>
        <w:tc>
          <w:tcPr>
            <w:tcW w:type="dxa" w:w="3168"/>
            <w:vAlign w:val="center"/>
          </w:tcPr>
          <w:p>
            <w:pPr>
              <w:spacing w:after="0"/>
            </w:pPr>
            <w:r>
              <w:rPr>
                <w:rFonts w:ascii="Arial" w:hAnsi="Arial"/>
                <w:sz w:val="16"/>
              </w:rPr>
              <w:t>StaffFacilityAssignment</w:t>
            </w:r>
          </w:p>
        </w:tc>
        <w:tc>
          <w:tcPr>
            <w:tcW w:type="dxa" w:w="6192"/>
            <w:vAlign w:val="center"/>
          </w:tcPr>
          <w:p>
            <w:pPr>
              <w:spacing w:after="0"/>
            </w:pPr>
            <w:r>
              <w:rPr>
                <w:rFonts w:ascii="Arial" w:hAnsi="Arial"/>
                <w:sz w:val="16"/>
              </w:rPr>
              <w:t>Effective-dated facility and geographic scope.</w:t>
            </w:r>
          </w:p>
        </w:tc>
      </w:tr>
      <w:tr>
        <w:tc>
          <w:tcPr>
            <w:tcW w:type="dxa" w:w="3168"/>
            <w:vAlign w:val="center"/>
          </w:tcPr>
          <w:p>
            <w:pPr>
              <w:spacing w:after="0"/>
            </w:pPr>
            <w:r>
              <w:rPr>
                <w:rFonts w:ascii="Arial" w:hAnsi="Arial"/>
                <w:sz w:val="16"/>
              </w:rPr>
              <w:t>Patient</w:t>
            </w:r>
          </w:p>
        </w:tc>
        <w:tc>
          <w:tcPr>
            <w:tcW w:type="dxa" w:w="6192"/>
            <w:vAlign w:val="center"/>
          </w:tcPr>
          <w:p>
            <w:pPr>
              <w:spacing w:after="0"/>
            </w:pPr>
            <w:r>
              <w:rPr>
                <w:rFonts w:ascii="Arial" w:hAnsi="Arial"/>
                <w:sz w:val="16"/>
              </w:rPr>
              <w:t>Stable identity, system ID and original registration facility.</w:t>
            </w:r>
          </w:p>
        </w:tc>
      </w:tr>
      <w:tr>
        <w:tc>
          <w:tcPr>
            <w:tcW w:type="dxa" w:w="3168"/>
            <w:vAlign w:val="center"/>
          </w:tcPr>
          <w:p>
            <w:pPr>
              <w:spacing w:after="0"/>
            </w:pPr>
            <w:r>
              <w:rPr>
                <w:rFonts w:ascii="Arial" w:hAnsi="Arial"/>
                <w:sz w:val="16"/>
              </w:rPr>
              <w:t>PatientIdentifier</w:t>
            </w:r>
          </w:p>
        </w:tc>
        <w:tc>
          <w:tcPr>
            <w:tcW w:type="dxa" w:w="6192"/>
            <w:vAlign w:val="center"/>
          </w:tcPr>
          <w:p>
            <w:pPr>
              <w:spacing w:after="0"/>
            </w:pPr>
            <w:r>
              <w:rPr>
                <w:rFonts w:ascii="Arial" w:hAnsi="Arial"/>
                <w:sz w:val="16"/>
              </w:rPr>
              <w:t>System ID and external/hospital identifiers with type-specific uniqueness.</w:t>
            </w:r>
          </w:p>
        </w:tc>
      </w:tr>
      <w:tr>
        <w:tc>
          <w:tcPr>
            <w:tcW w:type="dxa" w:w="3168"/>
            <w:vAlign w:val="center"/>
          </w:tcPr>
          <w:p>
            <w:pPr>
              <w:spacing w:after="0"/>
            </w:pPr>
            <w:r>
              <w:rPr>
                <w:rFonts w:ascii="Arial" w:hAnsi="Arial"/>
                <w:sz w:val="16"/>
              </w:rPr>
              <w:t>PatientFacilityAssignment</w:t>
            </w:r>
          </w:p>
        </w:tc>
        <w:tc>
          <w:tcPr>
            <w:tcW w:type="dxa" w:w="6192"/>
            <w:vAlign w:val="center"/>
          </w:tcPr>
          <w:p>
            <w:pPr>
              <w:spacing w:after="0"/>
            </w:pPr>
            <w:r>
              <w:rPr>
                <w:rFonts w:ascii="Arial" w:hAnsi="Arial"/>
                <w:sz w:val="16"/>
              </w:rPr>
              <w:t>Current and historical assignments with effective dates.</w:t>
            </w:r>
          </w:p>
        </w:tc>
      </w:tr>
      <w:tr>
        <w:tc>
          <w:tcPr>
            <w:tcW w:type="dxa" w:w="3168"/>
            <w:vAlign w:val="center"/>
          </w:tcPr>
          <w:p>
            <w:pPr>
              <w:spacing w:after="0"/>
            </w:pPr>
            <w:r>
              <w:rPr>
                <w:rFonts w:ascii="Arial" w:hAnsi="Arial"/>
                <w:sz w:val="16"/>
              </w:rPr>
              <w:t>PatientTransfer</w:t>
            </w:r>
          </w:p>
        </w:tc>
        <w:tc>
          <w:tcPr>
            <w:tcW w:type="dxa" w:w="6192"/>
            <w:vAlign w:val="center"/>
          </w:tcPr>
          <w:p>
            <w:pPr>
              <w:spacing w:after="0"/>
            </w:pPr>
            <w:r>
              <w:rPr>
                <w:rFonts w:ascii="Arial" w:hAnsi="Arial"/>
                <w:sz w:val="16"/>
              </w:rPr>
              <w:t>Sending/receiving facility, status, dates, confirmation and reason.</w:t>
            </w:r>
          </w:p>
        </w:tc>
      </w:tr>
      <w:tr>
        <w:tc>
          <w:tcPr>
            <w:tcW w:type="dxa" w:w="3168"/>
            <w:vAlign w:val="center"/>
          </w:tcPr>
          <w:p>
            <w:pPr>
              <w:spacing w:after="0"/>
            </w:pPr>
            <w:r>
              <w:rPr>
                <w:rFonts w:ascii="Arial" w:hAnsi="Arial"/>
                <w:sz w:val="16"/>
              </w:rPr>
              <w:t>Screening</w:t>
            </w:r>
          </w:p>
        </w:tc>
        <w:tc>
          <w:tcPr>
            <w:tcW w:type="dxa" w:w="6192"/>
            <w:vAlign w:val="center"/>
          </w:tcPr>
          <w:p>
            <w:pPr>
              <w:spacing w:after="0"/>
            </w:pPr>
            <w:r>
              <w:rPr>
                <w:rFonts w:ascii="Arial" w:hAnsi="Arial"/>
                <w:sz w:val="16"/>
              </w:rPr>
              <w:t>Source, location, disease(s), eligibility and outcome.</w:t>
            </w:r>
          </w:p>
        </w:tc>
      </w:tr>
      <w:tr>
        <w:tc>
          <w:tcPr>
            <w:tcW w:type="dxa" w:w="3168"/>
            <w:vAlign w:val="center"/>
          </w:tcPr>
          <w:p>
            <w:pPr>
              <w:spacing w:after="0"/>
            </w:pPr>
            <w:r>
              <w:rPr>
                <w:rFonts w:ascii="Arial" w:hAnsi="Arial"/>
                <w:sz w:val="16"/>
              </w:rPr>
              <w:t>Encounter</w:t>
            </w:r>
          </w:p>
        </w:tc>
        <w:tc>
          <w:tcPr>
            <w:tcW w:type="dxa" w:w="6192"/>
            <w:vAlign w:val="center"/>
          </w:tcPr>
          <w:p>
            <w:pPr>
              <w:spacing w:after="0"/>
            </w:pPr>
            <w:r>
              <w:rPr>
                <w:rFonts w:ascii="Arial" w:hAnsi="Arial"/>
                <w:sz w:val="16"/>
              </w:rPr>
              <w:t>Actual contact, patient, facility, location, date/type/status.</w:t>
            </w:r>
          </w:p>
        </w:tc>
      </w:tr>
      <w:tr>
        <w:tc>
          <w:tcPr>
            <w:tcW w:type="dxa" w:w="3168"/>
            <w:vAlign w:val="center"/>
          </w:tcPr>
          <w:p>
            <w:pPr>
              <w:spacing w:after="0"/>
            </w:pPr>
            <w:r>
              <w:rPr>
                <w:rFonts w:ascii="Arial" w:hAnsi="Arial"/>
                <w:sz w:val="16"/>
              </w:rPr>
              <w:t>Appointment</w:t>
            </w:r>
          </w:p>
        </w:tc>
        <w:tc>
          <w:tcPr>
            <w:tcW w:type="dxa" w:w="6192"/>
            <w:vAlign w:val="center"/>
          </w:tcPr>
          <w:p>
            <w:pPr>
              <w:spacing w:after="0"/>
            </w:pPr>
            <w:r>
              <w:rPr>
                <w:rFonts w:ascii="Arial" w:hAnsi="Arial"/>
                <w:sz w:val="16"/>
              </w:rPr>
              <w:t>Planned contact, date/time/status and reminder state.</w:t>
            </w:r>
          </w:p>
        </w:tc>
      </w:tr>
      <w:tr>
        <w:tc>
          <w:tcPr>
            <w:tcW w:type="dxa" w:w="3168"/>
            <w:vAlign w:val="center"/>
          </w:tcPr>
          <w:p>
            <w:pPr>
              <w:spacing w:after="0"/>
            </w:pPr>
            <w:r>
              <w:rPr>
                <w:rFonts w:ascii="Arial" w:hAnsi="Arial"/>
                <w:sz w:val="16"/>
              </w:rPr>
              <w:t>Diagnosis</w:t>
            </w:r>
          </w:p>
        </w:tc>
        <w:tc>
          <w:tcPr>
            <w:tcW w:type="dxa" w:w="6192"/>
            <w:vAlign w:val="center"/>
          </w:tcPr>
          <w:p>
            <w:pPr>
              <w:spacing w:after="0"/>
            </w:pPr>
            <w:r>
              <w:rPr>
                <w:rFonts w:ascii="Arial" w:hAnsi="Arial"/>
                <w:sz w:val="16"/>
              </w:rPr>
              <w:t>Patient/encounter diagnosis with coding and clinician attribution.</w:t>
            </w:r>
          </w:p>
        </w:tc>
      </w:tr>
      <w:tr>
        <w:tc>
          <w:tcPr>
            <w:tcW w:type="dxa" w:w="3168"/>
            <w:vAlign w:val="center"/>
          </w:tcPr>
          <w:p>
            <w:pPr>
              <w:spacing w:after="0"/>
            </w:pPr>
            <w:r>
              <w:rPr>
                <w:rFonts w:ascii="Arial" w:hAnsi="Arial"/>
                <w:sz w:val="16"/>
              </w:rPr>
              <w:t>ClinicalProgramme / ProgrammeEnrollment</w:t>
            </w:r>
          </w:p>
        </w:tc>
        <w:tc>
          <w:tcPr>
            <w:tcW w:type="dxa" w:w="6192"/>
            <w:vAlign w:val="center"/>
          </w:tcPr>
          <w:p>
            <w:pPr>
              <w:spacing w:after="0"/>
            </w:pPr>
            <w:r>
              <w:rPr>
                <w:rFonts w:ascii="Arial" w:hAnsi="Arial"/>
                <w:sz w:val="16"/>
              </w:rPr>
              <w:t>Clinical programme definition and patient participation.</w:t>
            </w:r>
          </w:p>
        </w:tc>
      </w:tr>
      <w:tr>
        <w:tc>
          <w:tcPr>
            <w:tcW w:type="dxa" w:w="3168"/>
            <w:vAlign w:val="center"/>
          </w:tcPr>
          <w:p>
            <w:pPr>
              <w:spacing w:after="0"/>
            </w:pPr>
            <w:r>
              <w:rPr>
                <w:rFonts w:ascii="Arial" w:hAnsi="Arial"/>
                <w:sz w:val="16"/>
              </w:rPr>
              <w:t>ResearchStudy / StudyEnrollment</w:t>
            </w:r>
          </w:p>
        </w:tc>
        <w:tc>
          <w:tcPr>
            <w:tcW w:type="dxa" w:w="6192"/>
            <w:vAlign w:val="center"/>
          </w:tcPr>
          <w:p>
            <w:pPr>
              <w:spacing w:after="0"/>
            </w:pPr>
            <w:r>
              <w:rPr>
                <w:rFonts w:ascii="Arial" w:hAnsi="Arial"/>
                <w:sz w:val="16"/>
              </w:rPr>
              <w:t>Study metadata, consent, eligibility and participation.</w:t>
            </w:r>
          </w:p>
        </w:tc>
      </w:tr>
      <w:tr>
        <w:tc>
          <w:tcPr>
            <w:tcW w:type="dxa" w:w="3168"/>
            <w:vAlign w:val="center"/>
          </w:tcPr>
          <w:p>
            <w:pPr>
              <w:spacing w:after="0"/>
            </w:pPr>
            <w:r>
              <w:rPr>
                <w:rFonts w:ascii="Arial" w:hAnsi="Arial"/>
                <w:sz w:val="16"/>
              </w:rPr>
              <w:t>CRFDefinition / CRFVersion</w:t>
            </w:r>
          </w:p>
        </w:tc>
        <w:tc>
          <w:tcPr>
            <w:tcW w:type="dxa" w:w="6192"/>
            <w:vAlign w:val="center"/>
          </w:tcPr>
          <w:p>
            <w:pPr>
              <w:spacing w:after="0"/>
            </w:pPr>
            <w:r>
              <w:rPr>
                <w:rFonts w:ascii="Arial" w:hAnsi="Arial"/>
                <w:sz w:val="16"/>
              </w:rPr>
              <w:t>Configurable form schema, applicability and effective dates.</w:t>
            </w:r>
          </w:p>
        </w:tc>
      </w:tr>
      <w:tr>
        <w:tc>
          <w:tcPr>
            <w:tcW w:type="dxa" w:w="3168"/>
            <w:vAlign w:val="center"/>
          </w:tcPr>
          <w:p>
            <w:pPr>
              <w:spacing w:after="0"/>
            </w:pPr>
            <w:r>
              <w:rPr>
                <w:rFonts w:ascii="Arial" w:hAnsi="Arial"/>
                <w:sz w:val="16"/>
              </w:rPr>
              <w:t>CRFSubmission</w:t>
            </w:r>
          </w:p>
        </w:tc>
        <w:tc>
          <w:tcPr>
            <w:tcW w:type="dxa" w:w="6192"/>
            <w:vAlign w:val="center"/>
          </w:tcPr>
          <w:p>
            <w:pPr>
              <w:spacing w:after="0"/>
            </w:pPr>
            <w:r>
              <w:rPr>
                <w:rFonts w:ascii="Arial" w:hAnsi="Arial"/>
                <w:sz w:val="16"/>
              </w:rPr>
              <w:t>Versioned data linked to patient and relevant context.</w:t>
            </w:r>
          </w:p>
        </w:tc>
      </w:tr>
      <w:tr>
        <w:tc>
          <w:tcPr>
            <w:tcW w:type="dxa" w:w="3168"/>
            <w:vAlign w:val="center"/>
          </w:tcPr>
          <w:p>
            <w:pPr>
              <w:spacing w:after="0"/>
            </w:pPr>
            <w:r>
              <w:rPr>
                <w:rFonts w:ascii="Arial" w:hAnsi="Arial"/>
                <w:sz w:val="16"/>
              </w:rPr>
              <w:t>StudySchedule / StudyVisit</w:t>
            </w:r>
          </w:p>
        </w:tc>
        <w:tc>
          <w:tcPr>
            <w:tcW w:type="dxa" w:w="6192"/>
            <w:vAlign w:val="center"/>
          </w:tcPr>
          <w:p>
            <w:pPr>
              <w:spacing w:after="0"/>
            </w:pPr>
            <w:r>
              <w:rPr>
                <w:rFonts w:ascii="Arial" w:hAnsi="Arial"/>
                <w:sz w:val="16"/>
              </w:rPr>
              <w:t>Protocol schedule, expected visits and schedule versions.</w:t>
            </w:r>
          </w:p>
        </w:tc>
      </w:tr>
      <w:tr>
        <w:tc>
          <w:tcPr>
            <w:tcW w:type="dxa" w:w="3168"/>
            <w:vAlign w:val="center"/>
          </w:tcPr>
          <w:p>
            <w:pPr>
              <w:spacing w:after="0"/>
            </w:pPr>
            <w:r>
              <w:rPr>
                <w:rFonts w:ascii="Arial" w:hAnsi="Arial"/>
                <w:sz w:val="16"/>
              </w:rPr>
              <w:t>LabOrder / Specimen / LabResult</w:t>
            </w:r>
          </w:p>
        </w:tc>
        <w:tc>
          <w:tcPr>
            <w:tcW w:type="dxa" w:w="6192"/>
            <w:vAlign w:val="center"/>
          </w:tcPr>
          <w:p>
            <w:pPr>
              <w:spacing w:after="0"/>
            </w:pPr>
            <w:r>
              <w:rPr>
                <w:rFonts w:ascii="Arial" w:hAnsi="Arial"/>
                <w:sz w:val="16"/>
              </w:rPr>
              <w:t>Separate request, specimen and result lifecycles.</w:t>
            </w:r>
          </w:p>
        </w:tc>
      </w:tr>
      <w:tr>
        <w:tc>
          <w:tcPr>
            <w:tcW w:type="dxa" w:w="3168"/>
            <w:vAlign w:val="center"/>
          </w:tcPr>
          <w:p>
            <w:pPr>
              <w:spacing w:after="0"/>
            </w:pPr>
            <w:r>
              <w:rPr>
                <w:rFonts w:ascii="Arial" w:hAnsi="Arial"/>
                <w:sz w:val="16"/>
              </w:rPr>
              <w:t>InvestigationOrder / InvestigationResult</w:t>
            </w:r>
          </w:p>
        </w:tc>
        <w:tc>
          <w:tcPr>
            <w:tcW w:type="dxa" w:w="6192"/>
            <w:vAlign w:val="center"/>
          </w:tcPr>
          <w:p>
            <w:pPr>
              <w:spacing w:after="0"/>
            </w:pPr>
            <w:r>
              <w:rPr>
                <w:rFonts w:ascii="Arial" w:hAnsi="Arial"/>
                <w:sz w:val="16"/>
              </w:rPr>
              <w:t>ECG, echo, imaging and other requests/results.</w:t>
            </w:r>
          </w:p>
        </w:tc>
      </w:tr>
      <w:tr>
        <w:tc>
          <w:tcPr>
            <w:tcW w:type="dxa" w:w="3168"/>
            <w:vAlign w:val="center"/>
          </w:tcPr>
          <w:p>
            <w:pPr>
              <w:spacing w:after="0"/>
            </w:pPr>
            <w:r>
              <w:rPr>
                <w:rFonts w:ascii="Arial" w:hAnsi="Arial"/>
                <w:sz w:val="16"/>
              </w:rPr>
              <w:t>Medication / StockBatch / StockMovement</w:t>
            </w:r>
          </w:p>
        </w:tc>
        <w:tc>
          <w:tcPr>
            <w:tcW w:type="dxa" w:w="6192"/>
            <w:vAlign w:val="center"/>
          </w:tcPr>
          <w:p>
            <w:pPr>
              <w:spacing w:after="0"/>
            </w:pPr>
            <w:r>
              <w:rPr>
                <w:rFonts w:ascii="Arial" w:hAnsi="Arial"/>
                <w:sz w:val="16"/>
              </w:rPr>
              <w:t>Medicine catalogue, batches, stock and auditable movement.</w:t>
            </w:r>
          </w:p>
        </w:tc>
      </w:tr>
      <w:tr>
        <w:tc>
          <w:tcPr>
            <w:tcW w:type="dxa" w:w="3168"/>
            <w:vAlign w:val="center"/>
          </w:tcPr>
          <w:p>
            <w:pPr>
              <w:spacing w:after="0"/>
            </w:pPr>
            <w:r>
              <w:rPr>
                <w:rFonts w:ascii="Arial" w:hAnsi="Arial"/>
                <w:sz w:val="16"/>
              </w:rPr>
              <w:t>Prescription / Dispensing</w:t>
            </w:r>
          </w:p>
        </w:tc>
        <w:tc>
          <w:tcPr>
            <w:tcW w:type="dxa" w:w="6192"/>
            <w:vAlign w:val="center"/>
          </w:tcPr>
          <w:p>
            <w:pPr>
              <w:spacing w:after="0"/>
            </w:pPr>
            <w:r>
              <w:rPr>
                <w:rFonts w:ascii="Arial" w:hAnsi="Arial"/>
                <w:sz w:val="16"/>
              </w:rPr>
              <w:t>Prescriber instruction and actual dispensing.</w:t>
            </w:r>
          </w:p>
        </w:tc>
      </w:tr>
      <w:tr>
        <w:tc>
          <w:tcPr>
            <w:tcW w:type="dxa" w:w="3168"/>
            <w:vAlign w:val="center"/>
          </w:tcPr>
          <w:p>
            <w:pPr>
              <w:spacing w:after="0"/>
            </w:pPr>
            <w:r>
              <w:rPr>
                <w:rFonts w:ascii="Arial" w:hAnsi="Arial"/>
                <w:sz w:val="16"/>
              </w:rPr>
              <w:t>Admission / Discharge</w:t>
            </w:r>
          </w:p>
        </w:tc>
        <w:tc>
          <w:tcPr>
            <w:tcW w:type="dxa" w:w="6192"/>
            <w:vAlign w:val="center"/>
          </w:tcPr>
          <w:p>
            <w:pPr>
              <w:spacing w:after="0"/>
            </w:pPr>
            <w:r>
              <w:rPr>
                <w:rFonts w:ascii="Arial" w:hAnsi="Arial"/>
                <w:sz w:val="16"/>
              </w:rPr>
              <w:t>Multiple inpatient episodes.</w:t>
            </w:r>
          </w:p>
        </w:tc>
      </w:tr>
      <w:tr>
        <w:tc>
          <w:tcPr>
            <w:tcW w:type="dxa" w:w="3168"/>
            <w:vAlign w:val="center"/>
          </w:tcPr>
          <w:p>
            <w:pPr>
              <w:spacing w:after="0"/>
            </w:pPr>
            <w:r>
              <w:rPr>
                <w:rFonts w:ascii="Arial" w:hAnsi="Arial"/>
                <w:sz w:val="16"/>
              </w:rPr>
              <w:t>AuditEvent</w:t>
            </w:r>
          </w:p>
        </w:tc>
        <w:tc>
          <w:tcPr>
            <w:tcW w:type="dxa" w:w="6192"/>
            <w:vAlign w:val="center"/>
          </w:tcPr>
          <w:p>
            <w:pPr>
              <w:spacing w:after="0"/>
            </w:pPr>
            <w:r>
              <w:rPr>
                <w:rFonts w:ascii="Arial" w:hAnsi="Arial"/>
                <w:sz w:val="16"/>
              </w:rPr>
              <w:t>Protected history of changes and administrative actions.</w:t>
            </w:r>
          </w:p>
        </w:tc>
      </w:tr>
      <w:tr>
        <w:tc>
          <w:tcPr>
            <w:tcW w:type="dxa" w:w="3168"/>
            <w:vAlign w:val="center"/>
          </w:tcPr>
          <w:p>
            <w:pPr>
              <w:spacing w:after="0"/>
            </w:pPr>
            <w:r>
              <w:rPr>
                <w:rFonts w:ascii="Arial" w:hAnsi="Arial"/>
                <w:sz w:val="16"/>
              </w:rPr>
              <w:t>Notification / NotificationAttempt</w:t>
            </w:r>
          </w:p>
        </w:tc>
        <w:tc>
          <w:tcPr>
            <w:tcW w:type="dxa" w:w="6192"/>
            <w:vAlign w:val="center"/>
          </w:tcPr>
          <w:p>
            <w:pPr>
              <w:spacing w:after="0"/>
            </w:pPr>
            <w:r>
              <w:rPr>
                <w:rFonts w:ascii="Arial" w:hAnsi="Arial"/>
                <w:sz w:val="16"/>
              </w:rPr>
              <w:t>Template, recipient, channel, schedule, provider status and errors.</w:t>
            </w:r>
          </w:p>
        </w:tc>
      </w:tr>
      <w:tr>
        <w:tc>
          <w:tcPr>
            <w:tcW w:type="dxa" w:w="3168"/>
            <w:vAlign w:val="center"/>
          </w:tcPr>
          <w:p>
            <w:pPr>
              <w:spacing w:after="0"/>
            </w:pPr>
            <w:r>
              <w:rPr>
                <w:rFonts w:ascii="Arial" w:hAnsi="Arial"/>
                <w:sz w:val="16"/>
              </w:rPr>
              <w:t>ScheduledReportRun</w:t>
            </w:r>
          </w:p>
        </w:tc>
        <w:tc>
          <w:tcPr>
            <w:tcW w:type="dxa" w:w="6192"/>
            <w:vAlign w:val="center"/>
          </w:tcPr>
          <w:p>
            <w:pPr>
              <w:spacing w:after="0"/>
            </w:pPr>
            <w:r>
              <w:rPr>
                <w:rFonts w:ascii="Arial" w:hAnsi="Arial"/>
                <w:sz w:val="16"/>
              </w:rPr>
              <w:t>Period, recipient scope, delivery status and reissue history.</w:t>
            </w:r>
          </w:p>
        </w:tc>
      </w:tr>
      <w:tr>
        <w:tc>
          <w:tcPr>
            <w:tcW w:type="dxa" w:w="3168"/>
            <w:vAlign w:val="center"/>
          </w:tcPr>
          <w:p>
            <w:pPr>
              <w:spacing w:after="0"/>
            </w:pPr>
            <w:r>
              <w:rPr>
                <w:rFonts w:ascii="Arial" w:hAnsi="Arial"/>
                <w:sz w:val="16"/>
              </w:rPr>
              <w:t>ExternalIdentifier / IntegrationMessage</w:t>
            </w:r>
          </w:p>
        </w:tc>
        <w:tc>
          <w:tcPr>
            <w:tcW w:type="dxa" w:w="6192"/>
            <w:vAlign w:val="center"/>
          </w:tcPr>
          <w:p>
            <w:pPr>
              <w:spacing w:after="0"/>
            </w:pPr>
            <w:r>
              <w:rPr>
                <w:rFonts w:ascii="Arial" w:hAnsi="Arial"/>
                <w:sz w:val="16"/>
              </w:rPr>
              <w:t>Source IDs, mapping and synchronization state.</w:t>
            </w:r>
          </w:p>
        </w:tc>
      </w:tr>
    </w:tbl>
    <w:p/>
    <w:p>
      <w:pPr>
        <w:pStyle w:val="Heading2"/>
      </w:pPr>
      <w:r>
        <w:t>9.1 Identifier rules</w:t>
      </w:r>
    </w:p>
    <w:p>
      <w:pPr>
        <w:pStyle w:val="ListBullet"/>
        <w:spacing w:after="30"/>
      </w:pPr>
      <w:r>
        <w:t>Format NCDYY-NNNN, e.g. NCD26-0001; YY is the registration year.</w:t>
      </w:r>
    </w:p>
    <w:p>
      <w:pPr>
        <w:pStyle w:val="ListBullet"/>
        <w:spacing w:after="30"/>
      </w:pPr>
      <w:r>
        <w:t>Use a transaction-safe database sequence, not a count of existing patients.</w:t>
      </w:r>
    </w:p>
    <w:p>
      <w:pPr>
        <w:pStyle w:val="ListBullet"/>
        <w:spacing w:after="30"/>
      </w:pPr>
      <w:r>
        <w:t>Never reuse an issued ID after deactivation, deletion or duplicate resolution.</w:t>
      </w:r>
    </w:p>
    <w:p>
      <w:pPr>
        <w:pStyle w:val="ListBullet"/>
        <w:spacing w:after="30"/>
      </w:pPr>
      <w:r>
        <w:t>Keep the database primary key separate from the human-readable patient ID.</w:t>
      </w:r>
    </w:p>
    <w:p>
      <w:pPr>
        <w:pStyle w:val="ListBullet"/>
        <w:spacing w:after="30"/>
      </w:pPr>
      <w:r>
        <w:t>Allow the suffix to expand beyond four digits if necessary, e.g. NCD26-10000.</w:t>
      </w:r>
    </w:p>
    <w:p>
      <w:pPr>
        <w:pStyle w:val="ListBullet"/>
        <w:spacing w:after="30"/>
      </w:pPr>
      <w:r>
        <w:t>Do not expose national IDs or other sensitive identifiers in URLs or ordinary SMS/email.</w:t>
      </w:r>
    </w:p>
    <w:p>
      <w:pPr>
        <w:pStyle w:val="Heading2"/>
      </w:pPr>
      <w:r>
        <w:t>9.2 CRF data strategy</w:t>
      </w:r>
    </w:p>
    <w:p>
      <w:r>
        <w:t>Use versioned CRF definitions and validated submissions. Choose and document a storage approach: relational tables for core clinical data, JSONB for suitable configurable payloads, or a hybrid. Core diagnoses, medicines, allergies and laboratory results must not exist only as opaque JSON. Each submission retains the exact form version used.</w:t>
      </w:r>
    </w:p>
    <w:p>
      <w:pPr>
        <w:pStyle w:val="Heading1"/>
      </w:pPr>
      <w:r>
        <w:t>10. Access Control and Privacy</w:t>
      </w:r>
    </w:p>
    <w:p>
      <w:pPr>
        <w:pStyle w:val="ListBullet"/>
        <w:spacing w:after="30"/>
      </w:pPr>
      <w:r>
        <w:t>Enforce role and scope checks on server-side views, APIs, searches, reports and exports.</w:t>
      </w:r>
    </w:p>
    <w:p>
      <w:pPr>
        <w:pStyle w:val="ListBullet"/>
        <w:spacing w:after="30"/>
      </w:pPr>
      <w:r>
        <w:t>Control access to registration identity fields explicitly.</w:t>
      </w:r>
    </w:p>
    <w:p>
      <w:pPr>
        <w:pStyle w:val="ListBullet"/>
        <w:spacing w:after="30"/>
      </w:pPr>
      <w:r>
        <w:t>Use least privilege and read-only roles where appropriate.</w:t>
      </w:r>
    </w:p>
    <w:p>
      <w:pPr>
        <w:pStyle w:val="ListBullet"/>
        <w:spacing w:after="30"/>
      </w:pPr>
      <w:r>
        <w:t>Explicitly assign facility, district, regional, zonal and national scopes.</w:t>
      </w:r>
    </w:p>
    <w:p>
      <w:pPr>
        <w:pStyle w:val="ListBullet"/>
        <w:spacing w:after="30"/>
      </w:pPr>
      <w:r>
        <w:t>Support multi-facility assignments without granting broader access by default.</w:t>
      </w:r>
    </w:p>
    <w:p>
      <w:pPr>
        <w:pStyle w:val="ListBullet"/>
        <w:spacing w:after="30"/>
      </w:pPr>
      <w:r>
        <w:t>Audit sensitive views/exports where required.</w:t>
      </w:r>
    </w:p>
    <w:p>
      <w:pPr>
        <w:pStyle w:val="ListBullet"/>
        <w:spacing w:after="30"/>
      </w:pPr>
      <w:r>
        <w:t>Use secure password hashing, HTTPS, CSRF protection, session security, secret management and rate limiting.</w:t>
      </w:r>
    </w:p>
    <w:p>
      <w:pPr>
        <w:pStyle w:val="ListBullet"/>
        <w:spacing w:after="30"/>
      </w:pPr>
      <w:r>
        <w:t>Encrypt and restrict backups and periodically test restores.</w:t>
      </w:r>
    </w:p>
    <w:p>
      <w:pPr>
        <w:pStyle w:val="ListBullet"/>
        <w:spacing w:after="30"/>
      </w:pPr>
      <w:r>
        <w:t>Approve retention, patient rights, consent, incident response and breach-notification processes before production.</w:t>
      </w:r>
    </w:p>
    <w:p>
      <w:pPr>
        <w:pStyle w:val="ListBullet"/>
        <w:spacing w:after="30"/>
      </w:pPr>
      <w:r>
        <w:t>Ensure research access and exports follow approved protocols and consent.</w:t>
      </w:r>
    </w:p>
    <w:p>
      <w:pPr>
        <w:pStyle w:val="Heading1"/>
      </w:pPr>
      <w:r>
        <w:t>11. Audit, Soft Deletion and Record Lifecycle</w:t>
      </w:r>
    </w:p>
    <w:p>
      <w:pPr>
        <w:pStyle w:val="ListBullet"/>
        <w:spacing w:after="30"/>
      </w:pPr>
      <w:r>
        <w:t>Record actor, timestamp, action, target, appropriate before/after values, reason and relevant facility/context.</w:t>
      </w:r>
    </w:p>
    <w:p>
      <w:pPr>
        <w:pStyle w:val="ListBullet"/>
        <w:spacing w:after="30"/>
      </w:pPr>
      <w:r>
        <w:t>Audit create/update/soft-delete/restore, deactivation/reactivation, transfer, verification, review, export and permission changes.</w:t>
      </w:r>
    </w:p>
    <w:p>
      <w:pPr>
        <w:pStyle w:val="ListBullet"/>
        <w:spacing w:after="30"/>
      </w:pPr>
      <w:r>
        <w:t>Use transactionally consistent audit events for critical changes.</w:t>
      </w:r>
    </w:p>
    <w:p>
      <w:pPr>
        <w:pStyle w:val="ListBullet"/>
        <w:spacing w:after="30"/>
      </w:pPr>
      <w:r>
        <w:t>Protect logs from ordinary editing/deletion and restrict access.</w:t>
      </w:r>
    </w:p>
    <w:p>
      <w:pPr>
        <w:pStyle w:val="ListBullet"/>
        <w:spacing w:after="30"/>
      </w:pPr>
      <w:r>
        <w:t>Soft-deleted records are hidden from routine lists but recoverable by authorized users under policy.</w:t>
      </w:r>
    </w:p>
    <w:p>
      <w:pPr>
        <w:pStyle w:val="ListBullet"/>
        <w:spacing w:after="30"/>
      </w:pPr>
      <w:r>
        <w:t>Deactivation is not deletion; historical records retain original staff attribution.</w:t>
      </w:r>
    </w:p>
    <w:p>
      <w:pPr>
        <w:pStyle w:val="ListBullet"/>
        <w:spacing w:after="30"/>
      </w:pPr>
      <w:r>
        <w:t>Do not cascade-delete clinical records when a patient or staff account is deactivated.</w:t>
      </w:r>
    </w:p>
    <w:p>
      <w:pPr>
        <w:pStyle w:val="ListBullet"/>
        <w:spacing w:after="30"/>
      </w:pPr>
      <w:r>
        <w:t>Permanent deletion, where required, is an exceptional controlled process with approval and documented impact.</w:t>
      </w:r>
    </w:p>
    <w:p>
      <w:pPr>
        <w:pStyle w:val="Heading1"/>
      </w:pPr>
      <w:r>
        <w:t>12. Reporting and Dashboards</w:t>
      </w:r>
    </w:p>
    <w:p>
      <w:pPr>
        <w:pStyle w:val="ListBullet"/>
        <w:spacing w:after="30"/>
      </w:pPr>
      <w:r>
        <w:t>Patient register and demographic summaries by authorized scope.</w:t>
      </w:r>
    </w:p>
    <w:p>
      <w:pPr>
        <w:pStyle w:val="ListBullet"/>
        <w:spacing w:after="30"/>
      </w:pPr>
      <w:r>
        <w:t>Clinical programme and disease-specific enrollment summaries.</w:t>
      </w:r>
    </w:p>
    <w:p>
      <w:pPr>
        <w:pStyle w:val="ListBullet"/>
        <w:spacing w:after="30"/>
      </w:pPr>
      <w:r>
        <w:t>Research enrollments by study, facility and period.</w:t>
      </w:r>
    </w:p>
    <w:p>
      <w:pPr>
        <w:pStyle w:val="ListBullet"/>
        <w:spacing w:after="30"/>
      </w:pPr>
      <w:r>
        <w:t>Transfer-in/out event reports and current assigned-patient lists.</w:t>
      </w:r>
    </w:p>
    <w:p>
      <w:pPr>
        <w:pStyle w:val="ListBullet"/>
        <w:spacing w:after="30"/>
      </w:pPr>
      <w:r>
        <w:t>Screening counts/outcomes by source and disease.</w:t>
      </w:r>
    </w:p>
    <w:p>
      <w:pPr>
        <w:pStyle w:val="ListBullet"/>
        <w:spacing w:after="30"/>
      </w:pPr>
      <w:r>
        <w:t>Appointment adherence, overdue follow-up and missed visits.</w:t>
      </w:r>
    </w:p>
    <w:p>
      <w:pPr>
        <w:pStyle w:val="ListBullet"/>
        <w:spacing w:after="30"/>
      </w:pPr>
      <w:r>
        <w:t>Encounter/CRF completeness, awaiting-review and pending-results queues.</w:t>
      </w:r>
    </w:p>
    <w:p>
      <w:pPr>
        <w:pStyle w:val="ListBullet"/>
        <w:spacing w:after="30"/>
      </w:pPr>
      <w:r>
        <w:t>Laboratory/investigation workload and turnaround where timestamps exist.</w:t>
      </w:r>
    </w:p>
    <w:p>
      <w:pPr>
        <w:pStyle w:val="ListBullet"/>
        <w:spacing w:after="30"/>
      </w:pPr>
      <w:r>
        <w:t>Pharmacy stock, expiry, dispensing and movement reports.</w:t>
      </w:r>
    </w:p>
    <w:p>
      <w:pPr>
        <w:pStyle w:val="ListBullet"/>
        <w:spacing w:after="30"/>
      </w:pPr>
      <w:r>
        <w:t>Admissions, discharge and readmission summaries.</w:t>
      </w:r>
    </w:p>
    <w:p>
      <w:pPr>
        <w:pStyle w:val="ListBullet"/>
        <w:spacing w:after="30"/>
      </w:pPr>
      <w:r>
        <w:t>Audit/account lifecycle reports.</w:t>
      </w:r>
    </w:p>
    <w:p>
      <w:pPr>
        <w:pStyle w:val="ListBullet"/>
        <w:spacing w:after="30"/>
      </w:pPr>
      <w:r>
        <w:t>Monthly enrollment reports delivered according to each recipient's access scope.</w:t>
      </w:r>
    </w:p>
    <w:p>
      <w:r>
        <w:t>Reports must display reporting period, applied scope, generation time and filters. Consider small-cell disclosure rules for sensitive research reports.</w:t>
      </w:r>
    </w:p>
    <w:p>
      <w:pPr>
        <w:pStyle w:val="Heading1"/>
      </w:pPr>
      <w:r>
        <w:t>13. External Integration and Interoperability</w:t>
      </w:r>
    </w:p>
    <w:p>
      <w:pPr>
        <w:pStyle w:val="ListBullet"/>
        <w:spacing w:after="30"/>
      </w:pPr>
      <w:r>
        <w:t>Keep integration services separate from clinical business logic.</w:t>
      </w:r>
    </w:p>
    <w:p>
      <w:pPr>
        <w:pStyle w:val="ListBullet"/>
        <w:spacing w:after="30"/>
      </w:pPr>
      <w:r>
        <w:t>Store external IDs/source metadata without replacing the stable system patient ID.</w:t>
      </w:r>
    </w:p>
    <w:p>
      <w:pPr>
        <w:pStyle w:val="ListBullet"/>
        <w:spacing w:after="30"/>
      </w:pPr>
      <w:r>
        <w:t>Use mapping tables, idempotency keys, validation, duplicate handling, error queues and sync logs.</w:t>
      </w:r>
    </w:p>
    <w:p>
      <w:pPr>
        <w:pStyle w:val="ListBullet"/>
        <w:spacing w:after="30"/>
      </w:pPr>
      <w:r>
        <w:t>Define authoritative source and conflict-resolution rules for each data domain.</w:t>
      </w:r>
    </w:p>
    <w:p>
      <w:pPr>
        <w:pStyle w:val="ListBullet"/>
        <w:spacing w:after="30"/>
      </w:pPr>
      <w:r>
        <w:t>Consider HL7 FHIR only if supported by the target system and local requirements.</w:t>
      </w:r>
    </w:p>
    <w:p>
      <w:pPr>
        <w:pStyle w:val="ListBullet"/>
        <w:spacing w:after="30"/>
      </w:pPr>
      <w:r>
        <w:t>Verify GoTHOMIS/Ministry interfaces, approvals, test access, mapping and operational ownership before implementing a connector.</w:t>
      </w:r>
    </w:p>
    <w:p>
      <w:pPr>
        <w:pStyle w:val="ListBullet"/>
        <w:spacing w:after="30"/>
      </w:pPr>
      <w:r>
        <w:t>Do not transmit clinical data externally without authorization, minimum-necessary mapping, audit and reconciliation.</w:t>
      </w:r>
    </w:p>
    <w:p>
      <w:pPr>
        <w:pStyle w:val="Heading1"/>
      </w:pPr>
      <w:r>
        <w:t>14.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088"/>
            <w:shd w:fill="D9EAF7"/>
          </w:tcPr>
          <w:p>
            <w:r>
              <w:rPr>
                <w:b/>
                <w:sz w:val="17"/>
              </w:rPr>
              <w:t>ID</w:t>
            </w:r>
          </w:p>
        </w:tc>
        <w:tc>
          <w:tcPr>
            <w:tcW w:type="dxa" w:w="7272"/>
            <w:shd w:fill="D9EAF7"/>
          </w:tcPr>
          <w:p>
            <w:r>
              <w:rPr>
                <w:b/>
                <w:sz w:val="17"/>
              </w:rPr>
              <w:t>Requirement</w:t>
            </w:r>
          </w:p>
        </w:tc>
      </w:tr>
      <w:tr>
        <w:tc>
          <w:tcPr>
            <w:tcW w:type="dxa" w:w="2088"/>
            <w:vAlign w:val="center"/>
          </w:tcPr>
          <w:p>
            <w:pPr>
              <w:spacing w:after="0"/>
            </w:pPr>
            <w:r>
              <w:rPr>
                <w:rFonts w:ascii="Arial" w:hAnsi="Arial"/>
                <w:sz w:val="16"/>
              </w:rPr>
              <w:t>NFR-001 Availability</w:t>
            </w:r>
          </w:p>
        </w:tc>
        <w:tc>
          <w:tcPr>
            <w:tcW w:type="dxa" w:w="7272"/>
            <w:vAlign w:val="center"/>
          </w:tcPr>
          <w:p>
            <w:pPr>
              <w:spacing w:after="0"/>
            </w:pPr>
            <w:r>
              <w:rPr>
                <w:rFonts w:ascii="Arial" w:hAnsi="Arial"/>
                <w:sz w:val="16"/>
              </w:rPr>
              <w:t>Agree uptime and service-hours targets before production; monitor errors and availability.</w:t>
            </w:r>
          </w:p>
        </w:tc>
      </w:tr>
      <w:tr>
        <w:tc>
          <w:tcPr>
            <w:tcW w:type="dxa" w:w="2088"/>
            <w:vAlign w:val="center"/>
          </w:tcPr>
          <w:p>
            <w:pPr>
              <w:spacing w:after="0"/>
            </w:pPr>
            <w:r>
              <w:rPr>
                <w:rFonts w:ascii="Arial" w:hAnsi="Arial"/>
                <w:sz w:val="16"/>
              </w:rPr>
              <w:t>NFR-002 Performance</w:t>
            </w:r>
          </w:p>
        </w:tc>
        <w:tc>
          <w:tcPr>
            <w:tcW w:type="dxa" w:w="7272"/>
            <w:vAlign w:val="center"/>
          </w:tcPr>
          <w:p>
            <w:pPr>
              <w:spacing w:after="0"/>
            </w:pPr>
            <w:r>
              <w:rPr>
                <w:rFonts w:ascii="Arial" w:hAnsi="Arial"/>
                <w:sz w:val="16"/>
              </w:rPr>
              <w:t>Common searches/pages should target &lt;2 seconds under agreed pilot load, excluding external services; validate with load tests.</w:t>
            </w:r>
          </w:p>
        </w:tc>
      </w:tr>
      <w:tr>
        <w:tc>
          <w:tcPr>
            <w:tcW w:type="dxa" w:w="2088"/>
            <w:vAlign w:val="center"/>
          </w:tcPr>
          <w:p>
            <w:pPr>
              <w:spacing w:after="0"/>
            </w:pPr>
            <w:r>
              <w:rPr>
                <w:rFonts w:ascii="Arial" w:hAnsi="Arial"/>
                <w:sz w:val="16"/>
              </w:rPr>
              <w:t>NFR-003 Scalability</w:t>
            </w:r>
          </w:p>
        </w:tc>
        <w:tc>
          <w:tcPr>
            <w:tcW w:type="dxa" w:w="7272"/>
            <w:vAlign w:val="center"/>
          </w:tcPr>
          <w:p>
            <w:pPr>
              <w:spacing w:after="0"/>
            </w:pPr>
            <w:r>
              <w:rPr>
                <w:rFonts w:ascii="Arial" w:hAnsi="Arial"/>
                <w:sz w:val="16"/>
              </w:rPr>
              <w:t>Support growth in facilities, patients, visits, forms and staff without redesigning identity relationships.</w:t>
            </w:r>
          </w:p>
        </w:tc>
      </w:tr>
      <w:tr>
        <w:tc>
          <w:tcPr>
            <w:tcW w:type="dxa" w:w="2088"/>
            <w:vAlign w:val="center"/>
          </w:tcPr>
          <w:p>
            <w:pPr>
              <w:spacing w:after="0"/>
            </w:pPr>
            <w:r>
              <w:rPr>
                <w:rFonts w:ascii="Arial" w:hAnsi="Arial"/>
                <w:sz w:val="16"/>
              </w:rPr>
              <w:t>NFR-004 Security</w:t>
            </w:r>
          </w:p>
        </w:tc>
        <w:tc>
          <w:tcPr>
            <w:tcW w:type="dxa" w:w="7272"/>
            <w:vAlign w:val="center"/>
          </w:tcPr>
          <w:p>
            <w:pPr>
              <w:spacing w:after="0"/>
            </w:pPr>
            <w:r>
              <w:rPr>
                <w:rFonts w:ascii="Arial" w:hAnsi="Arial"/>
                <w:sz w:val="16"/>
              </w:rPr>
              <w:t>Secure configuration, least privilege, HTTPS, password hashing, rate limiting, validation and dependency patching.</w:t>
            </w:r>
          </w:p>
        </w:tc>
      </w:tr>
      <w:tr>
        <w:tc>
          <w:tcPr>
            <w:tcW w:type="dxa" w:w="2088"/>
            <w:vAlign w:val="center"/>
          </w:tcPr>
          <w:p>
            <w:pPr>
              <w:spacing w:after="0"/>
            </w:pPr>
            <w:r>
              <w:rPr>
                <w:rFonts w:ascii="Arial" w:hAnsi="Arial"/>
                <w:sz w:val="16"/>
              </w:rPr>
              <w:t>NFR-005 Privacy</w:t>
            </w:r>
          </w:p>
        </w:tc>
        <w:tc>
          <w:tcPr>
            <w:tcW w:type="dxa" w:w="7272"/>
            <w:vAlign w:val="center"/>
          </w:tcPr>
          <w:p>
            <w:pPr>
              <w:spacing w:after="0"/>
            </w:pPr>
            <w:r>
              <w:rPr>
                <w:rFonts w:ascii="Arial" w:hAnsi="Arial"/>
                <w:sz w:val="16"/>
              </w:rPr>
              <w:t>Minimize disclosure in screens, exports, SMS and email; define consent and retention.</w:t>
            </w:r>
          </w:p>
        </w:tc>
      </w:tr>
      <w:tr>
        <w:tc>
          <w:tcPr>
            <w:tcW w:type="dxa" w:w="2088"/>
            <w:vAlign w:val="center"/>
          </w:tcPr>
          <w:p>
            <w:pPr>
              <w:spacing w:after="0"/>
            </w:pPr>
            <w:r>
              <w:rPr>
                <w:rFonts w:ascii="Arial" w:hAnsi="Arial"/>
                <w:sz w:val="16"/>
              </w:rPr>
              <w:t>NFR-006 Reliability</w:t>
            </w:r>
          </w:p>
        </w:tc>
        <w:tc>
          <w:tcPr>
            <w:tcW w:type="dxa" w:w="7272"/>
            <w:vAlign w:val="center"/>
          </w:tcPr>
          <w:p>
            <w:pPr>
              <w:spacing w:after="0"/>
            </w:pPr>
            <w:r>
              <w:rPr>
                <w:rFonts w:ascii="Arial" w:hAnsi="Arial"/>
                <w:sz w:val="16"/>
              </w:rPr>
              <w:t>Use background queues for SMS/email/report jobs; retries must be bounded and idempotent.</w:t>
            </w:r>
          </w:p>
        </w:tc>
      </w:tr>
      <w:tr>
        <w:tc>
          <w:tcPr>
            <w:tcW w:type="dxa" w:w="2088"/>
            <w:vAlign w:val="center"/>
          </w:tcPr>
          <w:p>
            <w:pPr>
              <w:spacing w:after="0"/>
            </w:pPr>
            <w:r>
              <w:rPr>
                <w:rFonts w:ascii="Arial" w:hAnsi="Arial"/>
                <w:sz w:val="16"/>
              </w:rPr>
              <w:t>NFR-007 Auditability</w:t>
            </w:r>
          </w:p>
        </w:tc>
        <w:tc>
          <w:tcPr>
            <w:tcW w:type="dxa" w:w="7272"/>
            <w:vAlign w:val="center"/>
          </w:tcPr>
          <w:p>
            <w:pPr>
              <w:spacing w:after="0"/>
            </w:pPr>
            <w:r>
              <w:rPr>
                <w:rFonts w:ascii="Arial" w:hAnsi="Arial"/>
                <w:sz w:val="16"/>
              </w:rPr>
              <w:t>Critical events must be attributable, timestamped and protected against ordinary modification.</w:t>
            </w:r>
          </w:p>
        </w:tc>
      </w:tr>
      <w:tr>
        <w:tc>
          <w:tcPr>
            <w:tcW w:type="dxa" w:w="2088"/>
            <w:vAlign w:val="center"/>
          </w:tcPr>
          <w:p>
            <w:pPr>
              <w:spacing w:after="0"/>
            </w:pPr>
            <w:r>
              <w:rPr>
                <w:rFonts w:ascii="Arial" w:hAnsi="Arial"/>
                <w:sz w:val="16"/>
              </w:rPr>
              <w:t>NFR-008 Integrity</w:t>
            </w:r>
          </w:p>
        </w:tc>
        <w:tc>
          <w:tcPr>
            <w:tcW w:type="dxa" w:w="7272"/>
            <w:vAlign w:val="center"/>
          </w:tcPr>
          <w:p>
            <w:pPr>
              <w:spacing w:after="0"/>
            </w:pPr>
            <w:r>
              <w:rPr>
                <w:rFonts w:ascii="Arial" w:hAnsi="Arial"/>
                <w:sz w:val="16"/>
              </w:rPr>
              <w:t>Use constraints, transactions, referential integrity and controlled state transitions.</w:t>
            </w:r>
          </w:p>
        </w:tc>
      </w:tr>
      <w:tr>
        <w:tc>
          <w:tcPr>
            <w:tcW w:type="dxa" w:w="2088"/>
            <w:vAlign w:val="center"/>
          </w:tcPr>
          <w:p>
            <w:pPr>
              <w:spacing w:after="0"/>
            </w:pPr>
            <w:r>
              <w:rPr>
                <w:rFonts w:ascii="Arial" w:hAnsi="Arial"/>
                <w:sz w:val="16"/>
              </w:rPr>
              <w:t>NFR-009 Recovery</w:t>
            </w:r>
          </w:p>
        </w:tc>
        <w:tc>
          <w:tcPr>
            <w:tcW w:type="dxa" w:w="7272"/>
            <w:vAlign w:val="center"/>
          </w:tcPr>
          <w:p>
            <w:pPr>
              <w:spacing w:after="0"/>
            </w:pPr>
            <w:r>
              <w:rPr>
                <w:rFonts w:ascii="Arial" w:hAnsi="Arial"/>
                <w:sz w:val="16"/>
              </w:rPr>
              <w:t>Set recovery time/point objectives; encrypt backups and test restoration.</w:t>
            </w:r>
          </w:p>
        </w:tc>
      </w:tr>
      <w:tr>
        <w:tc>
          <w:tcPr>
            <w:tcW w:type="dxa" w:w="2088"/>
            <w:vAlign w:val="center"/>
          </w:tcPr>
          <w:p>
            <w:pPr>
              <w:spacing w:after="0"/>
            </w:pPr>
            <w:r>
              <w:rPr>
                <w:rFonts w:ascii="Arial" w:hAnsi="Arial"/>
                <w:sz w:val="16"/>
              </w:rPr>
              <w:t>NFR-010 Usability</w:t>
            </w:r>
          </w:p>
        </w:tc>
        <w:tc>
          <w:tcPr>
            <w:tcW w:type="dxa" w:w="7272"/>
            <w:vAlign w:val="center"/>
          </w:tcPr>
          <w:p>
            <w:pPr>
              <w:spacing w:after="0"/>
            </w:pPr>
            <w:r>
              <w:rPr>
                <w:rFonts w:ascii="Arial" w:hAnsi="Arial"/>
                <w:sz w:val="16"/>
              </w:rPr>
              <w:t>Responsive accessible interfaces, clear validation and role-appropriate workflows.</w:t>
            </w:r>
          </w:p>
        </w:tc>
      </w:tr>
      <w:tr>
        <w:tc>
          <w:tcPr>
            <w:tcW w:type="dxa" w:w="2088"/>
            <w:vAlign w:val="center"/>
          </w:tcPr>
          <w:p>
            <w:pPr>
              <w:spacing w:after="0"/>
            </w:pPr>
            <w:r>
              <w:rPr>
                <w:rFonts w:ascii="Arial" w:hAnsi="Arial"/>
                <w:sz w:val="16"/>
              </w:rPr>
              <w:t>NFR-011 Maintainability</w:t>
            </w:r>
          </w:p>
        </w:tc>
        <w:tc>
          <w:tcPr>
            <w:tcW w:type="dxa" w:w="7272"/>
            <w:vAlign w:val="center"/>
          </w:tcPr>
          <w:p>
            <w:pPr>
              <w:spacing w:after="0"/>
            </w:pPr>
            <w:r>
              <w:rPr>
                <w:rFonts w:ascii="Arial" w:hAnsi="Arial"/>
                <w:sz w:val="16"/>
              </w:rPr>
              <w:t>Modular apps, automated tests, documented migrations, code review and pinned dependencies.</w:t>
            </w:r>
          </w:p>
        </w:tc>
      </w:tr>
      <w:tr>
        <w:tc>
          <w:tcPr>
            <w:tcW w:type="dxa" w:w="2088"/>
            <w:vAlign w:val="center"/>
          </w:tcPr>
          <w:p>
            <w:pPr>
              <w:spacing w:after="0"/>
            </w:pPr>
            <w:r>
              <w:rPr>
                <w:rFonts w:ascii="Arial" w:hAnsi="Arial"/>
                <w:sz w:val="16"/>
              </w:rPr>
              <w:t>NFR-012 Interoperability</w:t>
            </w:r>
          </w:p>
        </w:tc>
        <w:tc>
          <w:tcPr>
            <w:tcW w:type="dxa" w:w="7272"/>
            <w:vAlign w:val="center"/>
          </w:tcPr>
          <w:p>
            <w:pPr>
              <w:spacing w:after="0"/>
            </w:pPr>
            <w:r>
              <w:rPr>
                <w:rFonts w:ascii="Arial" w:hAnsi="Arial"/>
                <w:sz w:val="16"/>
              </w:rPr>
              <w:t>Document/authenticate approved interfaces, version APIs and log integration errors.</w:t>
            </w:r>
          </w:p>
        </w:tc>
      </w:tr>
      <w:tr>
        <w:tc>
          <w:tcPr>
            <w:tcW w:type="dxa" w:w="2088"/>
            <w:vAlign w:val="center"/>
          </w:tcPr>
          <w:p>
            <w:pPr>
              <w:spacing w:after="0"/>
            </w:pPr>
            <w:r>
              <w:rPr>
                <w:rFonts w:ascii="Arial" w:hAnsi="Arial"/>
                <w:sz w:val="16"/>
              </w:rPr>
              <w:t>NFR-013 Localization</w:t>
            </w:r>
          </w:p>
        </w:tc>
        <w:tc>
          <w:tcPr>
            <w:tcW w:type="dxa" w:w="7272"/>
            <w:vAlign w:val="center"/>
          </w:tcPr>
          <w:p>
            <w:pPr>
              <w:spacing w:after="0"/>
            </w:pPr>
            <w:r>
              <w:rPr>
                <w:rFonts w:ascii="Arial" w:hAnsi="Arial"/>
                <w:sz w:val="16"/>
              </w:rPr>
              <w:t>English initially; allow future Swahili; default Africa/Dar_es_Salaam timezone subject to approval.</w:t>
            </w:r>
          </w:p>
        </w:tc>
      </w:tr>
      <w:tr>
        <w:tc>
          <w:tcPr>
            <w:tcW w:type="dxa" w:w="2088"/>
            <w:vAlign w:val="center"/>
          </w:tcPr>
          <w:p>
            <w:pPr>
              <w:spacing w:after="0"/>
            </w:pPr>
            <w:r>
              <w:rPr>
                <w:rFonts w:ascii="Arial" w:hAnsi="Arial"/>
                <w:sz w:val="16"/>
              </w:rPr>
              <w:t>NFR-014 Monitoring</w:t>
            </w:r>
          </w:p>
        </w:tc>
        <w:tc>
          <w:tcPr>
            <w:tcW w:type="dxa" w:w="7272"/>
            <w:vAlign w:val="center"/>
          </w:tcPr>
          <w:p>
            <w:pPr>
              <w:spacing w:after="0"/>
            </w:pPr>
            <w:r>
              <w:rPr>
                <w:rFonts w:ascii="Arial" w:hAnsi="Arial"/>
                <w:sz w:val="16"/>
              </w:rPr>
              <w:t>Monitor background jobs, failed messages, reports, application errors and infrastructure.</w:t>
            </w:r>
          </w:p>
        </w:tc>
      </w:tr>
    </w:tbl>
    <w:p/>
    <w:p>
      <w:pPr>
        <w:pStyle w:val="Heading1"/>
      </w:pPr>
      <w:r>
        <w:t>15. Business Rules and Edge Cases</w:t>
      </w:r>
    </w:p>
    <w:tbl>
      <w:tblPr>
        <w:tblStyle w:val="TableGrid"/>
        <w:tblW w:type="auto" w:w="0"/>
        <w:jc w:val="center"/>
        <w:tblLook w:firstColumn="1" w:firstRow="1" w:lastColumn="0" w:lastRow="0" w:noHBand="0" w:noVBand="1" w:val="04A0"/>
      </w:tblPr>
      <w:tblGrid>
        <w:gridCol w:w="4968"/>
        <w:gridCol w:w="4968"/>
      </w:tblGrid>
      <w:tr>
        <w:tc>
          <w:tcPr>
            <w:tcW w:type="dxa" w:w="2232"/>
            <w:shd w:fill="D9EAF7"/>
          </w:tcPr>
          <w:p>
            <w:r>
              <w:rPr>
                <w:b/>
                <w:sz w:val="17"/>
              </w:rPr>
              <w:t>Scenario</w:t>
            </w:r>
          </w:p>
        </w:tc>
        <w:tc>
          <w:tcPr>
            <w:tcW w:type="dxa" w:w="7128"/>
            <w:shd w:fill="D9EAF7"/>
          </w:tcPr>
          <w:p>
            <w:r>
              <w:rPr>
                <w:b/>
                <w:sz w:val="17"/>
              </w:rPr>
              <w:t>Required behavior</w:t>
            </w:r>
          </w:p>
        </w:tc>
      </w:tr>
      <w:tr>
        <w:tc>
          <w:tcPr>
            <w:tcW w:type="dxa" w:w="2232"/>
            <w:vAlign w:val="center"/>
          </w:tcPr>
          <w:p>
            <w:pPr>
              <w:spacing w:after="0"/>
            </w:pPr>
            <w:r>
              <w:rPr>
                <w:rFonts w:ascii="Arial" w:hAnsi="Arial"/>
                <w:sz w:val="16"/>
              </w:rPr>
              <w:t>Duplicate patient</w:t>
            </w:r>
          </w:p>
        </w:tc>
        <w:tc>
          <w:tcPr>
            <w:tcW w:type="dxa" w:w="7128"/>
            <w:vAlign w:val="center"/>
          </w:tcPr>
          <w:p>
            <w:pPr>
              <w:spacing w:after="0"/>
            </w:pPr>
            <w:r>
              <w:rPr>
                <w:rFonts w:ascii="Arial" w:hAnsi="Arial"/>
                <w:sz w:val="16"/>
              </w:rPr>
              <w:t>Flag likely duplicates; controlled merge preserves identifiers, links and audit.</w:t>
            </w:r>
          </w:p>
        </w:tc>
      </w:tr>
      <w:tr>
        <w:tc>
          <w:tcPr>
            <w:tcW w:type="dxa" w:w="2232"/>
            <w:vAlign w:val="center"/>
          </w:tcPr>
          <w:p>
            <w:pPr>
              <w:spacing w:after="0"/>
            </w:pPr>
            <w:r>
              <w:rPr>
                <w:rFonts w:ascii="Arial" w:hAnsi="Arial"/>
                <w:sz w:val="16"/>
              </w:rPr>
              <w:t>Multiple diseases</w:t>
            </w:r>
          </w:p>
        </w:tc>
        <w:tc>
          <w:tcPr>
            <w:tcW w:type="dxa" w:w="7128"/>
            <w:vAlign w:val="center"/>
          </w:tcPr>
          <w:p>
            <w:pPr>
              <w:spacing w:after="0"/>
            </w:pPr>
            <w:r>
              <w:rPr>
                <w:rFonts w:ascii="Arial" w:hAnsi="Arial"/>
                <w:sz w:val="16"/>
              </w:rPr>
              <w:t>One patient may have multiple diagnoses and programme enrollments.</w:t>
            </w:r>
          </w:p>
        </w:tc>
      </w:tr>
      <w:tr>
        <w:tc>
          <w:tcPr>
            <w:tcW w:type="dxa" w:w="2232"/>
            <w:vAlign w:val="center"/>
          </w:tcPr>
          <w:p>
            <w:pPr>
              <w:spacing w:after="0"/>
            </w:pPr>
            <w:r>
              <w:rPr>
                <w:rFonts w:ascii="Arial" w:hAnsi="Arial"/>
                <w:sz w:val="16"/>
              </w:rPr>
              <w:t>Multiple studies</w:t>
            </w:r>
          </w:p>
        </w:tc>
        <w:tc>
          <w:tcPr>
            <w:tcW w:type="dxa" w:w="7128"/>
            <w:vAlign w:val="center"/>
          </w:tcPr>
          <w:p>
            <w:pPr>
              <w:spacing w:after="0"/>
            </w:pPr>
            <w:r>
              <w:rPr>
                <w:rFonts w:ascii="Arial" w:hAnsi="Arial"/>
                <w:sz w:val="16"/>
              </w:rPr>
              <w:t>Allow where protocols/permissions permit; do not duplicate patient.</w:t>
            </w:r>
          </w:p>
        </w:tc>
      </w:tr>
      <w:tr>
        <w:tc>
          <w:tcPr>
            <w:tcW w:type="dxa" w:w="2232"/>
            <w:vAlign w:val="center"/>
          </w:tcPr>
          <w:p>
            <w:pPr>
              <w:spacing w:after="0"/>
            </w:pPr>
            <w:r>
              <w:rPr>
                <w:rFonts w:ascii="Arial" w:hAnsi="Arial"/>
                <w:sz w:val="16"/>
              </w:rPr>
              <w:t>Missed vs LTFU</w:t>
            </w:r>
          </w:p>
        </w:tc>
        <w:tc>
          <w:tcPr>
            <w:tcW w:type="dxa" w:w="7128"/>
            <w:vAlign w:val="center"/>
          </w:tcPr>
          <w:p>
            <w:pPr>
              <w:spacing w:after="0"/>
            </w:pPr>
            <w:r>
              <w:rPr>
                <w:rFonts w:ascii="Arial" w:hAnsi="Arial"/>
                <w:sz w:val="16"/>
              </w:rPr>
              <w:t>A missed appointment is not automatically LTFU; apply defined workflow.</w:t>
            </w:r>
          </w:p>
        </w:tc>
      </w:tr>
      <w:tr>
        <w:tc>
          <w:tcPr>
            <w:tcW w:type="dxa" w:w="2232"/>
            <w:vAlign w:val="center"/>
          </w:tcPr>
          <w:p>
            <w:pPr>
              <w:spacing w:after="0"/>
            </w:pPr>
            <w:r>
              <w:rPr>
                <w:rFonts w:ascii="Arial" w:hAnsi="Arial"/>
                <w:sz w:val="16"/>
              </w:rPr>
              <w:t>Death</w:t>
            </w:r>
          </w:p>
        </w:tc>
        <w:tc>
          <w:tcPr>
            <w:tcW w:type="dxa" w:w="7128"/>
            <w:vAlign w:val="center"/>
          </w:tcPr>
          <w:p>
            <w:pPr>
              <w:spacing w:after="0"/>
            </w:pPr>
            <w:r>
              <w:rPr>
                <w:rFonts w:ascii="Arial" w:hAnsi="Arial"/>
                <w:sz w:val="16"/>
              </w:rPr>
              <w:t>Controlled patient-level event; reconcile future schedules per policy.</w:t>
            </w:r>
          </w:p>
        </w:tc>
      </w:tr>
      <w:tr>
        <w:tc>
          <w:tcPr>
            <w:tcW w:type="dxa" w:w="2232"/>
            <w:vAlign w:val="center"/>
          </w:tcPr>
          <w:p>
            <w:pPr>
              <w:spacing w:after="0"/>
            </w:pPr>
            <w:r>
              <w:rPr>
                <w:rFonts w:ascii="Arial" w:hAnsi="Arial"/>
                <w:sz w:val="16"/>
              </w:rPr>
              <w:t>Transfer</w:t>
            </w:r>
          </w:p>
        </w:tc>
        <w:tc>
          <w:tcPr>
            <w:tcW w:type="dxa" w:w="7128"/>
            <w:vAlign w:val="center"/>
          </w:tcPr>
          <w:p>
            <w:pPr>
              <w:spacing w:after="0"/>
            </w:pPr>
            <w:r>
              <w:rPr>
                <w:rFonts w:ascii="Arial" w:hAnsi="Arial"/>
                <w:sz w:val="16"/>
              </w:rPr>
              <w:t>Preserve events and history; update assignment only through authorized workflow.</w:t>
            </w:r>
          </w:p>
        </w:tc>
      </w:tr>
      <w:tr>
        <w:tc>
          <w:tcPr>
            <w:tcW w:type="dxa" w:w="2232"/>
            <w:vAlign w:val="center"/>
          </w:tcPr>
          <w:p>
            <w:pPr>
              <w:spacing w:after="0"/>
            </w:pPr>
            <w:r>
              <w:rPr>
                <w:rFonts w:ascii="Arial" w:hAnsi="Arial"/>
                <w:sz w:val="16"/>
              </w:rPr>
              <w:t>Return after transfer/LTFU</w:t>
            </w:r>
          </w:p>
        </w:tc>
        <w:tc>
          <w:tcPr>
            <w:tcW w:type="dxa" w:w="7128"/>
            <w:vAlign w:val="center"/>
          </w:tcPr>
          <w:p>
            <w:pPr>
              <w:spacing w:after="0"/>
            </w:pPr>
            <w:r>
              <w:rPr>
                <w:rFonts w:ascii="Arial" w:hAnsi="Arial"/>
                <w:sz w:val="16"/>
              </w:rPr>
              <w:t>Record return/reactivation; retain previous status history.</w:t>
            </w:r>
          </w:p>
        </w:tc>
      </w:tr>
      <w:tr>
        <w:tc>
          <w:tcPr>
            <w:tcW w:type="dxa" w:w="2232"/>
            <w:vAlign w:val="center"/>
          </w:tcPr>
          <w:p>
            <w:pPr>
              <w:spacing w:after="0"/>
            </w:pPr>
            <w:r>
              <w:rPr>
                <w:rFonts w:ascii="Arial" w:hAnsi="Arial"/>
                <w:sz w:val="16"/>
              </w:rPr>
              <w:t>Past schedule</w:t>
            </w:r>
          </w:p>
        </w:tc>
        <w:tc>
          <w:tcPr>
            <w:tcW w:type="dxa" w:w="7128"/>
            <w:vAlign w:val="center"/>
          </w:tcPr>
          <w:p>
            <w:pPr>
              <w:spacing w:after="0"/>
            </w:pPr>
            <w:r>
              <w:rPr>
                <w:rFonts w:ascii="Arial" w:hAnsi="Arial"/>
                <w:sz w:val="16"/>
              </w:rPr>
              <w:t>Create historical expected visits; reconcile before marking missed.</w:t>
            </w:r>
          </w:p>
        </w:tc>
      </w:tr>
      <w:tr>
        <w:tc>
          <w:tcPr>
            <w:tcW w:type="dxa" w:w="2232"/>
            <w:vAlign w:val="center"/>
          </w:tcPr>
          <w:p>
            <w:pPr>
              <w:spacing w:after="0"/>
            </w:pPr>
            <w:r>
              <w:rPr>
                <w:rFonts w:ascii="Arial" w:hAnsi="Arial"/>
                <w:sz w:val="16"/>
              </w:rPr>
              <w:t>Schedule change</w:t>
            </w:r>
          </w:p>
        </w:tc>
        <w:tc>
          <w:tcPr>
            <w:tcW w:type="dxa" w:w="7128"/>
            <w:vAlign w:val="center"/>
          </w:tcPr>
          <w:p>
            <w:pPr>
              <w:spacing w:after="0"/>
            </w:pPr>
            <w:r>
              <w:rPr>
                <w:rFonts w:ascii="Arial" w:hAnsi="Arial"/>
                <w:sz w:val="16"/>
              </w:rPr>
              <w:t>Preserve completed visits and audit changes.</w:t>
            </w:r>
          </w:p>
        </w:tc>
      </w:tr>
      <w:tr>
        <w:tc>
          <w:tcPr>
            <w:tcW w:type="dxa" w:w="2232"/>
            <w:vAlign w:val="center"/>
          </w:tcPr>
          <w:p>
            <w:pPr>
              <w:spacing w:after="0"/>
            </w:pPr>
            <w:r>
              <w:rPr>
                <w:rFonts w:ascii="Arial" w:hAnsi="Arial"/>
                <w:sz w:val="16"/>
              </w:rPr>
              <w:t>Pending results</w:t>
            </w:r>
          </w:p>
        </w:tc>
        <w:tc>
          <w:tcPr>
            <w:tcW w:type="dxa" w:w="7128"/>
            <w:vAlign w:val="center"/>
          </w:tcPr>
          <w:p>
            <w:pPr>
              <w:spacing w:after="0"/>
            </w:pPr>
            <w:r>
              <w:rPr>
                <w:rFonts w:ascii="Arial" w:hAnsi="Arial"/>
                <w:sz w:val="16"/>
              </w:rPr>
              <w:t>Show dependency; do not conflate with missing CRF.</w:t>
            </w:r>
          </w:p>
        </w:tc>
      </w:tr>
      <w:tr>
        <w:tc>
          <w:tcPr>
            <w:tcW w:type="dxa" w:w="2232"/>
            <w:vAlign w:val="center"/>
          </w:tcPr>
          <w:p>
            <w:pPr>
              <w:spacing w:after="0"/>
            </w:pPr>
            <w:r>
              <w:rPr>
                <w:rFonts w:ascii="Arial" w:hAnsi="Arial"/>
                <w:sz w:val="16"/>
              </w:rPr>
              <w:t>Failed home visit</w:t>
            </w:r>
          </w:p>
        </w:tc>
        <w:tc>
          <w:tcPr>
            <w:tcW w:type="dxa" w:w="7128"/>
            <w:vAlign w:val="center"/>
          </w:tcPr>
          <w:p>
            <w:pPr>
              <w:spacing w:after="0"/>
            </w:pPr>
            <w:r>
              <w:rPr>
                <w:rFonts w:ascii="Arial" w:hAnsi="Arial"/>
                <w:sz w:val="16"/>
              </w:rPr>
              <w:t>Record attempt/outcome without falsely completing an encounter.</w:t>
            </w:r>
          </w:p>
        </w:tc>
      </w:tr>
      <w:tr>
        <w:tc>
          <w:tcPr>
            <w:tcW w:type="dxa" w:w="2232"/>
            <w:vAlign w:val="center"/>
          </w:tcPr>
          <w:p>
            <w:pPr>
              <w:spacing w:after="0"/>
            </w:pPr>
            <w:r>
              <w:rPr>
                <w:rFonts w:ascii="Arial" w:hAnsi="Arial"/>
                <w:sz w:val="16"/>
              </w:rPr>
              <w:t>Phone changed</w:t>
            </w:r>
          </w:p>
        </w:tc>
        <w:tc>
          <w:tcPr>
            <w:tcW w:type="dxa" w:w="7128"/>
            <w:vAlign w:val="center"/>
          </w:tcPr>
          <w:p>
            <w:pPr>
              <w:spacing w:after="0"/>
            </w:pPr>
            <w:r>
              <w:rPr>
                <w:rFonts w:ascii="Arial" w:hAnsi="Arial"/>
                <w:sz w:val="16"/>
              </w:rPr>
              <w:t>Reverify where configured; review messages queued for old number.</w:t>
            </w:r>
          </w:p>
        </w:tc>
      </w:tr>
      <w:tr>
        <w:tc>
          <w:tcPr>
            <w:tcW w:type="dxa" w:w="2232"/>
            <w:vAlign w:val="center"/>
          </w:tcPr>
          <w:p>
            <w:pPr>
              <w:spacing w:after="0"/>
            </w:pPr>
            <w:r>
              <w:rPr>
                <w:rFonts w:ascii="Arial" w:hAnsi="Arial"/>
                <w:sz w:val="16"/>
              </w:rPr>
              <w:t>Appointment rescheduled</w:t>
            </w:r>
          </w:p>
        </w:tc>
        <w:tc>
          <w:tcPr>
            <w:tcW w:type="dxa" w:w="7128"/>
            <w:vAlign w:val="center"/>
          </w:tcPr>
          <w:p>
            <w:pPr>
              <w:spacing w:after="0"/>
            </w:pPr>
            <w:r>
              <w:rPr>
                <w:rFonts w:ascii="Arial" w:hAnsi="Arial"/>
                <w:sz w:val="16"/>
              </w:rPr>
              <w:t>Cancel obsolete reminders and schedule new reminders.</w:t>
            </w:r>
          </w:p>
        </w:tc>
      </w:tr>
      <w:tr>
        <w:tc>
          <w:tcPr>
            <w:tcW w:type="dxa" w:w="2232"/>
            <w:vAlign w:val="center"/>
          </w:tcPr>
          <w:p>
            <w:pPr>
              <w:spacing w:after="0"/>
            </w:pPr>
            <w:r>
              <w:rPr>
                <w:rFonts w:ascii="Arial" w:hAnsi="Arial"/>
                <w:sz w:val="16"/>
              </w:rPr>
              <w:t>SMS outage</w:t>
            </w:r>
          </w:p>
        </w:tc>
        <w:tc>
          <w:tcPr>
            <w:tcW w:type="dxa" w:w="7128"/>
            <w:vAlign w:val="center"/>
          </w:tcPr>
          <w:p>
            <w:pPr>
              <w:spacing w:after="0"/>
            </w:pPr>
            <w:r>
              <w:rPr>
                <w:rFonts w:ascii="Arial" w:hAnsi="Arial"/>
                <w:sz w:val="16"/>
              </w:rPr>
              <w:t>Retry safely; avoid duplicate sends.</w:t>
            </w:r>
          </w:p>
        </w:tc>
      </w:tr>
      <w:tr>
        <w:tc>
          <w:tcPr>
            <w:tcW w:type="dxa" w:w="2232"/>
            <w:vAlign w:val="center"/>
          </w:tcPr>
          <w:p>
            <w:pPr>
              <w:spacing w:after="0"/>
            </w:pPr>
            <w:r>
              <w:rPr>
                <w:rFonts w:ascii="Arial" w:hAnsi="Arial"/>
                <w:sz w:val="16"/>
              </w:rPr>
              <w:t>Staff deactivated/access changed</w:t>
            </w:r>
          </w:p>
        </w:tc>
        <w:tc>
          <w:tcPr>
            <w:tcW w:type="dxa" w:w="7128"/>
            <w:vAlign w:val="center"/>
          </w:tcPr>
          <w:p>
            <w:pPr>
              <w:spacing w:after="0"/>
            </w:pPr>
            <w:r>
              <w:rPr>
                <w:rFonts w:ascii="Arial" w:hAnsi="Arial"/>
                <w:sz w:val="16"/>
              </w:rPr>
              <w:t>Stop login and recheck permissions before scheduled report delivery.</w:t>
            </w:r>
          </w:p>
        </w:tc>
      </w:tr>
      <w:tr>
        <w:tc>
          <w:tcPr>
            <w:tcW w:type="dxa" w:w="2232"/>
            <w:vAlign w:val="center"/>
          </w:tcPr>
          <w:p>
            <w:pPr>
              <w:spacing w:after="0"/>
            </w:pPr>
            <w:r>
              <w:rPr>
                <w:rFonts w:ascii="Arial" w:hAnsi="Arial"/>
                <w:sz w:val="16"/>
              </w:rPr>
              <w:t>Concurrent registration</w:t>
            </w:r>
          </w:p>
        </w:tc>
        <w:tc>
          <w:tcPr>
            <w:tcW w:type="dxa" w:w="7128"/>
            <w:vAlign w:val="center"/>
          </w:tcPr>
          <w:p>
            <w:pPr>
              <w:spacing w:after="0"/>
            </w:pPr>
            <w:r>
              <w:rPr>
                <w:rFonts w:ascii="Arial" w:hAnsi="Arial"/>
                <w:sz w:val="16"/>
              </w:rPr>
              <w:t>Transaction-safe ID generation and uniqueness constraints.</w:t>
            </w:r>
          </w:p>
        </w:tc>
      </w:tr>
      <w:tr>
        <w:tc>
          <w:tcPr>
            <w:tcW w:type="dxa" w:w="2232"/>
            <w:vAlign w:val="center"/>
          </w:tcPr>
          <w:p>
            <w:pPr>
              <w:spacing w:after="0"/>
            </w:pPr>
            <w:r>
              <w:rPr>
                <w:rFonts w:ascii="Arial" w:hAnsi="Arial"/>
                <w:sz w:val="16"/>
              </w:rPr>
              <w:t>Concurrent edits</w:t>
            </w:r>
          </w:p>
        </w:tc>
        <w:tc>
          <w:tcPr>
            <w:tcW w:type="dxa" w:w="7128"/>
            <w:vAlign w:val="center"/>
          </w:tcPr>
          <w:p>
            <w:pPr>
              <w:spacing w:after="0"/>
            </w:pPr>
            <w:r>
              <w:rPr>
                <w:rFonts w:ascii="Arial" w:hAnsi="Arial"/>
                <w:sz w:val="16"/>
              </w:rPr>
              <w:t>Detect conflicts on important records and reconcile.</w:t>
            </w:r>
          </w:p>
        </w:tc>
      </w:tr>
      <w:tr>
        <w:tc>
          <w:tcPr>
            <w:tcW w:type="dxa" w:w="2232"/>
            <w:vAlign w:val="center"/>
          </w:tcPr>
          <w:p>
            <w:pPr>
              <w:spacing w:after="0"/>
            </w:pPr>
            <w:r>
              <w:rPr>
                <w:rFonts w:ascii="Arial" w:hAnsi="Arial"/>
                <w:sz w:val="16"/>
              </w:rPr>
              <w:t>CRF version change</w:t>
            </w:r>
          </w:p>
        </w:tc>
        <w:tc>
          <w:tcPr>
            <w:tcW w:type="dxa" w:w="7128"/>
            <w:vAlign w:val="center"/>
          </w:tcPr>
          <w:p>
            <w:pPr>
              <w:spacing w:after="0"/>
            </w:pPr>
            <w:r>
              <w:rPr>
                <w:rFonts w:ascii="Arial" w:hAnsi="Arial"/>
                <w:sz w:val="16"/>
              </w:rPr>
              <w:t>New submissions use current version; old submissions preserve their version.</w:t>
            </w:r>
          </w:p>
        </w:tc>
      </w:tr>
      <w:tr>
        <w:tc>
          <w:tcPr>
            <w:tcW w:type="dxa" w:w="2232"/>
            <w:vAlign w:val="center"/>
          </w:tcPr>
          <w:p>
            <w:pPr>
              <w:spacing w:after="0"/>
            </w:pPr>
            <w:r>
              <w:rPr>
                <w:rFonts w:ascii="Arial" w:hAnsi="Arial"/>
                <w:sz w:val="16"/>
              </w:rPr>
              <w:t>Research withdrawal</w:t>
            </w:r>
          </w:p>
        </w:tc>
        <w:tc>
          <w:tcPr>
            <w:tcW w:type="dxa" w:w="7128"/>
            <w:vAlign w:val="center"/>
          </w:tcPr>
          <w:p>
            <w:pPr>
              <w:spacing w:after="0"/>
            </w:pPr>
            <w:r>
              <w:rPr>
                <w:rFonts w:ascii="Arial" w:hAnsi="Arial"/>
                <w:sz w:val="16"/>
              </w:rPr>
              <w:t>Stop study activities according to protocol, not routine clinical care.</w:t>
            </w:r>
          </w:p>
        </w:tc>
      </w:tr>
      <w:tr>
        <w:tc>
          <w:tcPr>
            <w:tcW w:type="dxa" w:w="2232"/>
            <w:vAlign w:val="center"/>
          </w:tcPr>
          <w:p>
            <w:pPr>
              <w:spacing w:after="0"/>
            </w:pPr>
            <w:r>
              <w:rPr>
                <w:rFonts w:ascii="Arial" w:hAnsi="Arial"/>
                <w:sz w:val="16"/>
              </w:rPr>
              <w:t>Record correction</w:t>
            </w:r>
          </w:p>
        </w:tc>
        <w:tc>
          <w:tcPr>
            <w:tcW w:type="dxa" w:w="7128"/>
            <w:vAlign w:val="center"/>
          </w:tcPr>
          <w:p>
            <w:pPr>
              <w:spacing w:after="0"/>
            </w:pPr>
            <w:r>
              <w:rPr>
                <w:rFonts w:ascii="Arial" w:hAnsi="Arial"/>
                <w:sz w:val="16"/>
              </w:rPr>
              <w:t>Preserve old values and reason; later controlled unlock workflow.</w:t>
            </w:r>
          </w:p>
        </w:tc>
      </w:tr>
      <w:tr>
        <w:tc>
          <w:tcPr>
            <w:tcW w:type="dxa" w:w="2232"/>
            <w:vAlign w:val="center"/>
          </w:tcPr>
          <w:p>
            <w:pPr>
              <w:spacing w:after="0"/>
            </w:pPr>
            <w:r>
              <w:rPr>
                <w:rFonts w:ascii="Arial" w:hAnsi="Arial"/>
                <w:sz w:val="16"/>
              </w:rPr>
              <w:t>Integration failure</w:t>
            </w:r>
          </w:p>
        </w:tc>
        <w:tc>
          <w:tcPr>
            <w:tcW w:type="dxa" w:w="7128"/>
            <w:vAlign w:val="center"/>
          </w:tcPr>
          <w:p>
            <w:pPr>
              <w:spacing w:after="0"/>
            </w:pPr>
            <w:r>
              <w:rPr>
                <w:rFonts w:ascii="Arial" w:hAnsi="Arial"/>
                <w:sz w:val="16"/>
              </w:rPr>
              <w:t>Queue, log, retry and reconcile without silent data loss.</w:t>
            </w:r>
          </w:p>
        </w:tc>
      </w:tr>
    </w:tbl>
    <w:p/>
    <w:p>
      <w:pPr>
        <w:pStyle w:val="Heading1"/>
      </w:pPr>
      <w:r>
        <w:t>16. Initial Django Architecture</w:t>
      </w:r>
    </w:p>
    <w:p>
      <w:r>
        <w:t>Recommended: Django modular monolith, PostgreSQL, background task queue (e.g. Celery with a supported broker) and provider adapters for SMS/email. Separate development, test/staging and production settings/secrets.</w:t>
      </w:r>
    </w:p>
    <w:p>
      <w:pPr>
        <w:pStyle w:val="ListBullet"/>
        <w:spacing w:after="30"/>
      </w:pPr>
      <w:r>
        <w:t>config/: settings, routing, ASGI/WSGI, task queue and environment configuration.</w:t>
      </w:r>
    </w:p>
    <w:p>
      <w:pPr>
        <w:pStyle w:val="ListBullet"/>
        <w:spacing w:after="30"/>
      </w:pPr>
      <w:r>
        <w:t>accounts/: custom user, roles and authentication.</w:t>
      </w:r>
    </w:p>
    <w:p>
      <w:pPr>
        <w:pStyle w:val="ListBullet"/>
        <w:spacing w:after="30"/>
      </w:pPr>
      <w:r>
        <w:t>facilities/: geography, facilities and staff assignments.</w:t>
      </w:r>
    </w:p>
    <w:p>
      <w:pPr>
        <w:pStyle w:val="ListBullet"/>
        <w:spacing w:after="30"/>
      </w:pPr>
      <w:r>
        <w:t>patients/: identity, identifiers and lifecycle.</w:t>
      </w:r>
    </w:p>
    <w:p>
      <w:pPr>
        <w:pStyle w:val="ListBullet"/>
        <w:spacing w:after="30"/>
      </w:pPr>
      <w:r>
        <w:t>screening/: screening events and eligibility.</w:t>
      </w:r>
    </w:p>
    <w:p>
      <w:pPr>
        <w:pStyle w:val="ListBullet"/>
        <w:spacing w:after="30"/>
      </w:pPr>
      <w:r>
        <w:t>clinical/, encounters/, appointments/, diagnoses/, programmes/: clinical workflows.</w:t>
      </w:r>
    </w:p>
    <w:p>
      <w:pPr>
        <w:pStyle w:val="ListBullet"/>
        <w:spacing w:after="30"/>
      </w:pPr>
      <w:r>
        <w:t>research/, crfs/, scheduling/, outcomes/: study workflows and forms.</w:t>
      </w:r>
    </w:p>
    <w:p>
      <w:pPr>
        <w:pStyle w:val="ListBullet"/>
        <w:spacing w:after="30"/>
      </w:pPr>
      <w:r>
        <w:t>laboratory/, investigations/, pharmacy/, admissions/: service modules.</w:t>
      </w:r>
    </w:p>
    <w:p>
      <w:pPr>
        <w:pStyle w:val="ListBullet"/>
        <w:spacing w:after="30"/>
      </w:pPr>
      <w:r>
        <w:t>transfers/: transfer workflow and assignment changes.</w:t>
      </w:r>
    </w:p>
    <w:p>
      <w:pPr>
        <w:pStyle w:val="ListBullet"/>
        <w:spacing w:after="30"/>
      </w:pPr>
      <w:r>
        <w:t>audit/: shared audit services.</w:t>
      </w:r>
    </w:p>
    <w:p>
      <w:pPr>
        <w:pStyle w:val="ListBullet"/>
        <w:spacing w:after="30"/>
      </w:pPr>
      <w:r>
        <w:t>notifications/: SMS/email templates, phone verification, queueing and delivery logs.</w:t>
      </w:r>
    </w:p>
    <w:p>
      <w:pPr>
        <w:pStyle w:val="ListBullet"/>
        <w:spacing w:after="30"/>
      </w:pPr>
      <w:r>
        <w:t>reporting/: dashboards, scoped reports and monthly scheduler.</w:t>
      </w:r>
    </w:p>
    <w:p>
      <w:pPr>
        <w:pStyle w:val="ListBullet"/>
        <w:spacing w:after="30"/>
      </w:pPr>
      <w:r>
        <w:t>integrations/: external identifiers, adapters and synchronization logs.</w:t>
      </w:r>
    </w:p>
    <w:p>
      <w:r>
        <w:t>The custom user model MUST be defined before the first database migration. Django Groups/Permissions are the foundation; custom authorization enforces geography, facility and sensitive fields. Hiding a menu is not sufficient security.</w:t>
      </w:r>
    </w:p>
    <w:p>
      <w:pPr>
        <w:pStyle w:val="Heading1"/>
      </w:pPr>
      <w:r>
        <w:t>17. Development Phases and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AF7"/>
          </w:tcPr>
          <w:p>
            <w:r>
              <w:rPr>
                <w:b/>
                <w:sz w:val="17"/>
              </w:rPr>
              <w:t>Phase</w:t>
            </w:r>
          </w:p>
        </w:tc>
        <w:tc>
          <w:tcPr>
            <w:tcW w:type="dxa" w:w="3456"/>
            <w:shd w:fill="D9EAF7"/>
          </w:tcPr>
          <w:p>
            <w:r>
              <w:rPr>
                <w:b/>
                <w:sz w:val="17"/>
              </w:rPr>
              <w:t>Scope</w:t>
            </w:r>
          </w:p>
        </w:tc>
        <w:tc>
          <w:tcPr>
            <w:tcW w:type="dxa" w:w="4176"/>
            <w:shd w:fill="D9EAF7"/>
          </w:tcPr>
          <w:p>
            <w:r>
              <w:rPr>
                <w:b/>
                <w:sz w:val="17"/>
              </w:rPr>
              <w:t>Exit criteria</w:t>
            </w:r>
          </w:p>
        </w:tc>
      </w:tr>
      <w:tr>
        <w:tc>
          <w:tcPr>
            <w:tcW w:type="dxa" w:w="1728"/>
            <w:vAlign w:val="center"/>
          </w:tcPr>
          <w:p>
            <w:pPr>
              <w:spacing w:after="0"/>
            </w:pPr>
            <w:r>
              <w:rPr>
                <w:rFonts w:ascii="Arial" w:hAnsi="Arial"/>
                <w:sz w:val="16"/>
              </w:rPr>
              <w:t>1 — Foundation</w:t>
            </w:r>
          </w:p>
        </w:tc>
        <w:tc>
          <w:tcPr>
            <w:tcW w:type="dxa" w:w="3456"/>
            <w:vAlign w:val="center"/>
          </w:tcPr>
          <w:p>
            <w:pPr>
              <w:spacing w:after="0"/>
            </w:pPr>
            <w:r>
              <w:rPr>
                <w:rFonts w:ascii="Arial" w:hAnsi="Arial"/>
                <w:sz w:val="16"/>
              </w:rPr>
              <w:t>Project, PostgreSQL, custom user, facilities, permissions, audit foundation.</w:t>
            </w:r>
          </w:p>
        </w:tc>
        <w:tc>
          <w:tcPr>
            <w:tcW w:type="dxa" w:w="4176"/>
            <w:vAlign w:val="center"/>
          </w:tcPr>
          <w:p>
            <w:pPr>
              <w:spacing w:after="0"/>
            </w:pPr>
            <w:r>
              <w:rPr>
                <w:rFonts w:ascii="Arial" w:hAnsi="Arial"/>
                <w:sz w:val="16"/>
              </w:rPr>
              <w:t>Staff login and inactive-account blocking work; access scope is enforced; critical actions audited.</w:t>
            </w:r>
          </w:p>
        </w:tc>
      </w:tr>
      <w:tr>
        <w:tc>
          <w:tcPr>
            <w:tcW w:type="dxa" w:w="1728"/>
            <w:vAlign w:val="center"/>
          </w:tcPr>
          <w:p>
            <w:pPr>
              <w:spacing w:after="0"/>
            </w:pPr>
            <w:r>
              <w:rPr>
                <w:rFonts w:ascii="Arial" w:hAnsi="Arial"/>
                <w:sz w:val="16"/>
              </w:rPr>
              <w:t>2 — Patients/transfers</w:t>
            </w:r>
          </w:p>
        </w:tc>
        <w:tc>
          <w:tcPr>
            <w:tcW w:type="dxa" w:w="3456"/>
            <w:vAlign w:val="center"/>
          </w:tcPr>
          <w:p>
            <w:pPr>
              <w:spacing w:after="0"/>
            </w:pPr>
            <w:r>
              <w:rPr>
                <w:rFonts w:ascii="Arial" w:hAnsi="Arial"/>
                <w:sz w:val="16"/>
              </w:rPr>
              <w:t>Registration, duplicate checks, NCD ID, identity privacy, assignments, transfers.</w:t>
            </w:r>
          </w:p>
        </w:tc>
        <w:tc>
          <w:tcPr>
            <w:tcW w:type="dxa" w:w="4176"/>
            <w:vAlign w:val="center"/>
          </w:tcPr>
          <w:p>
            <w:pPr>
              <w:spacing w:after="0"/>
            </w:pPr>
            <w:r>
              <w:rPr>
                <w:rFonts w:ascii="Arial" w:hAnsi="Arial"/>
                <w:sz w:val="16"/>
              </w:rPr>
              <w:t>No duplicate IDs under concurrency; original facility/history preserved; transfer reports distinguish events/current assignment.</w:t>
            </w:r>
          </w:p>
        </w:tc>
      </w:tr>
      <w:tr>
        <w:tc>
          <w:tcPr>
            <w:tcW w:type="dxa" w:w="1728"/>
            <w:vAlign w:val="center"/>
          </w:tcPr>
          <w:p>
            <w:pPr>
              <w:spacing w:after="0"/>
            </w:pPr>
            <w:r>
              <w:rPr>
                <w:rFonts w:ascii="Arial" w:hAnsi="Arial"/>
                <w:sz w:val="16"/>
              </w:rPr>
              <w:t>3 — Clinical workflows</w:t>
            </w:r>
          </w:p>
        </w:tc>
        <w:tc>
          <w:tcPr>
            <w:tcW w:type="dxa" w:w="3456"/>
            <w:vAlign w:val="center"/>
          </w:tcPr>
          <w:p>
            <w:pPr>
              <w:spacing w:after="0"/>
            </w:pPr>
            <w:r>
              <w:rPr>
                <w:rFonts w:ascii="Arial" w:hAnsi="Arial"/>
                <w:sz w:val="16"/>
              </w:rPr>
              <w:t>Screening, triage, encounters, diagnosis, appointments and programmes.</w:t>
            </w:r>
          </w:p>
        </w:tc>
        <w:tc>
          <w:tcPr>
            <w:tcW w:type="dxa" w:w="4176"/>
            <w:vAlign w:val="center"/>
          </w:tcPr>
          <w:p>
            <w:pPr>
              <w:spacing w:after="0"/>
            </w:pPr>
            <w:r>
              <w:rPr>
                <w:rFonts w:ascii="Arial" w:hAnsi="Arial"/>
                <w:sz w:val="16"/>
              </w:rPr>
              <w:t>Multiple diagnoses work; screening does not automatically confirm diagnosis; appointment and encounter are distinct.</w:t>
            </w:r>
          </w:p>
        </w:tc>
      </w:tr>
      <w:tr>
        <w:tc>
          <w:tcPr>
            <w:tcW w:type="dxa" w:w="1728"/>
            <w:vAlign w:val="center"/>
          </w:tcPr>
          <w:p>
            <w:pPr>
              <w:spacing w:after="0"/>
            </w:pPr>
            <w:r>
              <w:rPr>
                <w:rFonts w:ascii="Arial" w:hAnsi="Arial"/>
                <w:sz w:val="16"/>
              </w:rPr>
              <w:t>4 — Research/CRFs</w:t>
            </w:r>
          </w:p>
        </w:tc>
        <w:tc>
          <w:tcPr>
            <w:tcW w:type="dxa" w:w="3456"/>
            <w:vAlign w:val="center"/>
          </w:tcPr>
          <w:p>
            <w:pPr>
              <w:spacing w:after="0"/>
            </w:pPr>
            <w:r>
              <w:rPr>
                <w:rFonts w:ascii="Arial" w:hAnsi="Arial"/>
                <w:sz w:val="16"/>
              </w:rPr>
              <w:t>Studies, consent, eligibility, enrollment, versioned forms and completeness.</w:t>
            </w:r>
          </w:p>
        </w:tc>
        <w:tc>
          <w:tcPr>
            <w:tcW w:type="dxa" w:w="4176"/>
            <w:vAlign w:val="center"/>
          </w:tcPr>
          <w:p>
            <w:pPr>
              <w:spacing w:after="0"/>
            </w:pPr>
            <w:r>
              <w:rPr>
                <w:rFonts w:ascii="Arial" w:hAnsi="Arial"/>
                <w:sz w:val="16"/>
              </w:rPr>
              <w:t>Clinical care works without research; location-specific forms load; incomplete forms visible.</w:t>
            </w:r>
          </w:p>
        </w:tc>
      </w:tr>
      <w:tr>
        <w:tc>
          <w:tcPr>
            <w:tcW w:type="dxa" w:w="1728"/>
            <w:vAlign w:val="center"/>
          </w:tcPr>
          <w:p>
            <w:pPr>
              <w:spacing w:after="0"/>
            </w:pPr>
            <w:r>
              <w:rPr>
                <w:rFonts w:ascii="Arial" w:hAnsi="Arial"/>
                <w:sz w:val="16"/>
              </w:rPr>
              <w:t>5 — Scheduling</w:t>
            </w:r>
          </w:p>
        </w:tc>
        <w:tc>
          <w:tcPr>
            <w:tcW w:type="dxa" w:w="3456"/>
            <w:vAlign w:val="center"/>
          </w:tcPr>
          <w:p>
            <w:pPr>
              <w:spacing w:after="0"/>
            </w:pPr>
            <w:r>
              <w:rPr>
                <w:rFonts w:ascii="Arial" w:hAnsi="Arial"/>
                <w:sz w:val="16"/>
              </w:rPr>
              <w:t>Historical reconciliation, future generation, versioning and reminders.</w:t>
            </w:r>
          </w:p>
        </w:tc>
        <w:tc>
          <w:tcPr>
            <w:tcW w:type="dxa" w:w="4176"/>
            <w:vAlign w:val="center"/>
          </w:tcPr>
          <w:p>
            <w:pPr>
              <w:spacing w:after="0"/>
            </w:pPr>
            <w:r>
              <w:rPr>
                <w:rFonts w:ascii="Arial" w:hAnsi="Arial"/>
                <w:sz w:val="16"/>
              </w:rPr>
              <w:t>Correct visits generated; no duplicates; completed visits preserved.</w:t>
            </w:r>
          </w:p>
        </w:tc>
      </w:tr>
      <w:tr>
        <w:tc>
          <w:tcPr>
            <w:tcW w:type="dxa" w:w="1728"/>
            <w:vAlign w:val="center"/>
          </w:tcPr>
          <w:p>
            <w:pPr>
              <w:spacing w:after="0"/>
            </w:pPr>
            <w:r>
              <w:rPr>
                <w:rFonts w:ascii="Arial" w:hAnsi="Arial"/>
                <w:sz w:val="16"/>
              </w:rPr>
              <w:t>6 — Service modules</w:t>
            </w:r>
          </w:p>
        </w:tc>
        <w:tc>
          <w:tcPr>
            <w:tcW w:type="dxa" w:w="3456"/>
            <w:vAlign w:val="center"/>
          </w:tcPr>
          <w:p>
            <w:pPr>
              <w:spacing w:after="0"/>
            </w:pPr>
            <w:r>
              <w:rPr>
                <w:rFonts w:ascii="Arial" w:hAnsi="Arial"/>
                <w:sz w:val="16"/>
              </w:rPr>
              <w:t>Lab, investigations, pharmacy, admissions and discharge.</w:t>
            </w:r>
          </w:p>
        </w:tc>
        <w:tc>
          <w:tcPr>
            <w:tcW w:type="dxa" w:w="4176"/>
            <w:vAlign w:val="center"/>
          </w:tcPr>
          <w:p>
            <w:pPr>
              <w:spacing w:after="0"/>
            </w:pPr>
            <w:r>
              <w:rPr>
                <w:rFonts w:ascii="Arial" w:hAnsi="Arial"/>
                <w:sz w:val="16"/>
              </w:rPr>
              <w:t>Separate request/result lifecycles; auditable stock; multiple admissions.</w:t>
            </w:r>
          </w:p>
        </w:tc>
      </w:tr>
      <w:tr>
        <w:tc>
          <w:tcPr>
            <w:tcW w:type="dxa" w:w="1728"/>
            <w:vAlign w:val="center"/>
          </w:tcPr>
          <w:p>
            <w:pPr>
              <w:spacing w:after="0"/>
            </w:pPr>
            <w:r>
              <w:rPr>
                <w:rFonts w:ascii="Arial" w:hAnsi="Arial"/>
                <w:sz w:val="16"/>
              </w:rPr>
              <w:t>7 — Communications/reports</w:t>
            </w:r>
          </w:p>
        </w:tc>
        <w:tc>
          <w:tcPr>
            <w:tcW w:type="dxa" w:w="3456"/>
            <w:vAlign w:val="center"/>
          </w:tcPr>
          <w:p>
            <w:pPr>
              <w:spacing w:after="0"/>
            </w:pPr>
            <w:r>
              <w:rPr>
                <w:rFonts w:ascii="Arial" w:hAnsi="Arial"/>
                <w:sz w:val="16"/>
              </w:rPr>
              <w:t>SMS, staff email, phone verification, monthly scoped reports.</w:t>
            </w:r>
          </w:p>
        </w:tc>
        <w:tc>
          <w:tcPr>
            <w:tcW w:type="dxa" w:w="4176"/>
            <w:vAlign w:val="center"/>
          </w:tcPr>
          <w:p>
            <w:pPr>
              <w:spacing w:after="0"/>
            </w:pPr>
            <w:r>
              <w:rPr>
                <w:rFonts w:ascii="Arial" w:hAnsi="Arial"/>
                <w:sz w:val="16"/>
              </w:rPr>
              <w:t>Reminder times tested; secure links only; reports scope-safe and run last Sunday.</w:t>
            </w:r>
          </w:p>
        </w:tc>
      </w:tr>
      <w:tr>
        <w:tc>
          <w:tcPr>
            <w:tcW w:type="dxa" w:w="1728"/>
            <w:vAlign w:val="center"/>
          </w:tcPr>
          <w:p>
            <w:pPr>
              <w:spacing w:after="0"/>
            </w:pPr>
            <w:r>
              <w:rPr>
                <w:rFonts w:ascii="Arial" w:hAnsi="Arial"/>
                <w:sz w:val="16"/>
              </w:rPr>
              <w:t>8 — Pilot/production</w:t>
            </w:r>
          </w:p>
        </w:tc>
        <w:tc>
          <w:tcPr>
            <w:tcW w:type="dxa" w:w="3456"/>
            <w:vAlign w:val="center"/>
          </w:tcPr>
          <w:p>
            <w:pPr>
              <w:spacing w:after="0"/>
            </w:pPr>
            <w:r>
              <w:rPr>
                <w:rFonts w:ascii="Arial" w:hAnsi="Arial"/>
                <w:sz w:val="16"/>
              </w:rPr>
              <w:t>UAT, training, security review, backup/restore, monitoring and deployment.</w:t>
            </w:r>
          </w:p>
        </w:tc>
        <w:tc>
          <w:tcPr>
            <w:tcW w:type="dxa" w:w="4176"/>
            <w:vAlign w:val="center"/>
          </w:tcPr>
          <w:p>
            <w:pPr>
              <w:spacing w:after="0"/>
            </w:pPr>
            <w:r>
              <w:rPr>
                <w:rFonts w:ascii="Arial" w:hAnsi="Arial"/>
                <w:sz w:val="16"/>
              </w:rPr>
              <w:t>Stakeholder sign-off, restore test, permissions and edge-case tests pass.</w:t>
            </w:r>
          </w:p>
        </w:tc>
      </w:tr>
    </w:tbl>
    <w:p/>
    <w:p>
      <w:pPr>
        <w:pStyle w:val="Heading2"/>
      </w:pPr>
      <w:r>
        <w:t>17.1 Essential automated tests</w:t>
      </w:r>
    </w:p>
    <w:p>
      <w:pPr>
        <w:pStyle w:val="ListBullet"/>
        <w:spacing w:after="30"/>
      </w:pPr>
      <w:r>
        <w:t>Patient ID uniqueness under concurrent registration and year changes.</w:t>
      </w:r>
    </w:p>
    <w:p>
      <w:pPr>
        <w:pStyle w:val="ListBullet"/>
        <w:spacing w:after="30"/>
      </w:pPr>
      <w:r>
        <w:t>Facility/geographic access restrictions on list, detail, API, exports and reports.</w:t>
      </w:r>
    </w:p>
    <w:p>
      <w:pPr>
        <w:pStyle w:val="ListBullet"/>
        <w:spacing w:after="30"/>
      </w:pPr>
      <w:r>
        <w:t>Identity fields blocked for unauthorized roles.</w:t>
      </w:r>
    </w:p>
    <w:p>
      <w:pPr>
        <w:pStyle w:val="ListBullet"/>
        <w:spacing w:after="30"/>
      </w:pPr>
      <w:r>
        <w:t>Soft delete, restore and deactivation preserve relationships/audit.</w:t>
      </w:r>
    </w:p>
    <w:p>
      <w:pPr>
        <w:pStyle w:val="ListBullet"/>
        <w:spacing w:after="30"/>
      </w:pPr>
      <w:r>
        <w:t>Transfer out/in/return keeps current assignment consistent.</w:t>
      </w:r>
    </w:p>
    <w:p>
      <w:pPr>
        <w:pStyle w:val="ListBullet"/>
        <w:spacing w:after="30"/>
      </w:pPr>
      <w:r>
        <w:t>Screening does not auto-confirm diagnosis or research enrollment.</w:t>
      </w:r>
    </w:p>
    <w:p>
      <w:pPr>
        <w:pStyle w:val="ListBullet"/>
        <w:spacing w:after="30"/>
      </w:pPr>
      <w:r>
        <w:t>Clinical care continues after study completion/withdrawal.</w:t>
      </w:r>
    </w:p>
    <w:p>
      <w:pPr>
        <w:pStyle w:val="ListBullet"/>
        <w:spacing w:after="30"/>
      </w:pPr>
      <w:r>
        <w:t>CRF applicability and completeness for facility/home/community.</w:t>
      </w:r>
    </w:p>
    <w:p>
      <w:pPr>
        <w:pStyle w:val="ListBullet"/>
        <w:spacing w:after="30"/>
      </w:pPr>
      <w:r>
        <w:t>Historical schedule generation and no duplicates on regeneration.</w:t>
      </w:r>
    </w:p>
    <w:p>
      <w:pPr>
        <w:pStyle w:val="ListBullet"/>
        <w:spacing w:after="30"/>
      </w:pPr>
      <w:r>
        <w:t>Cancelled/rescheduled visits do not retain obsolete SMS reminders.</w:t>
      </w:r>
    </w:p>
    <w:p>
      <w:pPr>
        <w:pStyle w:val="ListBullet"/>
        <w:spacing w:after="30"/>
      </w:pPr>
      <w:r>
        <w:t>OTP expiry, single use, rate limits and changed-number behavior.</w:t>
      </w:r>
    </w:p>
    <w:p>
      <w:pPr>
        <w:pStyle w:val="ListBullet"/>
        <w:spacing w:after="30"/>
      </w:pPr>
      <w:r>
        <w:t>Activation/reset links expire and cannot be reused; no plaintext passwords emailed.</w:t>
      </w:r>
    </w:p>
    <w:p>
      <w:pPr>
        <w:pStyle w:val="ListBullet"/>
        <w:spacing w:after="30"/>
      </w:pPr>
      <w:r>
        <w:t>Last-Sunday scheduler works across month/year boundaries.</w:t>
      </w:r>
    </w:p>
    <w:p>
      <w:pPr>
        <w:pStyle w:val="ListBullet"/>
        <w:spacing w:after="30"/>
      </w:pPr>
      <w:r>
        <w:t>Permissions rechecked at report generation/delivery; deactivated staff receive no report.</w:t>
      </w:r>
    </w:p>
    <w:p>
      <w:pPr>
        <w:pStyle w:val="ListBullet"/>
        <w:spacing w:after="30"/>
      </w:pPr>
      <w:r>
        <w:t>Sensitive updates produce protected audit events.</w:t>
      </w:r>
    </w:p>
    <w:p>
      <w:pPr>
        <w:pStyle w:val="Heading1"/>
      </w:pPr>
      <w:r>
        <w:t>18. Open Decisions and Risks</w:t>
      </w:r>
    </w:p>
    <w:tbl>
      <w:tblPr>
        <w:tblStyle w:val="TableGrid"/>
        <w:tblW w:type="auto" w:w="0"/>
        <w:jc w:val="center"/>
        <w:tblLook w:firstColumn="1" w:firstRow="1" w:lastColumn="0" w:lastRow="0" w:noHBand="0" w:noVBand="1" w:val="04A0"/>
      </w:tblPr>
      <w:tblGrid>
        <w:gridCol w:w="3312"/>
        <w:gridCol w:w="3312"/>
        <w:gridCol w:w="3312"/>
      </w:tblGrid>
      <w:tr>
        <w:tc>
          <w:tcPr>
            <w:tcW w:type="dxa" w:w="936"/>
            <w:shd w:fill="D9EAF7"/>
          </w:tcPr>
          <w:p>
            <w:r>
              <w:rPr>
                <w:b/>
                <w:sz w:val="17"/>
              </w:rPr>
              <w:t>ID</w:t>
            </w:r>
          </w:p>
        </w:tc>
        <w:tc>
          <w:tcPr>
            <w:tcW w:type="dxa" w:w="2160"/>
            <w:shd w:fill="D9EAF7"/>
          </w:tcPr>
          <w:p>
            <w:r>
              <w:rPr>
                <w:b/>
                <w:sz w:val="17"/>
              </w:rPr>
              <w:t>Decision</w:t>
            </w:r>
          </w:p>
        </w:tc>
        <w:tc>
          <w:tcPr>
            <w:tcW w:type="dxa" w:w="6264"/>
            <w:shd w:fill="D9EAF7"/>
          </w:tcPr>
          <w:p>
            <w:r>
              <w:rPr>
                <w:b/>
                <w:sz w:val="17"/>
              </w:rPr>
              <w:t>Question / recommendation</w:t>
            </w:r>
          </w:p>
        </w:tc>
      </w:tr>
      <w:tr>
        <w:tc>
          <w:tcPr>
            <w:tcW w:type="dxa" w:w="936"/>
            <w:vAlign w:val="center"/>
          </w:tcPr>
          <w:p>
            <w:pPr>
              <w:spacing w:after="0"/>
            </w:pPr>
            <w:r>
              <w:rPr>
                <w:rFonts w:ascii="Arial" w:hAnsi="Arial"/>
                <w:sz w:val="16"/>
              </w:rPr>
              <w:t>O-01</w:t>
            </w:r>
          </w:p>
        </w:tc>
        <w:tc>
          <w:tcPr>
            <w:tcW w:type="dxa" w:w="2160"/>
            <w:vAlign w:val="center"/>
          </w:tcPr>
          <w:p>
            <w:pPr>
              <w:spacing w:after="0"/>
            </w:pPr>
            <w:r>
              <w:rPr>
                <w:rFonts w:ascii="Arial" w:hAnsi="Arial"/>
                <w:sz w:val="16"/>
              </w:rPr>
              <w:t>Patient ID</w:t>
            </w:r>
          </w:p>
        </w:tc>
        <w:tc>
          <w:tcPr>
            <w:tcW w:type="dxa" w:w="6264"/>
            <w:vAlign w:val="center"/>
          </w:tcPr>
          <w:p>
            <w:pPr>
              <w:spacing w:after="0"/>
            </w:pPr>
            <w:r>
              <w:rPr>
                <w:rFonts w:ascii="Arial" w:hAnsi="Arial"/>
                <w:sz w:val="16"/>
              </w:rPr>
              <w:t>Confirm annual reset; recommended annual sequence and expandable suffix.</w:t>
            </w:r>
          </w:p>
        </w:tc>
      </w:tr>
      <w:tr>
        <w:tc>
          <w:tcPr>
            <w:tcW w:type="dxa" w:w="936"/>
            <w:vAlign w:val="center"/>
          </w:tcPr>
          <w:p>
            <w:pPr>
              <w:spacing w:after="0"/>
            </w:pPr>
            <w:r>
              <w:rPr>
                <w:rFonts w:ascii="Arial" w:hAnsi="Arial"/>
                <w:sz w:val="16"/>
              </w:rPr>
              <w:t>O-02</w:t>
            </w:r>
          </w:p>
        </w:tc>
        <w:tc>
          <w:tcPr>
            <w:tcW w:type="dxa" w:w="2160"/>
            <w:vAlign w:val="center"/>
          </w:tcPr>
          <w:p>
            <w:pPr>
              <w:spacing w:after="0"/>
            </w:pPr>
            <w:r>
              <w:rPr>
                <w:rFonts w:ascii="Arial" w:hAnsi="Arial"/>
                <w:sz w:val="16"/>
              </w:rPr>
              <w:t>Monthly report definition</w:t>
            </w:r>
          </w:p>
        </w:tc>
        <w:tc>
          <w:tcPr>
            <w:tcW w:type="dxa" w:w="6264"/>
            <w:vAlign w:val="center"/>
          </w:tcPr>
          <w:p>
            <w:pPr>
              <w:spacing w:after="0"/>
            </w:pPr>
            <w:r>
              <w:rPr>
                <w:rFonts w:ascii="Arial" w:hAnsi="Arial"/>
                <w:sz w:val="16"/>
              </w:rPr>
              <w:t>Confirm clinical enrollments, research enrollments or both; recommended separate sections.</w:t>
            </w:r>
          </w:p>
        </w:tc>
      </w:tr>
      <w:tr>
        <w:tc>
          <w:tcPr>
            <w:tcW w:type="dxa" w:w="936"/>
            <w:vAlign w:val="center"/>
          </w:tcPr>
          <w:p>
            <w:pPr>
              <w:spacing w:after="0"/>
            </w:pPr>
            <w:r>
              <w:rPr>
                <w:rFonts w:ascii="Arial" w:hAnsi="Arial"/>
                <w:sz w:val="16"/>
              </w:rPr>
              <w:t>O-03</w:t>
            </w:r>
          </w:p>
        </w:tc>
        <w:tc>
          <w:tcPr>
            <w:tcW w:type="dxa" w:w="2160"/>
            <w:vAlign w:val="center"/>
          </w:tcPr>
          <w:p>
            <w:pPr>
              <w:spacing w:after="0"/>
            </w:pPr>
            <w:r>
              <w:rPr>
                <w:rFonts w:ascii="Arial" w:hAnsi="Arial"/>
                <w:sz w:val="16"/>
              </w:rPr>
              <w:t>Report delivery</w:t>
            </w:r>
          </w:p>
        </w:tc>
        <w:tc>
          <w:tcPr>
            <w:tcW w:type="dxa" w:w="6264"/>
            <w:vAlign w:val="center"/>
          </w:tcPr>
          <w:p>
            <w:pPr>
              <w:spacing w:after="0"/>
            </w:pPr>
            <w:r>
              <w:rPr>
                <w:rFonts w:ascii="Arial" w:hAnsi="Arial"/>
                <w:sz w:val="16"/>
              </w:rPr>
              <w:t>Confirm recipients and time; recommended 09:00 Africa/Dar_es_Salaam on last Sunday.</w:t>
            </w:r>
          </w:p>
        </w:tc>
      </w:tr>
      <w:tr>
        <w:tc>
          <w:tcPr>
            <w:tcW w:type="dxa" w:w="936"/>
            <w:vAlign w:val="center"/>
          </w:tcPr>
          <w:p>
            <w:pPr>
              <w:spacing w:after="0"/>
            </w:pPr>
            <w:r>
              <w:rPr>
                <w:rFonts w:ascii="Arial" w:hAnsi="Arial"/>
                <w:sz w:val="16"/>
              </w:rPr>
              <w:t>O-04</w:t>
            </w:r>
          </w:p>
        </w:tc>
        <w:tc>
          <w:tcPr>
            <w:tcW w:type="dxa" w:w="2160"/>
            <w:vAlign w:val="center"/>
          </w:tcPr>
          <w:p>
            <w:pPr>
              <w:spacing w:after="0"/>
            </w:pPr>
            <w:r>
              <w:rPr>
                <w:rFonts w:ascii="Arial" w:hAnsi="Arial"/>
                <w:sz w:val="16"/>
              </w:rPr>
              <w:t>SMS timing</w:t>
            </w:r>
          </w:p>
        </w:tc>
        <w:tc>
          <w:tcPr>
            <w:tcW w:type="dxa" w:w="6264"/>
            <w:vAlign w:val="center"/>
          </w:tcPr>
          <w:p>
            <w:pPr>
              <w:spacing w:after="0"/>
            </w:pPr>
            <w:r>
              <w:rPr>
                <w:rFonts w:ascii="Arial" w:hAnsi="Arial"/>
                <w:sz w:val="16"/>
              </w:rPr>
              <w:t>Confirm send times, language, sender ID, budget and provider.</w:t>
            </w:r>
          </w:p>
        </w:tc>
      </w:tr>
      <w:tr>
        <w:tc>
          <w:tcPr>
            <w:tcW w:type="dxa" w:w="936"/>
            <w:vAlign w:val="center"/>
          </w:tcPr>
          <w:p>
            <w:pPr>
              <w:spacing w:after="0"/>
            </w:pPr>
            <w:r>
              <w:rPr>
                <w:rFonts w:ascii="Arial" w:hAnsi="Arial"/>
                <w:sz w:val="16"/>
              </w:rPr>
              <w:t>O-05</w:t>
            </w:r>
          </w:p>
        </w:tc>
        <w:tc>
          <w:tcPr>
            <w:tcW w:type="dxa" w:w="2160"/>
            <w:vAlign w:val="center"/>
          </w:tcPr>
          <w:p>
            <w:pPr>
              <w:spacing w:after="0"/>
            </w:pPr>
            <w:r>
              <w:rPr>
                <w:rFonts w:ascii="Arial" w:hAnsi="Arial"/>
                <w:sz w:val="16"/>
              </w:rPr>
              <w:t>Phone verification</w:t>
            </w:r>
          </w:p>
        </w:tc>
        <w:tc>
          <w:tcPr>
            <w:tcW w:type="dxa" w:w="6264"/>
            <w:vAlign w:val="center"/>
          </w:tcPr>
          <w:p>
            <w:pPr>
              <w:spacing w:after="0"/>
            </w:pPr>
            <w:r>
              <w:rPr>
                <w:rFonts w:ascii="Arial" w:hAnsi="Arial"/>
                <w:sz w:val="16"/>
              </w:rPr>
              <w:t>Confirm whether mandatory for patients, staff or both; provide alternatives for patients without personal phones.</w:t>
            </w:r>
          </w:p>
        </w:tc>
      </w:tr>
      <w:tr>
        <w:tc>
          <w:tcPr>
            <w:tcW w:type="dxa" w:w="936"/>
            <w:vAlign w:val="center"/>
          </w:tcPr>
          <w:p>
            <w:pPr>
              <w:spacing w:after="0"/>
            </w:pPr>
            <w:r>
              <w:rPr>
                <w:rFonts w:ascii="Arial" w:hAnsi="Arial"/>
                <w:sz w:val="16"/>
              </w:rPr>
              <w:t>O-06</w:t>
            </w:r>
          </w:p>
        </w:tc>
        <w:tc>
          <w:tcPr>
            <w:tcW w:type="dxa" w:w="2160"/>
            <w:vAlign w:val="center"/>
          </w:tcPr>
          <w:p>
            <w:pPr>
              <w:spacing w:after="0"/>
            </w:pPr>
            <w:r>
              <w:rPr>
                <w:rFonts w:ascii="Arial" w:hAnsi="Arial"/>
                <w:sz w:val="16"/>
              </w:rPr>
              <w:t>Email provider</w:t>
            </w:r>
          </w:p>
        </w:tc>
        <w:tc>
          <w:tcPr>
            <w:tcW w:type="dxa" w:w="6264"/>
            <w:vAlign w:val="center"/>
          </w:tcPr>
          <w:p>
            <w:pPr>
              <w:spacing w:after="0"/>
            </w:pPr>
            <w:r>
              <w:rPr>
                <w:rFonts w:ascii="Arial" w:hAnsi="Arial"/>
                <w:sz w:val="16"/>
              </w:rPr>
              <w:t>Select approved SMTP/API provider and domain authentication.</w:t>
            </w:r>
          </w:p>
        </w:tc>
      </w:tr>
      <w:tr>
        <w:tc>
          <w:tcPr>
            <w:tcW w:type="dxa" w:w="936"/>
            <w:vAlign w:val="center"/>
          </w:tcPr>
          <w:p>
            <w:pPr>
              <w:spacing w:after="0"/>
            </w:pPr>
            <w:r>
              <w:rPr>
                <w:rFonts w:ascii="Arial" w:hAnsi="Arial"/>
                <w:sz w:val="16"/>
              </w:rPr>
              <w:t>O-07</w:t>
            </w:r>
          </w:p>
        </w:tc>
        <w:tc>
          <w:tcPr>
            <w:tcW w:type="dxa" w:w="2160"/>
            <w:vAlign w:val="center"/>
          </w:tcPr>
          <w:p>
            <w:pPr>
              <w:spacing w:after="0"/>
            </w:pPr>
            <w:r>
              <w:rPr>
                <w:rFonts w:ascii="Arial" w:hAnsi="Arial"/>
                <w:sz w:val="16"/>
              </w:rPr>
              <w:t>Messaging consent</w:t>
            </w:r>
          </w:p>
        </w:tc>
        <w:tc>
          <w:tcPr>
            <w:tcW w:type="dxa" w:w="6264"/>
            <w:vAlign w:val="center"/>
          </w:tcPr>
          <w:p>
            <w:pPr>
              <w:spacing w:after="0"/>
            </w:pPr>
            <w:r>
              <w:rPr>
                <w:rFonts w:ascii="Arial" w:hAnsi="Arial"/>
                <w:sz w:val="16"/>
              </w:rPr>
              <w:t>Approve consent/opt-out and wording, including shared phones.</w:t>
            </w:r>
          </w:p>
        </w:tc>
      </w:tr>
      <w:tr>
        <w:tc>
          <w:tcPr>
            <w:tcW w:type="dxa" w:w="936"/>
            <w:vAlign w:val="center"/>
          </w:tcPr>
          <w:p>
            <w:pPr>
              <w:spacing w:after="0"/>
            </w:pPr>
            <w:r>
              <w:rPr>
                <w:rFonts w:ascii="Arial" w:hAnsi="Arial"/>
                <w:sz w:val="16"/>
              </w:rPr>
              <w:t>O-08</w:t>
            </w:r>
          </w:p>
        </w:tc>
        <w:tc>
          <w:tcPr>
            <w:tcW w:type="dxa" w:w="2160"/>
            <w:vAlign w:val="center"/>
          </w:tcPr>
          <w:p>
            <w:pPr>
              <w:spacing w:after="0"/>
            </w:pPr>
            <w:r>
              <w:rPr>
                <w:rFonts w:ascii="Arial" w:hAnsi="Arial"/>
                <w:sz w:val="16"/>
              </w:rPr>
              <w:t>Clinical terminology</w:t>
            </w:r>
          </w:p>
        </w:tc>
        <w:tc>
          <w:tcPr>
            <w:tcW w:type="dxa" w:w="6264"/>
            <w:vAlign w:val="center"/>
          </w:tcPr>
          <w:p>
            <w:pPr>
              <w:spacing w:after="0"/>
            </w:pPr>
            <w:r>
              <w:rPr>
                <w:rFonts w:ascii="Arial" w:hAnsi="Arial"/>
                <w:sz w:val="16"/>
              </w:rPr>
              <w:t>Select approved diagnosis, lab, medication and procedure catalogues.</w:t>
            </w:r>
          </w:p>
        </w:tc>
      </w:tr>
      <w:tr>
        <w:tc>
          <w:tcPr>
            <w:tcW w:type="dxa" w:w="936"/>
            <w:vAlign w:val="center"/>
          </w:tcPr>
          <w:p>
            <w:pPr>
              <w:spacing w:after="0"/>
            </w:pPr>
            <w:r>
              <w:rPr>
                <w:rFonts w:ascii="Arial" w:hAnsi="Arial"/>
                <w:sz w:val="16"/>
              </w:rPr>
              <w:t>O-09</w:t>
            </w:r>
          </w:p>
        </w:tc>
        <w:tc>
          <w:tcPr>
            <w:tcW w:type="dxa" w:w="2160"/>
            <w:vAlign w:val="center"/>
          </w:tcPr>
          <w:p>
            <w:pPr>
              <w:spacing w:after="0"/>
            </w:pPr>
            <w:r>
              <w:rPr>
                <w:rFonts w:ascii="Arial" w:hAnsi="Arial"/>
                <w:sz w:val="16"/>
              </w:rPr>
              <w:t>Protocols</w:t>
            </w:r>
          </w:p>
        </w:tc>
        <w:tc>
          <w:tcPr>
            <w:tcW w:type="dxa" w:w="6264"/>
            <w:vAlign w:val="center"/>
          </w:tcPr>
          <w:p>
            <w:pPr>
              <w:spacing w:after="0"/>
            </w:pPr>
            <w:r>
              <w:rPr>
                <w:rFonts w:ascii="Arial" w:hAnsi="Arial"/>
                <w:sz w:val="16"/>
              </w:rPr>
              <w:t>Approve screening, eligibility and outcome rules.</w:t>
            </w:r>
          </w:p>
        </w:tc>
      </w:tr>
      <w:tr>
        <w:tc>
          <w:tcPr>
            <w:tcW w:type="dxa" w:w="936"/>
            <w:vAlign w:val="center"/>
          </w:tcPr>
          <w:p>
            <w:pPr>
              <w:spacing w:after="0"/>
            </w:pPr>
            <w:r>
              <w:rPr>
                <w:rFonts w:ascii="Arial" w:hAnsi="Arial"/>
                <w:sz w:val="16"/>
              </w:rPr>
              <w:t>O-10</w:t>
            </w:r>
          </w:p>
        </w:tc>
        <w:tc>
          <w:tcPr>
            <w:tcW w:type="dxa" w:w="2160"/>
            <w:vAlign w:val="center"/>
          </w:tcPr>
          <w:p>
            <w:pPr>
              <w:spacing w:after="0"/>
            </w:pPr>
            <w:r>
              <w:rPr>
                <w:rFonts w:ascii="Arial" w:hAnsi="Arial"/>
                <w:sz w:val="16"/>
              </w:rPr>
              <w:t>GoTHOMIS</w:t>
            </w:r>
          </w:p>
        </w:tc>
        <w:tc>
          <w:tcPr>
            <w:tcW w:type="dxa" w:w="6264"/>
            <w:vAlign w:val="center"/>
          </w:tcPr>
          <w:p>
            <w:pPr>
              <w:spacing w:after="0"/>
            </w:pPr>
            <w:r>
              <w:rPr>
                <w:rFonts w:ascii="Arial" w:hAnsi="Arial"/>
                <w:sz w:val="16"/>
              </w:rPr>
              <w:t>Obtain current interfaces, approvals, test access, mappings and owner contacts.</w:t>
            </w:r>
          </w:p>
        </w:tc>
      </w:tr>
      <w:tr>
        <w:tc>
          <w:tcPr>
            <w:tcW w:type="dxa" w:w="936"/>
            <w:vAlign w:val="center"/>
          </w:tcPr>
          <w:p>
            <w:pPr>
              <w:spacing w:after="0"/>
            </w:pPr>
            <w:r>
              <w:rPr>
                <w:rFonts w:ascii="Arial" w:hAnsi="Arial"/>
                <w:sz w:val="16"/>
              </w:rPr>
              <w:t>O-11</w:t>
            </w:r>
          </w:p>
        </w:tc>
        <w:tc>
          <w:tcPr>
            <w:tcW w:type="dxa" w:w="2160"/>
            <w:vAlign w:val="center"/>
          </w:tcPr>
          <w:p>
            <w:pPr>
              <w:spacing w:after="0"/>
            </w:pPr>
            <w:r>
              <w:rPr>
                <w:rFonts w:ascii="Arial" w:hAnsi="Arial"/>
                <w:sz w:val="16"/>
              </w:rPr>
              <w:t>Privacy/retention</w:t>
            </w:r>
          </w:p>
        </w:tc>
        <w:tc>
          <w:tcPr>
            <w:tcW w:type="dxa" w:w="6264"/>
            <w:vAlign w:val="center"/>
          </w:tcPr>
          <w:p>
            <w:pPr>
              <w:spacing w:after="0"/>
            </w:pPr>
            <w:r>
              <w:rPr>
                <w:rFonts w:ascii="Arial" w:hAnsi="Arial"/>
                <w:sz w:val="16"/>
              </w:rPr>
              <w:t>Confirm applicable Tanzanian, NIMR and Ministry requirements.</w:t>
            </w:r>
          </w:p>
        </w:tc>
      </w:tr>
      <w:tr>
        <w:tc>
          <w:tcPr>
            <w:tcW w:type="dxa" w:w="936"/>
            <w:vAlign w:val="center"/>
          </w:tcPr>
          <w:p>
            <w:pPr>
              <w:spacing w:after="0"/>
            </w:pPr>
            <w:r>
              <w:rPr>
                <w:rFonts w:ascii="Arial" w:hAnsi="Arial"/>
                <w:sz w:val="16"/>
              </w:rPr>
              <w:t>O-12</w:t>
            </w:r>
          </w:p>
        </w:tc>
        <w:tc>
          <w:tcPr>
            <w:tcW w:type="dxa" w:w="2160"/>
            <w:vAlign w:val="center"/>
          </w:tcPr>
          <w:p>
            <w:pPr>
              <w:spacing w:after="0"/>
            </w:pPr>
            <w:r>
              <w:rPr>
                <w:rFonts w:ascii="Arial" w:hAnsi="Arial"/>
                <w:sz w:val="16"/>
              </w:rPr>
              <w:t>Operations</w:t>
            </w:r>
          </w:p>
        </w:tc>
        <w:tc>
          <w:tcPr>
            <w:tcW w:type="dxa" w:w="6264"/>
            <w:vAlign w:val="center"/>
          </w:tcPr>
          <w:p>
            <w:pPr>
              <w:spacing w:after="0"/>
            </w:pPr>
            <w:r>
              <w:rPr>
                <w:rFonts w:ascii="Arial" w:hAnsi="Arial"/>
                <w:sz w:val="16"/>
              </w:rPr>
              <w:t>Set availability, backup, recovery and expected peak load.</w:t>
            </w:r>
          </w:p>
        </w:tc>
      </w:tr>
      <w:tr>
        <w:tc>
          <w:tcPr>
            <w:tcW w:type="dxa" w:w="936"/>
            <w:vAlign w:val="center"/>
          </w:tcPr>
          <w:p>
            <w:pPr>
              <w:spacing w:after="0"/>
            </w:pPr>
            <w:r>
              <w:rPr>
                <w:rFonts w:ascii="Arial" w:hAnsi="Arial"/>
                <w:sz w:val="16"/>
              </w:rPr>
              <w:t>O-13</w:t>
            </w:r>
          </w:p>
        </w:tc>
        <w:tc>
          <w:tcPr>
            <w:tcW w:type="dxa" w:w="2160"/>
            <w:vAlign w:val="center"/>
          </w:tcPr>
          <w:p>
            <w:pPr>
              <w:spacing w:after="0"/>
            </w:pPr>
            <w:r>
              <w:rPr>
                <w:rFonts w:ascii="Arial" w:hAnsi="Arial"/>
                <w:sz w:val="16"/>
              </w:rPr>
              <w:t>Future features</w:t>
            </w:r>
          </w:p>
        </w:tc>
        <w:tc>
          <w:tcPr>
            <w:tcW w:type="dxa" w:w="6264"/>
            <w:vAlign w:val="center"/>
          </w:tcPr>
          <w:p>
            <w:pPr>
              <w:spacing w:after="0"/>
            </w:pPr>
            <w:r>
              <w:rPr>
                <w:rFonts w:ascii="Arial" w:hAnsi="Arial"/>
                <w:sz w:val="16"/>
              </w:rPr>
              <w:t>Confirm later scope for record locking and query management.</w:t>
            </w:r>
          </w:p>
        </w:tc>
      </w:tr>
      <w:tr>
        <w:tc>
          <w:tcPr>
            <w:tcW w:type="dxa" w:w="936"/>
            <w:vAlign w:val="center"/>
          </w:tcPr>
          <w:p>
            <w:pPr>
              <w:spacing w:after="0"/>
            </w:pPr>
            <w:r>
              <w:rPr>
                <w:rFonts w:ascii="Arial" w:hAnsi="Arial"/>
                <w:sz w:val="16"/>
              </w:rPr>
              <w:t>O-14</w:t>
            </w:r>
          </w:p>
        </w:tc>
        <w:tc>
          <w:tcPr>
            <w:tcW w:type="dxa" w:w="2160"/>
            <w:vAlign w:val="center"/>
          </w:tcPr>
          <w:p>
            <w:pPr>
              <w:spacing w:after="0"/>
            </w:pPr>
            <w:r>
              <w:rPr>
                <w:rFonts w:ascii="Arial" w:hAnsi="Arial"/>
                <w:sz w:val="16"/>
              </w:rPr>
              <w:t>Facilities</w:t>
            </w:r>
          </w:p>
        </w:tc>
        <w:tc>
          <w:tcPr>
            <w:tcW w:type="dxa" w:w="6264"/>
            <w:vAlign w:val="center"/>
          </w:tcPr>
          <w:p>
            <w:pPr>
              <w:spacing w:after="0"/>
            </w:pPr>
            <w:r>
              <w:rPr>
                <w:rFonts w:ascii="Arial" w:hAnsi="Arial"/>
                <w:sz w:val="16"/>
              </w:rPr>
              <w:t>Validate official facility list, hierarchy and effective dates.</w:t>
            </w:r>
          </w:p>
        </w:tc>
      </w:tr>
    </w:tbl>
    <w:p/>
    <w:p>
      <w:pPr>
        <w:pStyle w:val="Heading1"/>
      </w:pPr>
      <w:r>
        <w:t>Appendix A. Suggested Initial Statuses</w:t>
      </w:r>
    </w:p>
    <w:tbl>
      <w:tblPr>
        <w:tblStyle w:val="TableGrid"/>
        <w:tblW w:type="auto" w:w="0"/>
        <w:jc w:val="center"/>
        <w:tblLook w:firstColumn="1" w:firstRow="1" w:lastColumn="0" w:lastRow="0" w:noHBand="0" w:noVBand="1" w:val="04A0"/>
      </w:tblPr>
      <w:tblGrid>
        <w:gridCol w:w="4968"/>
        <w:gridCol w:w="4968"/>
      </w:tblGrid>
      <w:tr>
        <w:tc>
          <w:tcPr>
            <w:tcW w:type="dxa" w:w="2880"/>
            <w:shd w:fill="D9EAF7"/>
          </w:tcPr>
          <w:p>
            <w:r>
              <w:rPr>
                <w:b/>
                <w:sz w:val="17"/>
              </w:rPr>
              <w:t>Object</w:t>
            </w:r>
          </w:p>
        </w:tc>
        <w:tc>
          <w:tcPr>
            <w:tcW w:type="dxa" w:w="6480"/>
            <w:shd w:fill="D9EAF7"/>
          </w:tcPr>
          <w:p>
            <w:r>
              <w:rPr>
                <w:b/>
                <w:sz w:val="17"/>
              </w:rPr>
              <w:t>Statuses</w:t>
            </w:r>
          </w:p>
        </w:tc>
      </w:tr>
      <w:tr>
        <w:tc>
          <w:tcPr>
            <w:tcW w:type="dxa" w:w="2880"/>
            <w:vAlign w:val="center"/>
          </w:tcPr>
          <w:p>
            <w:pPr>
              <w:spacing w:after="0"/>
            </w:pPr>
            <w:r>
              <w:rPr>
                <w:rFonts w:ascii="Arial" w:hAnsi="Arial"/>
                <w:sz w:val="16"/>
              </w:rPr>
              <w:t>Patient</w:t>
            </w:r>
          </w:p>
        </w:tc>
        <w:tc>
          <w:tcPr>
            <w:tcW w:type="dxa" w:w="6480"/>
            <w:vAlign w:val="center"/>
          </w:tcPr>
          <w:p>
            <w:pPr>
              <w:spacing w:after="0"/>
            </w:pPr>
            <w:r>
              <w:rPr>
                <w:rFonts w:ascii="Arial" w:hAnsi="Arial"/>
                <w:sz w:val="16"/>
              </w:rPr>
              <w:t>Active, inactive, soft-deleted</w:t>
            </w:r>
          </w:p>
        </w:tc>
      </w:tr>
      <w:tr>
        <w:tc>
          <w:tcPr>
            <w:tcW w:type="dxa" w:w="2880"/>
            <w:vAlign w:val="center"/>
          </w:tcPr>
          <w:p>
            <w:pPr>
              <w:spacing w:after="0"/>
            </w:pPr>
            <w:r>
              <w:rPr>
                <w:rFonts w:ascii="Arial" w:hAnsi="Arial"/>
                <w:sz w:val="16"/>
              </w:rPr>
              <w:t>Appointment</w:t>
            </w:r>
          </w:p>
        </w:tc>
        <w:tc>
          <w:tcPr>
            <w:tcW w:type="dxa" w:w="6480"/>
            <w:vAlign w:val="center"/>
          </w:tcPr>
          <w:p>
            <w:pPr>
              <w:spacing w:after="0"/>
            </w:pPr>
            <w:r>
              <w:rPr>
                <w:rFonts w:ascii="Arial" w:hAnsi="Arial"/>
                <w:sz w:val="16"/>
              </w:rPr>
              <w:t>Scheduled, confirmed, attended, missed, cancelled, rescheduled</w:t>
            </w:r>
          </w:p>
        </w:tc>
      </w:tr>
      <w:tr>
        <w:tc>
          <w:tcPr>
            <w:tcW w:type="dxa" w:w="2880"/>
            <w:vAlign w:val="center"/>
          </w:tcPr>
          <w:p>
            <w:pPr>
              <w:spacing w:after="0"/>
            </w:pPr>
            <w:r>
              <w:rPr>
                <w:rFonts w:ascii="Arial" w:hAnsi="Arial"/>
                <w:sz w:val="16"/>
              </w:rPr>
              <w:t>Encounter</w:t>
            </w:r>
          </w:p>
        </w:tc>
        <w:tc>
          <w:tcPr>
            <w:tcW w:type="dxa" w:w="6480"/>
            <w:vAlign w:val="center"/>
          </w:tcPr>
          <w:p>
            <w:pPr>
              <w:spacing w:after="0"/>
            </w:pPr>
            <w:r>
              <w:rPr>
                <w:rFonts w:ascii="Arial" w:hAnsi="Arial"/>
                <w:sz w:val="16"/>
              </w:rPr>
              <w:t>Open, in progress, completed, incomplete, cancelled</w:t>
            </w:r>
          </w:p>
        </w:tc>
      </w:tr>
      <w:tr>
        <w:tc>
          <w:tcPr>
            <w:tcW w:type="dxa" w:w="2880"/>
            <w:vAlign w:val="center"/>
          </w:tcPr>
          <w:p>
            <w:pPr>
              <w:spacing w:after="0"/>
            </w:pPr>
            <w:r>
              <w:rPr>
                <w:rFonts w:ascii="Arial" w:hAnsi="Arial"/>
                <w:sz w:val="16"/>
              </w:rPr>
              <w:t>CRF submission</w:t>
            </w:r>
          </w:p>
        </w:tc>
        <w:tc>
          <w:tcPr>
            <w:tcW w:type="dxa" w:w="6480"/>
            <w:vAlign w:val="center"/>
          </w:tcPr>
          <w:p>
            <w:pPr>
              <w:spacing w:after="0"/>
            </w:pPr>
            <w:r>
              <w:rPr>
                <w:rFonts w:ascii="Arial" w:hAnsi="Arial"/>
                <w:sz w:val="16"/>
              </w:rPr>
              <w:t>Not started, in progress, submitted, under review, verified, returned for correction, not applicable</w:t>
            </w:r>
          </w:p>
        </w:tc>
      </w:tr>
      <w:tr>
        <w:tc>
          <w:tcPr>
            <w:tcW w:type="dxa" w:w="2880"/>
            <w:vAlign w:val="center"/>
          </w:tcPr>
          <w:p>
            <w:pPr>
              <w:spacing w:after="0"/>
            </w:pPr>
            <w:r>
              <w:rPr>
                <w:rFonts w:ascii="Arial" w:hAnsi="Arial"/>
                <w:sz w:val="16"/>
              </w:rPr>
              <w:t>Laboratory order</w:t>
            </w:r>
          </w:p>
        </w:tc>
        <w:tc>
          <w:tcPr>
            <w:tcW w:type="dxa" w:w="6480"/>
            <w:vAlign w:val="center"/>
          </w:tcPr>
          <w:p>
            <w:pPr>
              <w:spacing w:after="0"/>
            </w:pPr>
            <w:r>
              <w:rPr>
                <w:rFonts w:ascii="Arial" w:hAnsi="Arial"/>
                <w:sz w:val="16"/>
              </w:rPr>
              <w:t>Ordered, collected, processing, partially resulted, resulted, cancelled</w:t>
            </w:r>
          </w:p>
        </w:tc>
      </w:tr>
      <w:tr>
        <w:tc>
          <w:tcPr>
            <w:tcW w:type="dxa" w:w="2880"/>
            <w:vAlign w:val="center"/>
          </w:tcPr>
          <w:p>
            <w:pPr>
              <w:spacing w:after="0"/>
            </w:pPr>
            <w:r>
              <w:rPr>
                <w:rFonts w:ascii="Arial" w:hAnsi="Arial"/>
                <w:sz w:val="16"/>
              </w:rPr>
              <w:t>Transfer</w:t>
            </w:r>
          </w:p>
        </w:tc>
        <w:tc>
          <w:tcPr>
            <w:tcW w:type="dxa" w:w="6480"/>
            <w:vAlign w:val="center"/>
          </w:tcPr>
          <w:p>
            <w:pPr>
              <w:spacing w:after="0"/>
            </w:pPr>
            <w:r>
              <w:rPr>
                <w:rFonts w:ascii="Arial" w:hAnsi="Arial"/>
                <w:sz w:val="16"/>
              </w:rPr>
              <w:t>Requested, approved, sent, received, rejected, cancelled</w:t>
            </w:r>
          </w:p>
        </w:tc>
      </w:tr>
      <w:tr>
        <w:tc>
          <w:tcPr>
            <w:tcW w:type="dxa" w:w="2880"/>
            <w:vAlign w:val="center"/>
          </w:tcPr>
          <w:p>
            <w:pPr>
              <w:spacing w:after="0"/>
            </w:pPr>
            <w:r>
              <w:rPr>
                <w:rFonts w:ascii="Arial" w:hAnsi="Arial"/>
                <w:sz w:val="16"/>
              </w:rPr>
              <w:t>Clinical enrollment</w:t>
            </w:r>
          </w:p>
        </w:tc>
        <w:tc>
          <w:tcPr>
            <w:tcW w:type="dxa" w:w="6480"/>
            <w:vAlign w:val="center"/>
          </w:tcPr>
          <w:p>
            <w:pPr>
              <w:spacing w:after="0"/>
            </w:pPr>
            <w:r>
              <w:rPr>
                <w:rFonts w:ascii="Arial" w:hAnsi="Arial"/>
                <w:sz w:val="16"/>
              </w:rPr>
              <w:t>Pending, active, completed, LTFU, transferred out, withdrawn, deceased, other approved closure</w:t>
            </w:r>
          </w:p>
        </w:tc>
      </w:tr>
      <w:tr>
        <w:tc>
          <w:tcPr>
            <w:tcW w:type="dxa" w:w="2880"/>
            <w:vAlign w:val="center"/>
          </w:tcPr>
          <w:p>
            <w:pPr>
              <w:spacing w:after="0"/>
            </w:pPr>
            <w:r>
              <w:rPr>
                <w:rFonts w:ascii="Arial" w:hAnsi="Arial"/>
                <w:sz w:val="16"/>
              </w:rPr>
              <w:t>Research enrollment</w:t>
            </w:r>
          </w:p>
        </w:tc>
        <w:tc>
          <w:tcPr>
            <w:tcW w:type="dxa" w:w="6480"/>
            <w:vAlign w:val="center"/>
          </w:tcPr>
          <w:p>
            <w:pPr>
              <w:spacing w:after="0"/>
            </w:pPr>
            <w:r>
              <w:rPr>
                <w:rFonts w:ascii="Arial" w:hAnsi="Arial"/>
                <w:sz w:val="16"/>
              </w:rPr>
              <w:t>Pending, active, completed, withdrawn, LTFU, transferred, deceased, protocol-defined closure</w:t>
            </w:r>
          </w:p>
        </w:tc>
      </w:tr>
      <w:tr>
        <w:tc>
          <w:tcPr>
            <w:tcW w:type="dxa" w:w="2880"/>
            <w:vAlign w:val="center"/>
          </w:tcPr>
          <w:p>
            <w:pPr>
              <w:spacing w:after="0"/>
            </w:pPr>
            <w:r>
              <w:rPr>
                <w:rFonts w:ascii="Arial" w:hAnsi="Arial"/>
                <w:sz w:val="16"/>
              </w:rPr>
              <w:t>Study visit</w:t>
            </w:r>
          </w:p>
        </w:tc>
        <w:tc>
          <w:tcPr>
            <w:tcW w:type="dxa" w:w="6480"/>
            <w:vAlign w:val="center"/>
          </w:tcPr>
          <w:p>
            <w:pPr>
              <w:spacing w:after="0"/>
            </w:pPr>
            <w:r>
              <w:rPr>
                <w:rFonts w:ascii="Arial" w:hAnsi="Arial"/>
                <w:sz w:val="16"/>
              </w:rPr>
              <w:t>Expected, scheduled, in progress, completed, missed, cancelled, not applicable</w:t>
            </w:r>
          </w:p>
        </w:tc>
      </w:tr>
      <w:tr>
        <w:tc>
          <w:tcPr>
            <w:tcW w:type="dxa" w:w="2880"/>
            <w:vAlign w:val="center"/>
          </w:tcPr>
          <w:p>
            <w:pPr>
              <w:spacing w:after="0"/>
            </w:pPr>
            <w:r>
              <w:rPr>
                <w:rFonts w:ascii="Arial" w:hAnsi="Arial"/>
                <w:sz w:val="16"/>
              </w:rPr>
              <w:t>Notification attempt</w:t>
            </w:r>
          </w:p>
        </w:tc>
        <w:tc>
          <w:tcPr>
            <w:tcW w:type="dxa" w:w="6480"/>
            <w:vAlign w:val="center"/>
          </w:tcPr>
          <w:p>
            <w:pPr>
              <w:spacing w:after="0"/>
            </w:pPr>
            <w:r>
              <w:rPr>
                <w:rFonts w:ascii="Arial" w:hAnsi="Arial"/>
                <w:sz w:val="16"/>
              </w:rPr>
              <w:t>Queued, processing, sent, delivered, failed, cancelled, retry scheduled</w:t>
            </w:r>
          </w:p>
        </w:tc>
      </w:tr>
      <w:tr>
        <w:tc>
          <w:tcPr>
            <w:tcW w:type="dxa" w:w="2880"/>
            <w:vAlign w:val="center"/>
          </w:tcPr>
          <w:p>
            <w:pPr>
              <w:spacing w:after="0"/>
            </w:pPr>
            <w:r>
              <w:rPr>
                <w:rFonts w:ascii="Arial" w:hAnsi="Arial"/>
                <w:sz w:val="16"/>
              </w:rPr>
              <w:t>Scheduled report</w:t>
            </w:r>
          </w:p>
        </w:tc>
        <w:tc>
          <w:tcPr>
            <w:tcW w:type="dxa" w:w="6480"/>
            <w:vAlign w:val="center"/>
          </w:tcPr>
          <w:p>
            <w:pPr>
              <w:spacing w:after="0"/>
            </w:pPr>
            <w:r>
              <w:rPr>
                <w:rFonts w:ascii="Arial" w:hAnsi="Arial"/>
                <w:sz w:val="16"/>
              </w:rPr>
              <w:t>Pending, generating, sent, failed, cancelled</w:t>
            </w:r>
          </w:p>
        </w:tc>
      </w:tr>
    </w:tbl>
    <w:p/>
    <w:p>
      <w:pPr>
        <w:pStyle w:val="Heading1"/>
      </w:pPr>
      <w:r>
        <w:t>Appendix B. Glossary</w:t>
      </w:r>
    </w:p>
    <w:tbl>
      <w:tblPr>
        <w:tblStyle w:val="TableGrid"/>
        <w:tblW w:type="auto" w:w="0"/>
        <w:jc w:val="center"/>
        <w:tblLook w:firstColumn="1" w:firstRow="1" w:lastColumn="0" w:lastRow="0" w:noHBand="0" w:noVBand="1" w:val="04A0"/>
      </w:tblPr>
      <w:tblGrid>
        <w:gridCol w:w="4968"/>
        <w:gridCol w:w="4968"/>
      </w:tblGrid>
      <w:tr>
        <w:tc>
          <w:tcPr>
            <w:tcW w:type="dxa" w:w="2880"/>
            <w:shd w:fill="D9EAF7"/>
          </w:tcPr>
          <w:p>
            <w:r>
              <w:rPr>
                <w:b/>
                <w:sz w:val="17"/>
              </w:rPr>
              <w:t>Term</w:t>
            </w:r>
          </w:p>
        </w:tc>
        <w:tc>
          <w:tcPr>
            <w:tcW w:type="dxa" w:w="6480"/>
            <w:shd w:fill="D9EAF7"/>
          </w:tcPr>
          <w:p>
            <w:r>
              <w:rPr>
                <w:b/>
                <w:sz w:val="17"/>
              </w:rPr>
              <w:t>Meaning</w:t>
            </w:r>
          </w:p>
        </w:tc>
      </w:tr>
      <w:tr>
        <w:tc>
          <w:tcPr>
            <w:tcW w:type="dxa" w:w="2880"/>
            <w:vAlign w:val="center"/>
          </w:tcPr>
          <w:p>
            <w:pPr>
              <w:spacing w:after="0"/>
            </w:pPr>
            <w:r>
              <w:rPr>
                <w:rFonts w:ascii="Arial" w:hAnsi="Arial"/>
                <w:sz w:val="16"/>
              </w:rPr>
              <w:t>NCD</w:t>
            </w:r>
          </w:p>
        </w:tc>
        <w:tc>
          <w:tcPr>
            <w:tcW w:type="dxa" w:w="6480"/>
            <w:vAlign w:val="center"/>
          </w:tcPr>
          <w:p>
            <w:pPr>
              <w:spacing w:after="0"/>
            </w:pPr>
            <w:r>
              <w:rPr>
                <w:rFonts w:ascii="Arial" w:hAnsi="Arial"/>
                <w:sz w:val="16"/>
              </w:rPr>
              <w:t>Non-communicable disease.</w:t>
            </w:r>
          </w:p>
        </w:tc>
      </w:tr>
      <w:tr>
        <w:tc>
          <w:tcPr>
            <w:tcW w:type="dxa" w:w="2880"/>
            <w:vAlign w:val="center"/>
          </w:tcPr>
          <w:p>
            <w:pPr>
              <w:spacing w:after="0"/>
            </w:pPr>
            <w:r>
              <w:rPr>
                <w:rFonts w:ascii="Arial" w:hAnsi="Arial"/>
                <w:sz w:val="16"/>
              </w:rPr>
              <w:t>CRF</w:t>
            </w:r>
          </w:p>
        </w:tc>
        <w:tc>
          <w:tcPr>
            <w:tcW w:type="dxa" w:w="6480"/>
            <w:vAlign w:val="center"/>
          </w:tcPr>
          <w:p>
            <w:pPr>
              <w:spacing w:after="0"/>
            </w:pPr>
            <w:r>
              <w:rPr>
                <w:rFonts w:ascii="Arial" w:hAnsi="Arial"/>
                <w:sz w:val="16"/>
              </w:rPr>
              <w:t>Case Report Form.</w:t>
            </w:r>
          </w:p>
        </w:tc>
      </w:tr>
      <w:tr>
        <w:tc>
          <w:tcPr>
            <w:tcW w:type="dxa" w:w="2880"/>
            <w:vAlign w:val="center"/>
          </w:tcPr>
          <w:p>
            <w:pPr>
              <w:spacing w:after="0"/>
            </w:pPr>
            <w:r>
              <w:rPr>
                <w:rFonts w:ascii="Arial" w:hAnsi="Arial"/>
                <w:sz w:val="16"/>
              </w:rPr>
              <w:t>Encounter</w:t>
            </w:r>
          </w:p>
        </w:tc>
        <w:tc>
          <w:tcPr>
            <w:tcW w:type="dxa" w:w="6480"/>
            <w:vAlign w:val="center"/>
          </w:tcPr>
          <w:p>
            <w:pPr>
              <w:spacing w:after="0"/>
            </w:pPr>
            <w:r>
              <w:rPr>
                <w:rFonts w:ascii="Arial" w:hAnsi="Arial"/>
                <w:sz w:val="16"/>
              </w:rPr>
              <w:t>Actual clinical contact or service event.</w:t>
            </w:r>
          </w:p>
        </w:tc>
      </w:tr>
      <w:tr>
        <w:tc>
          <w:tcPr>
            <w:tcW w:type="dxa" w:w="2880"/>
            <w:vAlign w:val="center"/>
          </w:tcPr>
          <w:p>
            <w:pPr>
              <w:spacing w:after="0"/>
            </w:pPr>
            <w:r>
              <w:rPr>
                <w:rFonts w:ascii="Arial" w:hAnsi="Arial"/>
                <w:sz w:val="16"/>
              </w:rPr>
              <w:t>Appointment</w:t>
            </w:r>
          </w:p>
        </w:tc>
        <w:tc>
          <w:tcPr>
            <w:tcW w:type="dxa" w:w="6480"/>
            <w:vAlign w:val="center"/>
          </w:tcPr>
          <w:p>
            <w:pPr>
              <w:spacing w:after="0"/>
            </w:pPr>
            <w:r>
              <w:rPr>
                <w:rFonts w:ascii="Arial" w:hAnsi="Arial"/>
                <w:sz w:val="16"/>
              </w:rPr>
              <w:t>Planned future contact.</w:t>
            </w:r>
          </w:p>
        </w:tc>
      </w:tr>
      <w:tr>
        <w:tc>
          <w:tcPr>
            <w:tcW w:type="dxa" w:w="2880"/>
            <w:vAlign w:val="center"/>
          </w:tcPr>
          <w:p>
            <w:pPr>
              <w:spacing w:after="0"/>
            </w:pPr>
            <w:r>
              <w:rPr>
                <w:rFonts w:ascii="Arial" w:hAnsi="Arial"/>
                <w:sz w:val="16"/>
              </w:rPr>
              <w:t>Clinical programme enrollment</w:t>
            </w:r>
          </w:p>
        </w:tc>
        <w:tc>
          <w:tcPr>
            <w:tcW w:type="dxa" w:w="6480"/>
            <w:vAlign w:val="center"/>
          </w:tcPr>
          <w:p>
            <w:pPr>
              <w:spacing w:after="0"/>
            </w:pPr>
            <w:r>
              <w:rPr>
                <w:rFonts w:ascii="Arial" w:hAnsi="Arial"/>
                <w:sz w:val="16"/>
              </w:rPr>
              <w:t>Participation in a clinical care programme.</w:t>
            </w:r>
          </w:p>
        </w:tc>
      </w:tr>
      <w:tr>
        <w:tc>
          <w:tcPr>
            <w:tcW w:type="dxa" w:w="2880"/>
            <w:vAlign w:val="center"/>
          </w:tcPr>
          <w:p>
            <w:pPr>
              <w:spacing w:after="0"/>
            </w:pPr>
            <w:r>
              <w:rPr>
                <w:rFonts w:ascii="Arial" w:hAnsi="Arial"/>
                <w:sz w:val="16"/>
              </w:rPr>
              <w:t>Research enrollment</w:t>
            </w:r>
          </w:p>
        </w:tc>
        <w:tc>
          <w:tcPr>
            <w:tcW w:type="dxa" w:w="6480"/>
            <w:vAlign w:val="center"/>
          </w:tcPr>
          <w:p>
            <w:pPr>
              <w:spacing w:after="0"/>
            </w:pPr>
            <w:r>
              <w:rPr>
                <w:rFonts w:ascii="Arial" w:hAnsi="Arial"/>
                <w:sz w:val="16"/>
              </w:rPr>
              <w:t>Participation in a specific approved research study.</w:t>
            </w:r>
          </w:p>
        </w:tc>
      </w:tr>
      <w:tr>
        <w:tc>
          <w:tcPr>
            <w:tcW w:type="dxa" w:w="2880"/>
            <w:vAlign w:val="center"/>
          </w:tcPr>
          <w:p>
            <w:pPr>
              <w:spacing w:after="0"/>
            </w:pPr>
            <w:r>
              <w:rPr>
                <w:rFonts w:ascii="Arial" w:hAnsi="Arial"/>
                <w:sz w:val="16"/>
              </w:rPr>
              <w:t>LTFU</w:t>
            </w:r>
          </w:p>
        </w:tc>
        <w:tc>
          <w:tcPr>
            <w:tcW w:type="dxa" w:w="6480"/>
            <w:vAlign w:val="center"/>
          </w:tcPr>
          <w:p>
            <w:pPr>
              <w:spacing w:after="0"/>
            </w:pPr>
            <w:r>
              <w:rPr>
                <w:rFonts w:ascii="Arial" w:hAnsi="Arial"/>
                <w:sz w:val="16"/>
              </w:rPr>
              <w:t>Lost to follow-up under the relevant definition.</w:t>
            </w:r>
          </w:p>
        </w:tc>
      </w:tr>
      <w:tr>
        <w:tc>
          <w:tcPr>
            <w:tcW w:type="dxa" w:w="2880"/>
            <w:vAlign w:val="center"/>
          </w:tcPr>
          <w:p>
            <w:pPr>
              <w:spacing w:after="0"/>
            </w:pPr>
            <w:r>
              <w:rPr>
                <w:rFonts w:ascii="Arial" w:hAnsi="Arial"/>
                <w:sz w:val="16"/>
              </w:rPr>
              <w:t>Soft deletion</w:t>
            </w:r>
          </w:p>
        </w:tc>
        <w:tc>
          <w:tcPr>
            <w:tcW w:type="dxa" w:w="6480"/>
            <w:vAlign w:val="center"/>
          </w:tcPr>
          <w:p>
            <w:pPr>
              <w:spacing w:after="0"/>
            </w:pPr>
            <w:r>
              <w:rPr>
                <w:rFonts w:ascii="Arial" w:hAnsi="Arial"/>
                <w:sz w:val="16"/>
              </w:rPr>
              <w:t>Reversible logical deletion retaining record/history.</w:t>
            </w:r>
          </w:p>
        </w:tc>
      </w:tr>
      <w:tr>
        <w:tc>
          <w:tcPr>
            <w:tcW w:type="dxa" w:w="2880"/>
            <w:vAlign w:val="center"/>
          </w:tcPr>
          <w:p>
            <w:pPr>
              <w:spacing w:after="0"/>
            </w:pPr>
            <w:r>
              <w:rPr>
                <w:rFonts w:ascii="Arial" w:hAnsi="Arial"/>
                <w:sz w:val="16"/>
              </w:rPr>
              <w:t>RBAC</w:t>
            </w:r>
          </w:p>
        </w:tc>
        <w:tc>
          <w:tcPr>
            <w:tcW w:type="dxa" w:w="6480"/>
            <w:vAlign w:val="center"/>
          </w:tcPr>
          <w:p>
            <w:pPr>
              <w:spacing w:after="0"/>
            </w:pPr>
            <w:r>
              <w:rPr>
                <w:rFonts w:ascii="Arial" w:hAnsi="Arial"/>
                <w:sz w:val="16"/>
              </w:rPr>
              <w:t>Role-Based Access Control.</w:t>
            </w:r>
          </w:p>
        </w:tc>
      </w:tr>
      <w:tr>
        <w:tc>
          <w:tcPr>
            <w:tcW w:type="dxa" w:w="2880"/>
            <w:vAlign w:val="center"/>
          </w:tcPr>
          <w:p>
            <w:pPr>
              <w:spacing w:after="0"/>
            </w:pPr>
            <w:r>
              <w:rPr>
                <w:rFonts w:ascii="Arial" w:hAnsi="Arial"/>
                <w:sz w:val="16"/>
              </w:rPr>
              <w:t>OTP</w:t>
            </w:r>
          </w:p>
        </w:tc>
        <w:tc>
          <w:tcPr>
            <w:tcW w:type="dxa" w:w="6480"/>
            <w:vAlign w:val="center"/>
          </w:tcPr>
          <w:p>
            <w:pPr>
              <w:spacing w:after="0"/>
            </w:pPr>
            <w:r>
              <w:rPr>
                <w:rFonts w:ascii="Arial" w:hAnsi="Arial"/>
                <w:sz w:val="16"/>
              </w:rPr>
              <w:t>One-time passcode.</w:t>
            </w:r>
          </w:p>
        </w:tc>
      </w:tr>
      <w:tr>
        <w:tc>
          <w:tcPr>
            <w:tcW w:type="dxa" w:w="2880"/>
            <w:vAlign w:val="center"/>
          </w:tcPr>
          <w:p>
            <w:pPr>
              <w:spacing w:after="0"/>
            </w:pPr>
            <w:r>
              <w:rPr>
                <w:rFonts w:ascii="Arial" w:hAnsi="Arial"/>
                <w:sz w:val="16"/>
              </w:rPr>
              <w:t>PI</w:t>
            </w:r>
          </w:p>
        </w:tc>
        <w:tc>
          <w:tcPr>
            <w:tcW w:type="dxa" w:w="6480"/>
            <w:vAlign w:val="center"/>
          </w:tcPr>
          <w:p>
            <w:pPr>
              <w:spacing w:after="0"/>
            </w:pPr>
            <w:r>
              <w:rPr>
                <w:rFonts w:ascii="Arial" w:hAnsi="Arial"/>
                <w:sz w:val="16"/>
              </w:rPr>
              <w:t>Principal Investigator.</w:t>
            </w:r>
          </w:p>
        </w:tc>
      </w:tr>
      <w:tr>
        <w:tc>
          <w:tcPr>
            <w:tcW w:type="dxa" w:w="2880"/>
            <w:vAlign w:val="center"/>
          </w:tcPr>
          <w:p>
            <w:pPr>
              <w:spacing w:after="0"/>
            </w:pPr>
            <w:r>
              <w:rPr>
                <w:rFonts w:ascii="Arial" w:hAnsi="Arial"/>
                <w:sz w:val="16"/>
              </w:rPr>
              <w:t>GoTHOMIS</w:t>
            </w:r>
          </w:p>
        </w:tc>
        <w:tc>
          <w:tcPr>
            <w:tcW w:type="dxa" w:w="6480"/>
            <w:vAlign w:val="center"/>
          </w:tcPr>
          <w:p>
            <w:pPr>
              <w:spacing w:after="0"/>
            </w:pPr>
            <w:r>
              <w:rPr>
                <w:rFonts w:ascii="Arial" w:hAnsi="Arial"/>
                <w:sz w:val="16"/>
              </w:rPr>
              <w:t>Government of Tanzania Hospital Management Information System; integration capability must be verified.</w:t>
            </w:r>
          </w:p>
        </w:tc>
      </w:tr>
    </w:tbl>
    <w:p/>
    <w:p>
      <w:pPr>
        <w:pStyle w:val="Heading1"/>
      </w:pPr>
      <w:r>
        <w:t>Approval and Sign-off</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shd w:fill="D9EAF7"/>
          </w:tcPr>
          <w:p>
            <w:r>
              <w:rPr>
                <w:b/>
                <w:sz w:val="17"/>
              </w:rPr>
              <w:t>Role</w:t>
            </w:r>
          </w:p>
        </w:tc>
        <w:tc>
          <w:tcPr>
            <w:tcW w:type="dxa" w:w="2448"/>
            <w:shd w:fill="D9EAF7"/>
          </w:tcPr>
          <w:p>
            <w:r>
              <w:rPr>
                <w:b/>
                <w:sz w:val="17"/>
              </w:rPr>
              <w:t>Name</w:t>
            </w:r>
          </w:p>
        </w:tc>
        <w:tc>
          <w:tcPr>
            <w:tcW w:type="dxa" w:w="2448"/>
            <w:shd w:fill="D9EAF7"/>
          </w:tcPr>
          <w:p>
            <w:r>
              <w:rPr>
                <w:b/>
                <w:sz w:val="17"/>
              </w:rPr>
              <w:t>Signature</w:t>
            </w:r>
          </w:p>
        </w:tc>
        <w:tc>
          <w:tcPr>
            <w:tcW w:type="dxa" w:w="1872"/>
            <w:shd w:fill="D9EAF7"/>
          </w:tcPr>
          <w:p>
            <w:r>
              <w:rPr>
                <w:b/>
                <w:sz w:val="17"/>
              </w:rPr>
              <w:t>Date</w:t>
            </w:r>
          </w:p>
        </w:tc>
      </w:tr>
      <w:tr>
        <w:tc>
          <w:tcPr>
            <w:tcW w:type="dxa" w:w="2592"/>
            <w:vAlign w:val="center"/>
          </w:tcPr>
          <w:p>
            <w:pPr>
              <w:spacing w:after="0"/>
            </w:pPr>
            <w:r>
              <w:rPr>
                <w:rFonts w:ascii="Arial" w:hAnsi="Arial"/>
                <w:sz w:val="16"/>
              </w:rPr>
              <w:t>System owner/sponsor</w:t>
            </w:r>
          </w:p>
        </w:tc>
        <w:tc>
          <w:tcPr>
            <w:tcW w:type="dxa" w:w="2448"/>
            <w:vAlign w:val="center"/>
          </w:tcPr>
          <w:p>
            <w:pPr>
              <w:spacing w:after="0"/>
            </w:pPr>
            <w:r>
              <w:rPr>
                <w:rFonts w:ascii="Arial" w:hAnsi="Arial"/>
                <w:sz w:val="16"/>
              </w:rPr>
            </w:r>
          </w:p>
        </w:tc>
        <w:tc>
          <w:tcPr>
            <w:tcW w:type="dxa" w:w="2448"/>
            <w:vAlign w:val="center"/>
          </w:tcPr>
          <w:p>
            <w:pPr>
              <w:spacing w:after="0"/>
            </w:pPr>
            <w:r>
              <w:rPr>
                <w:rFonts w:ascii="Arial" w:hAnsi="Arial"/>
                <w:sz w:val="16"/>
              </w:rPr>
            </w:r>
          </w:p>
        </w:tc>
        <w:tc>
          <w:tcPr>
            <w:tcW w:type="dxa" w:w="1872"/>
            <w:vAlign w:val="center"/>
          </w:tcPr>
          <w:p>
            <w:pPr>
              <w:spacing w:after="0"/>
            </w:pPr>
            <w:r>
              <w:rPr>
                <w:rFonts w:ascii="Arial" w:hAnsi="Arial"/>
                <w:sz w:val="16"/>
              </w:rPr>
            </w:r>
          </w:p>
        </w:tc>
      </w:tr>
      <w:tr>
        <w:tc>
          <w:tcPr>
            <w:tcW w:type="dxa" w:w="2592"/>
            <w:vAlign w:val="center"/>
          </w:tcPr>
          <w:p>
            <w:pPr>
              <w:spacing w:after="0"/>
            </w:pPr>
            <w:r>
              <w:rPr>
                <w:rFonts w:ascii="Arial" w:hAnsi="Arial"/>
                <w:sz w:val="16"/>
              </w:rPr>
              <w:t>Clinical lead</w:t>
            </w:r>
          </w:p>
        </w:tc>
        <w:tc>
          <w:tcPr>
            <w:tcW w:type="dxa" w:w="2448"/>
            <w:vAlign w:val="center"/>
          </w:tcPr>
          <w:p>
            <w:pPr>
              <w:spacing w:after="0"/>
            </w:pPr>
            <w:r>
              <w:rPr>
                <w:rFonts w:ascii="Arial" w:hAnsi="Arial"/>
                <w:sz w:val="16"/>
              </w:rPr>
            </w:r>
          </w:p>
        </w:tc>
        <w:tc>
          <w:tcPr>
            <w:tcW w:type="dxa" w:w="2448"/>
            <w:vAlign w:val="center"/>
          </w:tcPr>
          <w:p>
            <w:pPr>
              <w:spacing w:after="0"/>
            </w:pPr>
            <w:r>
              <w:rPr>
                <w:rFonts w:ascii="Arial" w:hAnsi="Arial"/>
                <w:sz w:val="16"/>
              </w:rPr>
            </w:r>
          </w:p>
        </w:tc>
        <w:tc>
          <w:tcPr>
            <w:tcW w:type="dxa" w:w="1872"/>
            <w:vAlign w:val="center"/>
          </w:tcPr>
          <w:p>
            <w:pPr>
              <w:spacing w:after="0"/>
            </w:pPr>
            <w:r>
              <w:rPr>
                <w:rFonts w:ascii="Arial" w:hAnsi="Arial"/>
                <w:sz w:val="16"/>
              </w:rPr>
            </w:r>
          </w:p>
        </w:tc>
      </w:tr>
      <w:tr>
        <w:tc>
          <w:tcPr>
            <w:tcW w:type="dxa" w:w="2592"/>
            <w:vAlign w:val="center"/>
          </w:tcPr>
          <w:p>
            <w:pPr>
              <w:spacing w:after="0"/>
            </w:pPr>
            <w:r>
              <w:rPr>
                <w:rFonts w:ascii="Arial" w:hAnsi="Arial"/>
                <w:sz w:val="16"/>
              </w:rPr>
              <w:t>Research lead/PI</w:t>
            </w:r>
          </w:p>
        </w:tc>
        <w:tc>
          <w:tcPr>
            <w:tcW w:type="dxa" w:w="2448"/>
            <w:vAlign w:val="center"/>
          </w:tcPr>
          <w:p>
            <w:pPr>
              <w:spacing w:after="0"/>
            </w:pPr>
            <w:r>
              <w:rPr>
                <w:rFonts w:ascii="Arial" w:hAnsi="Arial"/>
                <w:sz w:val="16"/>
              </w:rPr>
            </w:r>
          </w:p>
        </w:tc>
        <w:tc>
          <w:tcPr>
            <w:tcW w:type="dxa" w:w="2448"/>
            <w:vAlign w:val="center"/>
          </w:tcPr>
          <w:p>
            <w:pPr>
              <w:spacing w:after="0"/>
            </w:pPr>
            <w:r>
              <w:rPr>
                <w:rFonts w:ascii="Arial" w:hAnsi="Arial"/>
                <w:sz w:val="16"/>
              </w:rPr>
            </w:r>
          </w:p>
        </w:tc>
        <w:tc>
          <w:tcPr>
            <w:tcW w:type="dxa" w:w="1872"/>
            <w:vAlign w:val="center"/>
          </w:tcPr>
          <w:p>
            <w:pPr>
              <w:spacing w:after="0"/>
            </w:pPr>
            <w:r>
              <w:rPr>
                <w:rFonts w:ascii="Arial" w:hAnsi="Arial"/>
                <w:sz w:val="16"/>
              </w:rPr>
            </w:r>
          </w:p>
        </w:tc>
      </w:tr>
      <w:tr>
        <w:tc>
          <w:tcPr>
            <w:tcW w:type="dxa" w:w="2592"/>
            <w:vAlign w:val="center"/>
          </w:tcPr>
          <w:p>
            <w:pPr>
              <w:spacing w:after="0"/>
            </w:pPr>
            <w:r>
              <w:rPr>
                <w:rFonts w:ascii="Arial" w:hAnsi="Arial"/>
                <w:sz w:val="16"/>
              </w:rPr>
              <w:t>Data management lead</w:t>
            </w:r>
          </w:p>
        </w:tc>
        <w:tc>
          <w:tcPr>
            <w:tcW w:type="dxa" w:w="2448"/>
            <w:vAlign w:val="center"/>
          </w:tcPr>
          <w:p>
            <w:pPr>
              <w:spacing w:after="0"/>
            </w:pPr>
            <w:r>
              <w:rPr>
                <w:rFonts w:ascii="Arial" w:hAnsi="Arial"/>
                <w:sz w:val="16"/>
              </w:rPr>
            </w:r>
          </w:p>
        </w:tc>
        <w:tc>
          <w:tcPr>
            <w:tcW w:type="dxa" w:w="2448"/>
            <w:vAlign w:val="center"/>
          </w:tcPr>
          <w:p>
            <w:pPr>
              <w:spacing w:after="0"/>
            </w:pPr>
            <w:r>
              <w:rPr>
                <w:rFonts w:ascii="Arial" w:hAnsi="Arial"/>
                <w:sz w:val="16"/>
              </w:rPr>
            </w:r>
          </w:p>
        </w:tc>
        <w:tc>
          <w:tcPr>
            <w:tcW w:type="dxa" w:w="1872"/>
            <w:vAlign w:val="center"/>
          </w:tcPr>
          <w:p>
            <w:pPr>
              <w:spacing w:after="0"/>
            </w:pPr>
            <w:r>
              <w:rPr>
                <w:rFonts w:ascii="Arial" w:hAnsi="Arial"/>
                <w:sz w:val="16"/>
              </w:rPr>
            </w:r>
          </w:p>
        </w:tc>
      </w:tr>
      <w:tr>
        <w:tc>
          <w:tcPr>
            <w:tcW w:type="dxa" w:w="2592"/>
            <w:vAlign w:val="center"/>
          </w:tcPr>
          <w:p>
            <w:pPr>
              <w:spacing w:after="0"/>
            </w:pPr>
            <w:r>
              <w:rPr>
                <w:rFonts w:ascii="Arial" w:hAnsi="Arial"/>
                <w:sz w:val="16"/>
              </w:rPr>
              <w:t>ICT/security lead</w:t>
            </w:r>
          </w:p>
        </w:tc>
        <w:tc>
          <w:tcPr>
            <w:tcW w:type="dxa" w:w="2448"/>
            <w:vAlign w:val="center"/>
          </w:tcPr>
          <w:p>
            <w:pPr>
              <w:spacing w:after="0"/>
            </w:pPr>
            <w:r>
              <w:rPr>
                <w:rFonts w:ascii="Arial" w:hAnsi="Arial"/>
                <w:sz w:val="16"/>
              </w:rPr>
            </w:r>
          </w:p>
        </w:tc>
        <w:tc>
          <w:tcPr>
            <w:tcW w:type="dxa" w:w="2448"/>
            <w:vAlign w:val="center"/>
          </w:tcPr>
          <w:p>
            <w:pPr>
              <w:spacing w:after="0"/>
            </w:pPr>
            <w:r>
              <w:rPr>
                <w:rFonts w:ascii="Arial" w:hAnsi="Arial"/>
                <w:sz w:val="16"/>
              </w:rPr>
            </w:r>
          </w:p>
        </w:tc>
        <w:tc>
          <w:tcPr>
            <w:tcW w:type="dxa" w:w="1872"/>
            <w:vAlign w:val="center"/>
          </w:tcPr>
          <w:p>
            <w:pPr>
              <w:spacing w:after="0"/>
            </w:pPr>
            <w:r>
              <w:rPr>
                <w:rFonts w:ascii="Arial" w:hAnsi="Arial"/>
                <w:sz w:val="16"/>
              </w:rPr>
            </w:r>
          </w:p>
        </w:tc>
      </w:tr>
      <w:tr>
        <w:tc>
          <w:tcPr>
            <w:tcW w:type="dxa" w:w="2592"/>
            <w:vAlign w:val="center"/>
          </w:tcPr>
          <w:p>
            <w:pPr>
              <w:spacing w:after="0"/>
            </w:pPr>
            <w:r>
              <w:rPr>
                <w:rFonts w:ascii="Arial" w:hAnsi="Arial"/>
                <w:sz w:val="16"/>
              </w:rPr>
              <w:t>Facility representative</w:t>
            </w:r>
          </w:p>
        </w:tc>
        <w:tc>
          <w:tcPr>
            <w:tcW w:type="dxa" w:w="2448"/>
            <w:vAlign w:val="center"/>
          </w:tcPr>
          <w:p>
            <w:pPr>
              <w:spacing w:after="0"/>
            </w:pPr>
            <w:r>
              <w:rPr>
                <w:rFonts w:ascii="Arial" w:hAnsi="Arial"/>
                <w:sz w:val="16"/>
              </w:rPr>
            </w:r>
          </w:p>
        </w:tc>
        <w:tc>
          <w:tcPr>
            <w:tcW w:type="dxa" w:w="2448"/>
            <w:vAlign w:val="center"/>
          </w:tcPr>
          <w:p>
            <w:pPr>
              <w:spacing w:after="0"/>
            </w:pPr>
            <w:r>
              <w:rPr>
                <w:rFonts w:ascii="Arial" w:hAnsi="Arial"/>
                <w:sz w:val="16"/>
              </w:rPr>
            </w:r>
          </w:p>
        </w:tc>
        <w:tc>
          <w:tcPr>
            <w:tcW w:type="dxa" w:w="1872"/>
            <w:vAlign w:val="center"/>
          </w:tcPr>
          <w:p>
            <w:pPr>
              <w:spacing w:after="0"/>
            </w:pPr>
            <w:r>
              <w:rPr>
                <w:rFonts w:ascii="Arial" w:hAnsi="Arial"/>
                <w:sz w:val="16"/>
              </w:rPr>
            </w:r>
          </w:p>
        </w:tc>
      </w:tr>
    </w:tbl>
    <w:p/>
    <w:p>
      <w:r>
        <w:br w:type="page"/>
      </w:r>
    </w:p>
    <w:p>
      <w:pPr>
        <w:pStyle w:val="Heading1"/>
      </w:pPr>
      <w:r>
        <w:t>Addendum: Flexible Multi-Disease Workflow and Dynamic Form Builder</w:t>
      </w:r>
    </w:p>
    <w:p>
      <w:r>
        <w:rPr>
          <w:i/>
        </w:rPr>
        <w:t>Version: 1.1 update | Date: 14 October 2026</w:t>
      </w:r>
    </w:p>
    <w:p>
      <w:pPr>
        <w:pStyle w:val="Heading2"/>
      </w:pPr>
      <w:r>
        <w:t>A. Flexible patient journey</w:t>
      </w:r>
    </w:p>
    <w:p>
      <w:r>
        <w:t>The system shall support a configurable patient journey from registration through pre-screening, disease screening, clinical assessment, investigations, diagnosis, clinical programme and/or research enrollment, follow-up, and outcome or closure. The journey is not strictly linear: investigations may occur before a final diagnosis, routine clinical care may be provided without research enrollment, and a patient may be screened for additional diseases later.</w:t>
      </w:r>
    </w:p>
    <w:p>
      <w:pPr>
        <w:pStyle w:val="ListNumber"/>
      </w:pPr>
      <w:r>
        <w:rPr>
          <w:b/>
        </w:rPr>
        <w:t xml:space="preserve">Registration: </w:t>
      </w:r>
      <w:r>
        <w:t>Create one unique patient identity and retain the original registration facility.</w:t>
      </w:r>
    </w:p>
    <w:p>
      <w:pPr>
        <w:pStyle w:val="ListNumber"/>
      </w:pPr>
      <w:r>
        <w:rPr>
          <w:b/>
        </w:rPr>
        <w:t xml:space="preserve">Pre-screening: </w:t>
      </w:r>
      <w:r>
        <w:t>Record general criteria such as residence, expected duration in the study area, and other configurable criteria.</w:t>
      </w:r>
    </w:p>
    <w:p>
      <w:pPr>
        <w:pStyle w:val="ListNumber"/>
      </w:pPr>
      <w:r>
        <w:rPr>
          <w:b/>
        </w:rPr>
        <w:t xml:space="preserve">Disease screening: </w:t>
      </w:r>
      <w:r>
        <w:t>Select one or more diseases for screening, such as diabetes, cardiac disease and sickle cell disease. Record screening source separately from the actual encounter location.</w:t>
      </w:r>
    </w:p>
    <w:p>
      <w:pPr>
        <w:pStyle w:val="ListNumber"/>
      </w:pPr>
      <w:r>
        <w:rPr>
          <w:b/>
        </w:rPr>
        <w:t xml:space="preserve">Clinical assessment and investigations: </w:t>
      </w:r>
      <w:r>
        <w:t>Record symptoms, examination, vital signs, test requests, specimens, results and clinician review. Results may remain pending while other workflow activities continue.</w:t>
      </w:r>
    </w:p>
    <w:p>
      <w:pPr>
        <w:pStyle w:val="ListNumber"/>
      </w:pPr>
      <w:r>
        <w:rPr>
          <w:b/>
        </w:rPr>
        <w:t xml:space="preserve">Diagnosis and eligibility: </w:t>
      </w:r>
      <w:r>
        <w:t>Record suspected, confirmed, ruled-out or pending diagnoses as appropriate. Evaluate clinical-programme eligibility separately from research-study eligibility.</w:t>
      </w:r>
    </w:p>
    <w:p>
      <w:pPr>
        <w:pStyle w:val="ListNumber"/>
      </w:pPr>
      <w:r>
        <w:rPr>
          <w:b/>
        </w:rPr>
        <w:t xml:space="preserve">Enrollment: </w:t>
      </w:r>
      <w:r>
        <w:t>Allow enrollment into one or more eligible disease programmes and/or research studies when each programme or protocol’s criteria, consent and other requirements are satisfied.</w:t>
      </w:r>
    </w:p>
    <w:p>
      <w:pPr>
        <w:pStyle w:val="ListNumber"/>
      </w:pPr>
      <w:r>
        <w:rPr>
          <w:b/>
        </w:rPr>
        <w:t xml:space="preserve">Follow-up and ongoing care: </w:t>
      </w:r>
      <w:r>
        <w:t>Support scheduled and unscheduled encounters, home visits, admissions, disease-specific forms, shared forms, treatment and investigations.</w:t>
      </w:r>
    </w:p>
    <w:p>
      <w:pPr>
        <w:pStyle w:val="ListNumber"/>
      </w:pPr>
      <w:r>
        <w:rPr>
          <w:b/>
        </w:rPr>
        <w:t xml:space="preserve">Outcome and closure: </w:t>
      </w:r>
      <w:r>
        <w:t>Record outcomes for the relevant disease programme or study without automatically closing unrelated studies or routine clinical care.</w:t>
      </w:r>
    </w:p>
    <w:p>
      <w:r>
        <w:t>The system shall distinguish patient registration, pre-screening, disease screening, diagnosis, clinical programme enrollment, research-study enrollment, appointment, encounter and individual form submission. These shall be separate records linked to the same patient where appropriate.</w:t>
      </w:r>
    </w:p>
    <w:p>
      <w:pPr>
        <w:pStyle w:val="Heading2"/>
      </w:pPr>
      <w:r>
        <w:t>B. Configurable form builder</w:t>
      </w:r>
    </w:p>
    <w:p>
      <w:r>
        <w:t>The system shall provide an authorized Form Builder so permitted administrators and data managers can configure forms, sections, questions, answer options, validation rules, conditional visibility, disease applicability, workflow stage and location applicability without requiring a software code change for each new form.</w:t>
      </w:r>
    </w:p>
    <w:p>
      <w:pPr>
        <w:pStyle w:val="ListBullet"/>
      </w:pPr>
      <w:r>
        <w:t>Forms can be reused across multiple diseases and workflow stages where permitted.</w:t>
      </w:r>
    </w:p>
    <w:p>
      <w:pPr>
        <w:pStyle w:val="ListBullet"/>
      </w:pPr>
      <w:r>
        <w:t>A form may contain multiple sections; sections contain ordered questions and may be reused where appropriate.</w:t>
      </w:r>
    </w:p>
    <w:p>
      <w:pPr>
        <w:pStyle w:val="ListBullet"/>
      </w:pPr>
      <w:r>
        <w:t>Each form, section and question supports applicability rules: universal (all diseases), selected-disease (a configured subset), or single-disease.</w:t>
      </w:r>
    </w:p>
    <w:p>
      <w:pPr>
        <w:pStyle w:val="ListBullet"/>
      </w:pPr>
      <w:r>
        <w:t>Example: demographics, general pre-screening, vital signs and general clinical assessment can be shared by all diseases; cardiovascular risk factors can apply to diabetes and cardiac disease; diabetes assessment can be diabetes-only.</w:t>
      </w:r>
    </w:p>
    <w:p>
      <w:pPr>
        <w:pStyle w:val="ListBullet"/>
      </w:pPr>
      <w:r>
        <w:t>Support appropriate question types, including text, integer/decimal, date/time, single-select, multi-select, yes/no, approved calculated fields and structured investigation results where applicable.</w:t>
      </w:r>
    </w:p>
    <w:p>
      <w:pPr>
        <w:pStyle w:val="ListBullet"/>
      </w:pPr>
      <w:r>
        <w:t>Questions support required/optional status, ranges, formats, answer options, help text, units, conditional display and validation messages.</w:t>
      </w:r>
    </w:p>
    <w:p>
      <w:pPr>
        <w:pStyle w:val="ListBullet"/>
      </w:pPr>
      <w:r>
        <w:t>Forms can be assigned to workflow stages such as pre-screening, disease screening, clinical assessment, diagnosis, baseline, follow-up, admission, discharge and outcome.</w:t>
      </w:r>
    </w:p>
    <w:p>
      <w:pPr>
        <w:pStyle w:val="ListBullet"/>
      </w:pPr>
      <w:r>
        <w:t>Forms can be configured for facility, home or either location when relevant. Screening source (community/facility) remains distinct from actual encounter location.</w:t>
      </w:r>
    </w:p>
    <w:p>
      <w:pPr>
        <w:pStyle w:val="ListBullet"/>
      </w:pPr>
      <w:r>
        <w:t>Support disease-specific and research-study-specific forms in addition to shared clinical forms.</w:t>
      </w:r>
    </w:p>
    <w:p>
      <w:pPr>
        <w:pStyle w:val="ListBullet"/>
      </w:pPr>
      <w:r>
        <w:t>A patient screened for multiple diseases sees applicable shared forms and only relevant disease-specific forms, subject to permissions and workflow rules.</w:t>
      </w:r>
    </w:p>
    <w:p>
      <w:pPr>
        <w:pStyle w:val="ListBullet"/>
      </w:pPr>
      <w:r>
        <w:t>Form applicability must not depend only on diagnosis: screening forms may be needed before diagnosis, and eligibility or protocol rules may determine form availability.</w:t>
      </w:r>
    </w:p>
    <w:p>
      <w:pPr>
        <w:pStyle w:val="ListBullet"/>
      </w:pPr>
      <w:r>
        <w:t>Form definitions and questions are versioned. Historical submissions retain the version used at the time of data collection.</w:t>
      </w:r>
    </w:p>
    <w:p>
      <w:pPr>
        <w:pStyle w:val="ListBullet"/>
      </w:pPr>
      <w:r>
        <w:t>Form submission status is separate from appointment and encounter status; examples include not started, in progress, submitted, under review, verified, returned for correction and not applicable.</w:t>
      </w:r>
    </w:p>
    <w:p>
      <w:pPr>
        <w:pStyle w:val="ListBullet"/>
      </w:pPr>
      <w:r>
        <w:t>Record form-definition changes, submissions and reviews in the appropriate audit history.</w:t>
      </w:r>
    </w:p>
    <w:p>
      <w:pPr>
        <w:pStyle w:val="Heading2"/>
      </w:pPr>
      <w:r>
        <w:t>C. Example disease applicability matrix</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Form / section</w:t>
            </w:r>
          </w:p>
        </w:tc>
        <w:tc>
          <w:tcPr>
            <w:tcW w:type="dxa" w:w="2484"/>
          </w:tcPr>
          <w:p>
            <w:r>
              <w:t>All diseases</w:t>
            </w:r>
          </w:p>
        </w:tc>
        <w:tc>
          <w:tcPr>
            <w:tcW w:type="dxa" w:w="2484"/>
          </w:tcPr>
          <w:p>
            <w:r>
              <w:t>Diabetes + cardiac</w:t>
            </w:r>
          </w:p>
        </w:tc>
        <w:tc>
          <w:tcPr>
            <w:tcW w:type="dxa" w:w="2484"/>
          </w:tcPr>
          <w:p>
            <w:r>
              <w:t>One disease only</w:t>
            </w:r>
          </w:p>
        </w:tc>
      </w:tr>
      <w:tr>
        <w:tc>
          <w:tcPr>
            <w:tcW w:type="dxa" w:w="2484"/>
          </w:tcPr>
          <w:p>
            <w:r>
              <w:t>Patient demographics</w:t>
            </w:r>
          </w:p>
        </w:tc>
        <w:tc>
          <w:tcPr>
            <w:tcW w:type="dxa" w:w="2484"/>
          </w:tcPr>
          <w:p>
            <w:r>
              <w:t>Yes</w:t>
            </w:r>
          </w:p>
        </w:tc>
        <w:tc>
          <w:tcPr>
            <w:tcW w:type="dxa" w:w="2484"/>
          </w:tcPr>
          <w:p>
            <w:r>
              <w:t>—</w:t>
            </w:r>
          </w:p>
        </w:tc>
        <w:tc>
          <w:tcPr>
            <w:tcW w:type="dxa" w:w="2484"/>
          </w:tcPr>
          <w:p>
            <w:r>
              <w:t>—</w:t>
            </w:r>
          </w:p>
        </w:tc>
      </w:tr>
      <w:tr>
        <w:tc>
          <w:tcPr>
            <w:tcW w:type="dxa" w:w="2484"/>
          </w:tcPr>
          <w:p>
            <w:r>
              <w:t>General pre-screening</w:t>
            </w:r>
          </w:p>
        </w:tc>
        <w:tc>
          <w:tcPr>
            <w:tcW w:type="dxa" w:w="2484"/>
          </w:tcPr>
          <w:p>
            <w:r>
              <w:t>Yes</w:t>
            </w:r>
          </w:p>
        </w:tc>
        <w:tc>
          <w:tcPr>
            <w:tcW w:type="dxa" w:w="2484"/>
          </w:tcPr>
          <w:p>
            <w:r>
              <w:t>—</w:t>
            </w:r>
          </w:p>
        </w:tc>
        <w:tc>
          <w:tcPr>
            <w:tcW w:type="dxa" w:w="2484"/>
          </w:tcPr>
          <w:p>
            <w:r>
              <w:t>—</w:t>
            </w:r>
          </w:p>
        </w:tc>
      </w:tr>
      <w:tr>
        <w:tc>
          <w:tcPr>
            <w:tcW w:type="dxa" w:w="2484"/>
          </w:tcPr>
          <w:p>
            <w:r>
              <w:t>Vital signs</w:t>
            </w:r>
          </w:p>
        </w:tc>
        <w:tc>
          <w:tcPr>
            <w:tcW w:type="dxa" w:w="2484"/>
          </w:tcPr>
          <w:p>
            <w:r>
              <w:t>Yes</w:t>
            </w:r>
          </w:p>
        </w:tc>
        <w:tc>
          <w:tcPr>
            <w:tcW w:type="dxa" w:w="2484"/>
          </w:tcPr>
          <w:p>
            <w:r>
              <w:t>—</w:t>
            </w:r>
          </w:p>
        </w:tc>
        <w:tc>
          <w:tcPr>
            <w:tcW w:type="dxa" w:w="2484"/>
          </w:tcPr>
          <w:p>
            <w:r>
              <w:t>—</w:t>
            </w:r>
          </w:p>
        </w:tc>
      </w:tr>
      <w:tr>
        <w:tc>
          <w:tcPr>
            <w:tcW w:type="dxa" w:w="2484"/>
          </w:tcPr>
          <w:p>
            <w:r>
              <w:t>Cardiovascular risk factors</w:t>
            </w:r>
          </w:p>
        </w:tc>
        <w:tc>
          <w:tcPr>
            <w:tcW w:type="dxa" w:w="2484"/>
          </w:tcPr>
          <w:p>
            <w:r>
              <w:t>—</w:t>
            </w:r>
          </w:p>
        </w:tc>
        <w:tc>
          <w:tcPr>
            <w:tcW w:type="dxa" w:w="2484"/>
          </w:tcPr>
          <w:p>
            <w:r>
              <w:t>Yes</w:t>
            </w:r>
          </w:p>
        </w:tc>
        <w:tc>
          <w:tcPr>
            <w:tcW w:type="dxa" w:w="2484"/>
          </w:tcPr>
          <w:p>
            <w:r>
              <w:t>—</w:t>
            </w:r>
          </w:p>
        </w:tc>
      </w:tr>
      <w:tr>
        <w:tc>
          <w:tcPr>
            <w:tcW w:type="dxa" w:w="2484"/>
          </w:tcPr>
          <w:p>
            <w:r>
              <w:t>Diabetes screening/assessment</w:t>
            </w:r>
          </w:p>
        </w:tc>
        <w:tc>
          <w:tcPr>
            <w:tcW w:type="dxa" w:w="2484"/>
          </w:tcPr>
          <w:p>
            <w:r>
              <w:t>—</w:t>
            </w:r>
          </w:p>
        </w:tc>
        <w:tc>
          <w:tcPr>
            <w:tcW w:type="dxa" w:w="2484"/>
          </w:tcPr>
          <w:p>
            <w:r>
              <w:t>—</w:t>
            </w:r>
          </w:p>
        </w:tc>
        <w:tc>
          <w:tcPr>
            <w:tcW w:type="dxa" w:w="2484"/>
          </w:tcPr>
          <w:p>
            <w:r>
              <w:t>Diabetes</w:t>
            </w:r>
          </w:p>
        </w:tc>
      </w:tr>
      <w:tr>
        <w:tc>
          <w:tcPr>
            <w:tcW w:type="dxa" w:w="2484"/>
          </w:tcPr>
          <w:p>
            <w:r>
              <w:t>Cardiac assessment</w:t>
            </w:r>
          </w:p>
        </w:tc>
        <w:tc>
          <w:tcPr>
            <w:tcW w:type="dxa" w:w="2484"/>
          </w:tcPr>
          <w:p>
            <w:r>
              <w:t>—</w:t>
            </w:r>
          </w:p>
        </w:tc>
        <w:tc>
          <w:tcPr>
            <w:tcW w:type="dxa" w:w="2484"/>
          </w:tcPr>
          <w:p>
            <w:r>
              <w:t>—</w:t>
            </w:r>
          </w:p>
        </w:tc>
        <w:tc>
          <w:tcPr>
            <w:tcW w:type="dxa" w:w="2484"/>
          </w:tcPr>
          <w:p>
            <w:r>
              <w:t>Cardiac disease</w:t>
            </w:r>
          </w:p>
        </w:tc>
      </w:tr>
      <w:tr>
        <w:tc>
          <w:tcPr>
            <w:tcW w:type="dxa" w:w="2484"/>
          </w:tcPr>
          <w:p>
            <w:r>
              <w:t>Sickle cell screening/assessment</w:t>
            </w:r>
          </w:p>
        </w:tc>
        <w:tc>
          <w:tcPr>
            <w:tcW w:type="dxa" w:w="2484"/>
          </w:tcPr>
          <w:p>
            <w:r>
              <w:t>—</w:t>
            </w:r>
          </w:p>
        </w:tc>
        <w:tc>
          <w:tcPr>
            <w:tcW w:type="dxa" w:w="2484"/>
          </w:tcPr>
          <w:p>
            <w:r>
              <w:t>—</w:t>
            </w:r>
          </w:p>
        </w:tc>
        <w:tc>
          <w:tcPr>
            <w:tcW w:type="dxa" w:w="2484"/>
          </w:tcPr>
          <w:p>
            <w:r>
              <w:t>Sickle cell disease</w:t>
            </w:r>
          </w:p>
        </w:tc>
      </w:tr>
      <w:tr>
        <w:tc>
          <w:tcPr>
            <w:tcW w:type="dxa" w:w="2484"/>
          </w:tcPr>
          <w:p>
            <w:r>
              <w:t>Research consent/eligibility</w:t>
            </w:r>
          </w:p>
        </w:tc>
        <w:tc>
          <w:tcPr>
            <w:tcW w:type="dxa" w:w="2484"/>
          </w:tcPr>
          <w:p>
            <w:r>
              <w:t>Not automatically universal</w:t>
            </w:r>
          </w:p>
        </w:tc>
        <w:tc>
          <w:tcPr>
            <w:tcW w:type="dxa" w:w="2484"/>
          </w:tcPr>
          <w:p>
            <w:r>
              <w:t>—</w:t>
            </w:r>
          </w:p>
        </w:tc>
        <w:tc>
          <w:tcPr>
            <w:tcW w:type="dxa" w:w="2484"/>
          </w:tcPr>
          <w:p>
            <w:r>
              <w:t>Specific to the relevant study/protocol</w:t>
            </w:r>
          </w:p>
        </w:tc>
      </w:tr>
    </w:tbl>
    <w:p>
      <w:r>
        <w:t>This matrix is illustrative. Authorized users configure actual applicability rules; the system must not assume every form applies to every patient or every study.</w:t>
      </w:r>
    </w:p>
    <w:p>
      <w:pPr>
        <w:pStyle w:val="Heading2"/>
      </w:pPr>
      <w:r>
        <w:t>D. Acceptance criteria for this update</w:t>
      </w:r>
    </w:p>
    <w:p>
      <w:pPr>
        <w:pStyle w:val="ListBullet"/>
      </w:pPr>
      <w:r>
        <w:t>A patient can be pre-screened, screened for multiple diseases, investigated, diagnosed and enrolled in one or more eligible programmes/studies without creating duplicate patient identities.</w:t>
      </w:r>
    </w:p>
    <w:p>
      <w:pPr>
        <w:pStyle w:val="ListBullet"/>
      </w:pPr>
      <w:r>
        <w:t>Investigations can be ordered and results recorded before a diagnosis is finalized.</w:t>
      </w:r>
    </w:p>
    <w:p>
      <w:pPr>
        <w:pStyle w:val="ListBullet"/>
      </w:pPr>
      <w:r>
        <w:t>A shared form is available to all configured applicable diseases; a two-disease form and a single-disease form appear only in their configured contexts.</w:t>
      </w:r>
    </w:p>
    <w:p>
      <w:pPr>
        <w:pStyle w:val="ListBullet"/>
      </w:pPr>
      <w:r>
        <w:t>Authorized staff can configure form sections, questions, options, validation and disease applicability without a code change.</w:t>
      </w:r>
    </w:p>
    <w:p>
      <w:pPr>
        <w:pStyle w:val="ListBullet"/>
      </w:pPr>
      <w:r>
        <w:t>Changing a form definition does not silently rewrite previously submitted responses; historical responses retain their original form version.</w:t>
      </w:r>
    </w:p>
    <w:p>
      <w:pPr>
        <w:pStyle w:val="ListBullet"/>
      </w:pPr>
      <w:r>
        <w:t>Routine clinical care and unrelated programme/study enrollments remain active when another study is completed, withdrawn or closed.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stakeholder review • 12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NCD Clinical and Research Management System — SRS v1.0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