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NCD CLINICAL AND RESEARCH MANAGEMENT SYSTEM</w:t>
      </w:r>
    </w:p>
    <w:p>
      <w:pPr>
        <w:pStyle w:val="Title"/>
        <w:jc w:val="center"/>
      </w:pPr>
      <w:r>
        <w:t>Technical Architecture and Database Design</w:t>
      </w:r>
    </w:p>
    <w:p>
      <w:pPr>
        <w:jc w:val="center"/>
      </w:pPr>
      <w:r>
        <w:rPr>
          <w:i/>
        </w:rPr>
        <w:t>Django modular-monolith architecture, conceptual data model and implementation guidance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1.2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Consolidated working draft for review</w:t>
            </w:r>
          </w:p>
        </w:tc>
      </w:tr>
      <w:tr>
        <w:tc>
          <w:tcPr>
            <w:tcW w:type="dxa" w:w="4968"/>
          </w:tcPr>
          <w:p>
            <w:r>
              <w:t>Host institution</w:t>
            </w:r>
          </w:p>
        </w:tc>
        <w:tc>
          <w:tcPr>
            <w:tcW w:type="dxa" w:w="4968"/>
          </w:tcPr>
          <w:p>
            <w:r>
              <w:t>National Institute for Medical Research (NIMR), Tanzania</w:t>
            </w:r>
          </w:p>
        </w:tc>
      </w:tr>
      <w:tr>
        <w:tc>
          <w:tcPr>
            <w:tcW w:type="dxa" w:w="4968"/>
          </w:tcPr>
          <w:p>
            <w:r>
              <w:t>Initial disease areas</w:t>
            </w:r>
          </w:p>
        </w:tc>
        <w:tc>
          <w:tcPr>
            <w:tcW w:type="dxa" w:w="4968"/>
          </w:tcPr>
          <w:p>
            <w:r>
              <w:t>Diabetes; cardiac diseases; sickle cell disease (SCD)</w:t>
            </w:r>
          </w:p>
        </w:tc>
      </w:tr>
    </w:tbl>
    <w:p>
      <w:r>
        <w:br w:type="page"/>
      </w:r>
    </w:p>
    <w:p>
      <w:pPr>
        <w:pStyle w:val="Heading1"/>
      </w:pPr>
      <w:r>
        <w:t>1. Purpose and design boundary</w:t>
      </w:r>
    </w:p>
    <w:p>
      <w:r>
        <w:t>This document translates the SRS and workflow into a technical baseline. It is a conceptual design; field-level schema, API contracts and deployment settings must be finalized with NIMR technical, clinical, research and privacy governance.</w:t>
      </w:r>
    </w:p>
    <w:p>
      <w:pPr>
        <w:pStyle w:val="Heading1"/>
      </w:pPr>
      <w:r>
        <w:t>2. Recommended architecture</w:t>
      </w:r>
    </w:p>
    <w:p>
      <w:pPr>
        <w:pStyle w:val="ListBullet"/>
      </w:pPr>
      <w:r>
        <w:t>Use a Django modular monolith with clear app boundaries and service-layer business logic.</w:t>
      </w:r>
    </w:p>
    <w:p>
      <w:pPr>
        <w:pStyle w:val="ListBullet"/>
      </w:pPr>
      <w:r>
        <w:t>Use PostgreSQL as the primary relational database with foreign keys, constraints, transactions and appropriate indexes.</w:t>
      </w:r>
    </w:p>
    <w:p>
      <w:pPr>
        <w:pStyle w:val="ListBullet"/>
      </w:pPr>
      <w:r>
        <w:t>Use Django REST Framework if web/mobile clients or external integrations require APIs; enforce permissions server-side.</w:t>
      </w:r>
    </w:p>
    <w:p>
      <w:pPr>
        <w:pStyle w:val="ListBullet"/>
      </w:pPr>
      <w:r>
        <w:t>Use Celery and a suitable broker for scheduled reminders, background exports and long-running jobs where required.</w:t>
      </w:r>
    </w:p>
    <w:p>
      <w:pPr>
        <w:pStyle w:val="ListBullet"/>
      </w:pPr>
      <w:r>
        <w:t>Store uploaded documents/reports in protected file/object storage with access control, retention and backup.</w:t>
      </w:r>
    </w:p>
    <w:p>
      <w:pPr>
        <w:pStyle w:val="ListBullet"/>
      </w:pPr>
      <w:r>
        <w:t>Separate development, testing/staging and production; keep secrets out of source code and use environment-based settings.</w:t>
      </w:r>
    </w:p>
    <w:p>
      <w:pPr>
        <w:pStyle w:val="ListBullet"/>
      </w:pPr>
      <w:r>
        <w:t>Do not start with microservices. Extract services only when scale, ownership or integration requirements justify the operational cost.</w:t>
      </w:r>
    </w:p>
    <w:p>
      <w:pPr>
        <w:pStyle w:val="Heading1"/>
      </w:pPr>
      <w:r>
        <w:t>3. Suggested Django app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Django app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accounts</w:t>
            </w:r>
          </w:p>
        </w:tc>
        <w:tc>
          <w:tcPr>
            <w:tcW w:type="dxa" w:w="4968"/>
          </w:tcPr>
          <w:p>
            <w:r>
              <w:t>Custom user model, authentication, staff profile, password reset and account lifecycle.</w:t>
            </w:r>
          </w:p>
        </w:tc>
      </w:tr>
      <w:tr>
        <w:tc>
          <w:tcPr>
            <w:tcW w:type="dxa" w:w="4968"/>
          </w:tcPr>
          <w:p>
            <w:r>
              <w:t>access_control</w:t>
            </w:r>
          </w:p>
        </w:tc>
        <w:tc>
          <w:tcPr>
            <w:tcW w:type="dxa" w:w="4968"/>
          </w:tcPr>
          <w:p>
            <w:r>
              <w:t>Roles, permissions, geographic hierarchy, assigned scope and authorization policies.</w:t>
            </w:r>
          </w:p>
        </w:tc>
      </w:tr>
      <w:tr>
        <w:tc>
          <w:tcPr>
            <w:tcW w:type="dxa" w:w="4968"/>
          </w:tcPr>
          <w:p>
            <w:r>
              <w:t>patients</w:t>
            </w:r>
          </w:p>
        </w:tc>
        <w:tc>
          <w:tcPr>
            <w:tcW w:type="dxa" w:w="4968"/>
          </w:tcPr>
          <w:p>
            <w:r>
              <w:t>Master patient, identifiers, demographics, contact details, duplicate detection and controlled merge review.</w:t>
            </w:r>
          </w:p>
        </w:tc>
      </w:tr>
      <w:tr>
        <w:tc>
          <w:tcPr>
            <w:tcW w:type="dxa" w:w="4968"/>
          </w:tcPr>
          <w:p>
            <w:r>
              <w:t>screening</w:t>
            </w:r>
          </w:p>
        </w:tc>
        <w:tc>
          <w:tcPr>
            <w:tcW w:type="dxa" w:w="4968"/>
          </w:tcPr>
          <w:p>
            <w:r>
              <w:t>Initial pre-screening and disease-specific screening records.</w:t>
            </w:r>
          </w:p>
        </w:tc>
      </w:tr>
      <w:tr>
        <w:tc>
          <w:tcPr>
            <w:tcW w:type="dxa" w:w="4968"/>
          </w:tcPr>
          <w:p>
            <w:r>
              <w:t>clinical</w:t>
            </w:r>
          </w:p>
        </w:tc>
        <w:tc>
          <w:tcPr>
            <w:tcW w:type="dxa" w:w="4968"/>
          </w:tcPr>
          <w:p>
            <w:r>
              <w:t>Assessments, diagnoses, comorbidities, complications, care plans and clinical programme enrollment.</w:t>
            </w:r>
          </w:p>
        </w:tc>
      </w:tr>
      <w:tr>
        <w:tc>
          <w:tcPr>
            <w:tcW w:type="dxa" w:w="4968"/>
          </w:tcPr>
          <w:p>
            <w:r>
              <w:t>research</w:t>
            </w:r>
          </w:p>
        </w:tc>
        <w:tc>
          <w:tcPr>
            <w:tcW w:type="dxa" w:w="4968"/>
          </w:tcPr>
          <w:p>
            <w:r>
              <w:t>Studies, protocols, eligibility assessments, consent records and study enrollment.</w:t>
            </w:r>
          </w:p>
        </w:tc>
      </w:tr>
      <w:tr>
        <w:tc>
          <w:tcPr>
            <w:tcW w:type="dxa" w:w="4968"/>
          </w:tcPr>
          <w:p>
            <w:r>
              <w:t>encounters</w:t>
            </w:r>
          </w:p>
        </w:tc>
        <w:tc>
          <w:tcPr>
            <w:tcW w:type="dxa" w:w="4968"/>
          </w:tcPr>
          <w:p>
            <w:r>
              <w:t>Appointments, actual encounters, settings, visit types and attendance.</w:t>
            </w:r>
          </w:p>
        </w:tc>
      </w:tr>
      <w:tr>
        <w:tc>
          <w:tcPr>
            <w:tcW w:type="dxa" w:w="4968"/>
          </w:tcPr>
          <w:p>
            <w:r>
              <w:t>scheduling</w:t>
            </w:r>
          </w:p>
        </w:tc>
        <w:tc>
          <w:tcPr>
            <w:tcW w:type="dxa" w:w="4968"/>
          </w:tcPr>
          <w:p>
            <w:r>
              <w:t>Follow-up plans, generated visits, interval changes and schedule history.</w:t>
            </w:r>
          </w:p>
        </w:tc>
      </w:tr>
      <w:tr>
        <w:tc>
          <w:tcPr>
            <w:tcW w:type="dxa" w:w="4968"/>
          </w:tcPr>
          <w:p>
            <w:r>
              <w:t>forms</w:t>
            </w:r>
          </w:p>
        </w:tc>
        <w:tc>
          <w:tcPr>
            <w:tcW w:type="dxa" w:w="4968"/>
          </w:tcPr>
          <w:p>
            <w:r>
              <w:t>Dynamic form definitions, sections, fields, rules, publication and versioning.</w:t>
            </w:r>
          </w:p>
        </w:tc>
      </w:tr>
      <w:tr>
        <w:tc>
          <w:tcPr>
            <w:tcW w:type="dxa" w:w="4968"/>
          </w:tcPr>
          <w:p>
            <w:r>
              <w:t>crfs</w:t>
            </w:r>
          </w:p>
        </w:tc>
        <w:tc>
          <w:tcPr>
            <w:tcW w:type="dxa" w:w="4968"/>
          </w:tcPr>
          <w:p>
            <w:r>
              <w:t>Form submissions, responses, completeness, review and locking.</w:t>
            </w:r>
          </w:p>
        </w:tc>
      </w:tr>
      <w:tr>
        <w:tc>
          <w:tcPr>
            <w:tcW w:type="dxa" w:w="4968"/>
          </w:tcPr>
          <w:p>
            <w:r>
              <w:t>laboratory</w:t>
            </w:r>
          </w:p>
        </w:tc>
        <w:tc>
          <w:tcPr>
            <w:tcW w:type="dxa" w:w="4968"/>
          </w:tcPr>
          <w:p>
            <w:r>
              <w:t>Test catalog, orders, specimens, results and result review.</w:t>
            </w:r>
          </w:p>
        </w:tc>
      </w:tr>
      <w:tr>
        <w:tc>
          <w:tcPr>
            <w:tcW w:type="dxa" w:w="4968"/>
          </w:tcPr>
          <w:p>
            <w:r>
              <w:t>diagnostics</w:t>
            </w:r>
          </w:p>
        </w:tc>
        <w:tc>
          <w:tcPr>
            <w:tcW w:type="dxa" w:w="4968"/>
          </w:tcPr>
          <w:p>
            <w:r>
              <w:t>ECG, echocardiography, imaging and other investigation requests/results.</w:t>
            </w:r>
          </w:p>
        </w:tc>
      </w:tr>
      <w:tr>
        <w:tc>
          <w:tcPr>
            <w:tcW w:type="dxa" w:w="4968"/>
          </w:tcPr>
          <w:p>
            <w:r>
              <w:t>pharmacy</w:t>
            </w:r>
          </w:p>
        </w:tc>
        <w:tc>
          <w:tcPr>
            <w:tcW w:type="dxa" w:w="4968"/>
          </w:tcPr>
          <w:p>
            <w:r>
              <w:t>Medication, prescriptions, dispensing and inventory transactions, if in scope.</w:t>
            </w:r>
          </w:p>
        </w:tc>
      </w:tr>
      <w:tr>
        <w:tc>
          <w:tcPr>
            <w:tcW w:type="dxa" w:w="4968"/>
          </w:tcPr>
          <w:p>
            <w:r>
              <w:t>inpatient</w:t>
            </w:r>
          </w:p>
        </w:tc>
        <w:tc>
          <w:tcPr>
            <w:tcW w:type="dxa" w:w="4968"/>
          </w:tcPr>
          <w:p>
            <w:r>
              <w:t>Admissions, ward movements, discharge and readmission.</w:t>
            </w:r>
          </w:p>
        </w:tc>
      </w:tr>
      <w:tr>
        <w:tc>
          <w:tcPr>
            <w:tcW w:type="dxa" w:w="4968"/>
          </w:tcPr>
          <w:p>
            <w:r>
              <w:t>transfers</w:t>
            </w:r>
          </w:p>
        </w:tc>
        <w:tc>
          <w:tcPr>
            <w:tcW w:type="dxa" w:w="4968"/>
          </w:tcPr>
          <w:p>
            <w:r>
              <w:t>Transfer events, handover and location history.</w:t>
            </w:r>
          </w:p>
        </w:tc>
      </w:tr>
      <w:tr>
        <w:tc>
          <w:tcPr>
            <w:tcW w:type="dxa" w:w="4968"/>
          </w:tcPr>
          <w:p>
            <w:r>
              <w:t>outcomes</w:t>
            </w:r>
          </w:p>
        </w:tc>
        <w:tc>
          <w:tcPr>
            <w:tcW w:type="dxa" w:w="4968"/>
          </w:tcPr>
          <w:p>
            <w:r>
              <w:t>Pathway-specific outcomes and reasons.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SMS/email templates, queues, delivery attempts and logs.</w:t>
            </w:r>
          </w:p>
        </w:tc>
      </w:tr>
      <w:tr>
        <w:tc>
          <w:tcPr>
            <w:tcW w:type="dxa" w:w="4968"/>
          </w:tcPr>
          <w:p>
            <w:r>
              <w:t>reporting</w:t>
            </w:r>
          </w:p>
        </w:tc>
        <w:tc>
          <w:tcPr>
            <w:tcW w:type="dxa" w:w="4968"/>
          </w:tcPr>
          <w:p>
            <w:r>
              <w:t>Dashboards, scheduled reports, exports and data-quality checks.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Audit events, soft-delete metadata and sensitive-action history.</w:t>
            </w:r>
          </w:p>
        </w:tc>
      </w:tr>
      <w:tr>
        <w:tc>
          <w:tcPr>
            <w:tcW w:type="dxa" w:w="4968"/>
          </w:tcPr>
          <w:p>
            <w:r>
              <w:t>integrations</w:t>
            </w:r>
          </w:p>
        </w:tc>
        <w:tc>
          <w:tcPr>
            <w:tcW w:type="dxa" w:w="4968"/>
          </w:tcPr>
          <w:p>
            <w:r>
              <w:t>External-system adapters, mappings, imports/exports and reconciliation logs.</w:t>
            </w:r>
          </w:p>
        </w:tc>
      </w:tr>
    </w:tbl>
    <w:p>
      <w:pPr>
        <w:pStyle w:val="Heading1"/>
      </w:pPr>
      <w:r>
        <w:t>4. Conceptual database entities</w:t>
      </w:r>
    </w:p>
    <w:p>
      <w:r>
        <w:rPr>
          <w:b/>
        </w:rPr>
        <w:t xml:space="preserve">Patient — </w:t>
      </w:r>
      <w:r>
        <w:t>Master person record and stable system identifier.</w:t>
      </w:r>
    </w:p>
    <w:p>
      <w:r>
        <w:rPr>
          <w:b/>
        </w:rPr>
        <w:t xml:space="preserve">PatientIdentifier — </w:t>
      </w:r>
      <w:r>
        <w:t>Multiple identifiers, type, value, issuer, validity and verification status.</w:t>
      </w:r>
    </w:p>
    <w:p>
      <w:r>
        <w:rPr>
          <w:b/>
        </w:rPr>
        <w:t xml:space="preserve">PatientContact / PatientAddress — </w:t>
      </w:r>
      <w:r>
        <w:t>Contact methods and location/address history where needed.</w:t>
      </w:r>
    </w:p>
    <w:p>
      <w:r>
        <w:rPr>
          <w:b/>
        </w:rPr>
        <w:t xml:space="preserve">ScreeningRecord — </w:t>
      </w:r>
      <w:r>
        <w:t>Screening type, disease area, date, source, result and disposition.</w:t>
      </w:r>
    </w:p>
    <w:p>
      <w:r>
        <w:rPr>
          <w:b/>
        </w:rPr>
        <w:t xml:space="preserve">Diagnosis — </w:t>
      </w:r>
      <w:r>
        <w:t>Condition, status, onset/confirmation dates and responsible clinician.</w:t>
      </w:r>
    </w:p>
    <w:p>
      <w:r>
        <w:rPr>
          <w:b/>
        </w:rPr>
        <w:t xml:space="preserve">ClinicalProgramEnrollment — </w:t>
      </w:r>
      <w:r>
        <w:t>Patient's clinical programme, independent status, dates and care plan.</w:t>
      </w:r>
    </w:p>
    <w:p>
      <w:r>
        <w:rPr>
          <w:b/>
        </w:rPr>
        <w:t xml:space="preserve">Study — </w:t>
      </w:r>
      <w:r>
        <w:t>Research project/study and protocol metadata.</w:t>
      </w:r>
    </w:p>
    <w:p>
      <w:r>
        <w:rPr>
          <w:b/>
        </w:rPr>
        <w:t xml:space="preserve">StudyEligibilityAssessment — </w:t>
      </w:r>
      <w:r>
        <w:t>Study-specific criteria, result, reason and assessment date.</w:t>
      </w:r>
    </w:p>
    <w:p>
      <w:r>
        <w:rPr>
          <w:b/>
        </w:rPr>
        <w:t xml:space="preserve">ConsentRecord — </w:t>
      </w:r>
      <w:r>
        <w:t>Consent type/version, decision, date/time, staff and withdrawal details.</w:t>
      </w:r>
    </w:p>
    <w:p>
      <w:r>
        <w:rPr>
          <w:b/>
        </w:rPr>
        <w:t xml:space="preserve">StudyEnrollment — </w:t>
      </w:r>
      <w:r>
        <w:t>Patient-study relationship, study identifier, status, dates and outcome.</w:t>
      </w:r>
    </w:p>
    <w:p>
      <w:r>
        <w:rPr>
          <w:b/>
        </w:rPr>
        <w:t xml:space="preserve">Appointment — </w:t>
      </w:r>
      <w:r>
        <w:t>Planned contact, date/time, type, status and reminders.</w:t>
      </w:r>
    </w:p>
    <w:p>
      <w:r>
        <w:rPr>
          <w:b/>
        </w:rPr>
        <w:t xml:space="preserve">Encounter — </w:t>
      </w:r>
      <w:r>
        <w:t>Actual contact, date/time, setting, location, type and staff.</w:t>
      </w:r>
    </w:p>
    <w:p>
      <w:r>
        <w:rPr>
          <w:b/>
        </w:rPr>
        <w:t xml:space="preserve">FollowUpPlan / ScheduledVisit — </w:t>
      </w:r>
      <w:r>
        <w:t>Schedule parameters and generated visits with history.</w:t>
      </w:r>
    </w:p>
    <w:p>
      <w:r>
        <w:rPr>
          <w:b/>
        </w:rPr>
        <w:t xml:space="preserve">FormDefinition / FormVersion / FormField — </w:t>
      </w:r>
      <w:r>
        <w:t>Form metadata, immutable versions, sections, fields, options and rules.</w:t>
      </w:r>
    </w:p>
    <w:p>
      <w:r>
        <w:rPr>
          <w:b/>
        </w:rPr>
        <w:t xml:space="preserve">FormSubmission / FormResponse — </w:t>
      </w:r>
      <w:r>
        <w:t>Answers linked to a form version, patient and relevant encounter/enrollment.</w:t>
      </w:r>
    </w:p>
    <w:p>
      <w:r>
        <w:rPr>
          <w:b/>
        </w:rPr>
        <w:t xml:space="preserve">InvestigationOrder / Specimen / InvestigationResult — </w:t>
      </w:r>
      <w:r>
        <w:t>Orders, collection, results, units, files, status and review.</w:t>
      </w:r>
    </w:p>
    <w:p>
      <w:r>
        <w:rPr>
          <w:b/>
        </w:rPr>
        <w:t xml:space="preserve">DiagnosticRequest / DiagnosticResult — </w:t>
      </w:r>
      <w:r>
        <w:t>ECG, echo, imaging and other procedure request/result.</w:t>
      </w:r>
    </w:p>
    <w:p>
      <w:r>
        <w:rPr>
          <w:b/>
        </w:rPr>
        <w:t xml:space="preserve">Medication / Prescription / Dispense / StockTransaction — </w:t>
      </w:r>
      <w:r>
        <w:t>Medication orders, dispensing and inventory, subject to scope.</w:t>
      </w:r>
    </w:p>
    <w:p>
      <w:r>
        <w:rPr>
          <w:b/>
        </w:rPr>
        <w:t xml:space="preserve">Admission / WardMovement / Discharge — </w:t>
      </w:r>
      <w:r>
        <w:t>Inpatient episode and location history.</w:t>
      </w:r>
    </w:p>
    <w:p>
      <w:r>
        <w:rPr>
          <w:b/>
        </w:rPr>
        <w:t xml:space="preserve">TransferEvent / LocationHistory — </w:t>
      </w:r>
      <w:r>
        <w:t>Transfer, source/destination and historical locations.</w:t>
      </w:r>
    </w:p>
    <w:p>
      <w:r>
        <w:rPr>
          <w:b/>
        </w:rPr>
        <w:t xml:space="preserve">OutcomeRecord — </w:t>
      </w:r>
      <w:r>
        <w:t>Outcome for the relevant programme, study enrollment or episode.</w:t>
      </w:r>
    </w:p>
    <w:p>
      <w:r>
        <w:rPr>
          <w:b/>
        </w:rPr>
        <w:t xml:space="preserve">Notification / DeliveryAttempt — </w:t>
      </w:r>
      <w:r>
        <w:t>Message purpose, recipient, provider response and retry state.</w:t>
      </w:r>
    </w:p>
    <w:p>
      <w:r>
        <w:rPr>
          <w:b/>
        </w:rPr>
        <w:t xml:space="preserve">AuditEvent — </w:t>
      </w:r>
      <w:r>
        <w:t>Actor, action, entity, timestamp and contextual/before-after metadata as permitted.</w:t>
      </w:r>
    </w:p>
    <w:p>
      <w:r>
        <w:rPr>
          <w:b/>
        </w:rPr>
        <w:t xml:space="preserve">StaffProfile / RoleAssignment / GeographicScope — </w:t>
      </w:r>
      <w:r>
        <w:t>Staff roles and geographic/module authorization scope.</w:t>
      </w:r>
    </w:p>
    <w:p>
      <w:pPr>
        <w:pStyle w:val="Heading1"/>
      </w:pPr>
      <w:r>
        <w:t>5. Critical relationships and integrity rules</w:t>
      </w:r>
    </w:p>
    <w:p>
      <w:pPr>
        <w:pStyle w:val="ListBullet"/>
      </w:pPr>
      <w:r>
        <w:t>Patient is the master identity; screening, diagnoses, clinical programme enrollment and study enrollment are separate records.</w:t>
      </w:r>
    </w:p>
    <w:p>
      <w:pPr>
        <w:pStyle w:val="ListBullet"/>
      </w:pPr>
      <w:r>
        <w:t>A patient may have many screening records, diagnoses, clinical programme enrollments and study enrollments.</w:t>
      </w:r>
    </w:p>
    <w:p>
      <w:pPr>
        <w:pStyle w:val="ListBullet"/>
      </w:pPr>
      <w:r>
        <w:t>Study enrollment references both Patient and Study; it must not overwrite clinical programme status.</w:t>
      </w:r>
    </w:p>
    <w:p>
      <w:pPr>
        <w:pStyle w:val="ListBullet"/>
      </w:pPr>
      <w:r>
        <w:t>An Encounter may reference an Appointment but must support an unscheduled encounter.</w:t>
      </w:r>
    </w:p>
    <w:p>
      <w:pPr>
        <w:pStyle w:val="ListBullet"/>
      </w:pPr>
      <w:r>
        <w:t>Every FormSubmission references the exact immutable FormVersion used at capture time.</w:t>
      </w:r>
    </w:p>
    <w:p>
      <w:pPr>
        <w:pStyle w:val="ListBullet"/>
      </w:pPr>
      <w:r>
        <w:t>Outcome belongs to the relevant pathway/enrollment/episode, not one global outcome field on Patient.</w:t>
      </w:r>
    </w:p>
    <w:p>
      <w:pPr>
        <w:pStyle w:val="ListBullet"/>
      </w:pPr>
      <w:r>
        <w:t>Transfers and location changes retain historical events; current location changes only through authorized processes.</w:t>
      </w:r>
    </w:p>
    <w:p>
      <w:pPr>
        <w:pStyle w:val="ListBullet"/>
      </w:pPr>
      <w:r>
        <w:t>Use uniqueness constraints where valid, but provide controlled duplicate review for conflicting or unverified identifiers.</w:t>
      </w:r>
    </w:p>
    <w:p>
      <w:pPr>
        <w:pStyle w:val="ListBullet"/>
      </w:pPr>
      <w:r>
        <w:t>Soft deletion and corrections must be permission-controlled and audited; clinical/research history must not be silently erased.</w:t>
      </w:r>
    </w:p>
    <w:p>
      <w:pPr>
        <w:pStyle w:val="Heading1"/>
      </w:pPr>
      <w:r>
        <w:t>6. Dynamic Form Builder technical rules</w:t>
      </w:r>
    </w:p>
    <w:p>
      <w:pPr>
        <w:pStyle w:val="ListBullet"/>
      </w:pPr>
      <w:r>
        <w:t>Separate FormDefinition from immutable published FormVersion records.</w:t>
      </w:r>
    </w:p>
    <w:p>
      <w:pPr>
        <w:pStyle w:val="ListBullet"/>
      </w:pPr>
      <w:r>
        <w:t>Store ordered sections and fields with stable keys, data types, options, requiredness, help text and validation rules.</w:t>
      </w:r>
    </w:p>
    <w:p>
      <w:pPr>
        <w:pStyle w:val="ListBullet"/>
      </w:pPr>
      <w:r>
        <w:t>Support conditional visibility and requiredness using a validated expression format; never execute arbitrary user-supplied Python.</w:t>
      </w:r>
    </w:p>
    <w:p>
      <w:pPr>
        <w:pStyle w:val="ListBullet"/>
      </w:pPr>
      <w:r>
        <w:t>Support universal, selected-disease, single-disease and study-specific applicability, plus stage/setting rules.</w:t>
      </w:r>
    </w:p>
    <w:p>
      <w:pPr>
        <w:pStyle w:val="ListBullet"/>
      </w:pPr>
      <w:r>
        <w:t>Choose structured relational responses or validated JSON deliberately based on reporting and query requirements.</w:t>
      </w:r>
    </w:p>
    <w:p>
      <w:pPr>
        <w:pStyle w:val="ListBullet"/>
      </w:pPr>
      <w:r>
        <w:t>Validate server-side against the published form version and the user's permissions.</w:t>
      </w:r>
    </w:p>
    <w:p>
      <w:pPr>
        <w:pStyle w:val="ListBullet"/>
      </w:pPr>
      <w:r>
        <w:t>Use draft, published and retired states; publication creates a new version without rewriting old submissions.</w:t>
      </w:r>
    </w:p>
    <w:p>
      <w:pPr>
        <w:pStyle w:val="Heading1"/>
      </w:pPr>
      <w:r>
        <w:t>7. Access control, security and audit</w:t>
      </w:r>
    </w:p>
    <w:p>
      <w:pPr>
        <w:pStyle w:val="ListBullet"/>
      </w:pPr>
      <w:r>
        <w:t>Combine role-based permissions with geographic scope and, where necessary, disease/study/module scope.</w:t>
      </w:r>
    </w:p>
    <w:p>
      <w:pPr>
        <w:pStyle w:val="ListBullet"/>
      </w:pPr>
      <w:r>
        <w:t>Apply object-level authorization; a role alone must not expose all patient or research records.</w:t>
      </w:r>
    </w:p>
    <w:p>
      <w:pPr>
        <w:pStyle w:val="ListBullet"/>
      </w:pPr>
      <w:r>
        <w:t>Use distinct permissions for consent, enrollment, exports, form publishing, duplicate resolution, transfer, status changes and record locking.</w:t>
      </w:r>
    </w:p>
    <w:p>
      <w:pPr>
        <w:pStyle w:val="ListBullet"/>
      </w:pPr>
      <w:r>
        <w:t>Use HTTPS, protected file storage, secure backups, secret management and tested recovery procedures.</w:t>
      </w:r>
    </w:p>
    <w:p>
      <w:pPr>
        <w:pStyle w:val="ListBullet"/>
      </w:pPr>
      <w:r>
        <w:t>Define retention, data sharing, consent, breach response and access review with NIMR governance before production.</w:t>
      </w:r>
    </w:p>
    <w:p>
      <w:pPr>
        <w:pStyle w:val="Heading1"/>
      </w:pPr>
      <w:r>
        <w:t>8. Background jobs, reporting and integration</w:t>
      </w:r>
    </w:p>
    <w:p>
      <w:pPr>
        <w:pStyle w:val="ListBullet"/>
      </w:pPr>
      <w:r>
        <w:t>Queue reminders, scheduled reports, exports and large import jobs; record job state and delivery attempts.</w:t>
      </w:r>
    </w:p>
    <w:p>
      <w:pPr>
        <w:pStyle w:val="ListBullet"/>
      </w:pPr>
      <w:r>
        <w:t>Design retryable jobs to be idempotent where possible.</w:t>
      </w:r>
    </w:p>
    <w:p>
      <w:pPr>
        <w:pStyle w:val="ListBullet"/>
      </w:pPr>
      <w:r>
        <w:t>Enforce geographic and role scope in reports and exports, not only in the user interface.</w:t>
      </w:r>
    </w:p>
    <w:p>
      <w:pPr>
        <w:pStyle w:val="ListBullet"/>
      </w:pPr>
      <w:r>
        <w:t>Use explicit integration mappings, validation, retries and reconciliation logs.</w:t>
      </w:r>
    </w:p>
    <w:p>
      <w:pPr>
        <w:pStyle w:val="ListBullet"/>
      </w:pPr>
      <w:r>
        <w:t>Plan for future institutional/national interoperability, including GoTHOMIS if approved and technically supported.</w:t>
      </w:r>
    </w:p>
    <w:p>
      <w:pPr>
        <w:pStyle w:val="Heading1"/>
      </w:pPr>
      <w:r>
        <w:t>9. Testing strategy</w:t>
      </w:r>
    </w:p>
    <w:p>
      <w:pPr>
        <w:pStyle w:val="ListBullet"/>
      </w:pPr>
      <w:r>
        <w:t>Unit tests for eligibility, status transitions, dynamic form validation and schedule generation.</w:t>
      </w:r>
    </w:p>
    <w:p>
      <w:pPr>
        <w:pStyle w:val="ListBullet"/>
      </w:pPr>
      <w:r>
        <w:t>Integration tests for patient-study links, encounter/CRF linkage, transfers, notifications and imports/exports.</w:t>
      </w:r>
    </w:p>
    <w:p>
      <w:pPr>
        <w:pStyle w:val="ListBullet"/>
      </w:pPr>
      <w:r>
        <w:t>Authorization tests for roles, geographic boundaries, study scope and sensitive actions.</w:t>
      </w:r>
    </w:p>
    <w:p>
      <w:pPr>
        <w:pStyle w:val="ListBullet"/>
      </w:pPr>
      <w:r>
        <w:t>Regression tests for form version history and schedule changes.</w:t>
      </w:r>
    </w:p>
    <w:p>
      <w:pPr>
        <w:pStyle w:val="ListBullet"/>
      </w:pPr>
      <w:r>
        <w:t>Data-quality tests for duplicates, missing required fields, inconsistent dates and invalid status combinations.</w:t>
      </w:r>
    </w:p>
    <w:p>
      <w:pPr>
        <w:pStyle w:val="ListBullet"/>
      </w:pPr>
      <w:r>
        <w:t>End-to-end tests from registration through screening, diagnosis, care, research enrollment, follow-up and outcome.</w:t>
      </w:r>
    </w:p>
    <w:p>
      <w:pPr>
        <w:pStyle w:val="Heading1"/>
      </w:pPr>
      <w:r>
        <w:t>10. Recommended implementation sequence</w:t>
      </w:r>
    </w:p>
    <w:p>
      <w:pPr>
        <w:pStyle w:val="ListNumber"/>
      </w:pPr>
      <w:r>
        <w:t>Approve SRS, workflow, terminology, role matrix, governance and unresolved decisions.</w:t>
      </w:r>
    </w:p>
    <w:p>
      <w:pPr>
        <w:pStyle w:val="ListNumber"/>
      </w:pPr>
      <w:r>
        <w:t>Set up Django foundations, environments, PostgreSQL, custom user model, CI checks and audit conventions.</w:t>
      </w:r>
    </w:p>
    <w:p>
      <w:pPr>
        <w:pStyle w:val="ListNumber"/>
      </w:pPr>
      <w:r>
        <w:t>Implement access control, patient master record, identifiers and duplicate review.</w:t>
      </w:r>
    </w:p>
    <w:p>
      <w:pPr>
        <w:pStyle w:val="ListNumber"/>
      </w:pPr>
      <w:r>
        <w:t>Implement screening, diagnosis, clinical programme enrollment, study setup, consent and study enrollment.</w:t>
      </w:r>
    </w:p>
    <w:p>
      <w:pPr>
        <w:pStyle w:val="ListNumber"/>
      </w:pPr>
      <w:r>
        <w:t>Implement appointments, encounters, scheduling, transfers and outcomes.</w:t>
      </w:r>
    </w:p>
    <w:p>
      <w:pPr>
        <w:pStyle w:val="ListNumber"/>
      </w:pPr>
      <w:r>
        <w:t>Implement dynamic forms, versioning, CRF submissions, completeness and review.</w:t>
      </w:r>
    </w:p>
    <w:p>
      <w:pPr>
        <w:pStyle w:val="ListNumber"/>
      </w:pPr>
      <w:r>
        <w:t>Add laboratory and diagnostics, followed by pharmacy and inpatient features according to approved scope.</w:t>
      </w:r>
    </w:p>
    <w:p>
      <w:pPr>
        <w:pStyle w:val="ListNumber"/>
      </w:pPr>
      <w:r>
        <w:t>Add notifications, dashboards, scheduled reports, data-quality tools and exports.</w:t>
      </w:r>
    </w:p>
    <w:p>
      <w:pPr>
        <w:pStyle w:val="ListNumber"/>
      </w:pPr>
      <w:r>
        <w:t>Add approved integrations, security hardening, backup/restore tests, user acceptance testing and production deployment.</w:t>
      </w:r>
    </w:p>
    <w:p>
      <w:pPr>
        <w:pStyle w:val="Heading1"/>
      </w:pPr>
      <w:r>
        <w:t>11. Decisions to confirm before detailed coding</w:t>
      </w:r>
    </w:p>
    <w:p>
      <w:pPr>
        <w:pStyle w:val="ListBullet"/>
      </w:pPr>
      <w:r>
        <w:t>Exact geographic hierarchy and representation of clinical facilities versus research sites.</w:t>
      </w:r>
    </w:p>
    <w:p>
      <w:pPr>
        <w:pStyle w:val="ListBullet"/>
      </w:pPr>
      <w:r>
        <w:t>Approved identifiers and matching/duplicate/merge rules.</w:t>
      </w:r>
    </w:p>
    <w:p>
      <w:pPr>
        <w:pStyle w:val="ListBullet"/>
      </w:pPr>
      <w:r>
        <w:t>Final role-permission matrix, including clinical versus research data access.</w:t>
      </w:r>
    </w:p>
    <w:p>
      <w:pPr>
        <w:pStyle w:val="ListBullet"/>
      </w:pPr>
      <w:r>
        <w:t>Consent model, electronic consent needs and consent-version handling.</w:t>
      </w:r>
    </w:p>
    <w:p>
      <w:pPr>
        <w:pStyle w:val="ListBullet"/>
      </w:pPr>
      <w:r>
        <w:t>Clinical terminology, disease definitions and protocol-specific eligibility rules.</w:t>
      </w:r>
    </w:p>
    <w:p>
      <w:pPr>
        <w:pStyle w:val="ListBullet"/>
      </w:pPr>
      <w:r>
        <w:t>Dynamic-form response storage and reporting/performance expectations.</w:t>
      </w:r>
    </w:p>
    <w:p>
      <w:pPr>
        <w:pStyle w:val="ListBullet"/>
      </w:pPr>
      <w:r>
        <w:t>SMS/email provider, contact verification and message preferences.</w:t>
      </w:r>
    </w:p>
    <w:p>
      <w:pPr>
        <w:pStyle w:val="ListBullet"/>
      </w:pPr>
      <w:r>
        <w:t>Retention, backup, disaster recovery, hosting, monitoring and integration specifications.</w:t>
      </w:r>
    </w:p>
    <w:p>
      <w:pPr>
        <w:pStyle w:val="ListBullet"/>
      </w:pPr>
      <w:r>
        <w:t>Whether pharmacy and inpatient management are first-release modules or phased extensions.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