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NCD CLINICAL AND RESEARCH MANAGEMENT SYSTEM</w:t>
      </w:r>
    </w:p>
    <w:p>
      <w:pPr>
        <w:pStyle w:val="Title"/>
        <w:jc w:val="center"/>
      </w:pPr>
      <w:r>
        <w:t>System Workflow and Business Rules</w:t>
      </w:r>
    </w:p>
    <w:p>
      <w:pPr>
        <w:jc w:val="center"/>
      </w:pPr>
      <w:r>
        <w:rPr>
          <w:i/>
        </w:rPr>
        <w:t>Operational patient journey, clinical processes, research participation and outcomes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Version</w:t>
            </w:r>
          </w:p>
        </w:tc>
        <w:tc>
          <w:tcPr>
            <w:tcW w:type="dxa" w:w="4968"/>
          </w:tcPr>
          <w:p>
            <w:r>
              <w:t>1.2</w:t>
            </w:r>
          </w:p>
        </w:tc>
      </w:tr>
      <w:tr>
        <w:tc>
          <w:tcPr>
            <w:tcW w:type="dxa" w:w="4968"/>
          </w:tcPr>
          <w:p>
            <w:r>
              <w:t>Status</w:t>
            </w:r>
          </w:p>
        </w:tc>
        <w:tc>
          <w:tcPr>
            <w:tcW w:type="dxa" w:w="4968"/>
          </w:tcPr>
          <w:p>
            <w:r>
              <w:t>Consolidated working draft for review</w:t>
            </w:r>
          </w:p>
        </w:tc>
      </w:tr>
      <w:tr>
        <w:tc>
          <w:tcPr>
            <w:tcW w:type="dxa" w:w="4968"/>
          </w:tcPr>
          <w:p>
            <w:r>
              <w:t>Host institution</w:t>
            </w:r>
          </w:p>
        </w:tc>
        <w:tc>
          <w:tcPr>
            <w:tcW w:type="dxa" w:w="4968"/>
          </w:tcPr>
          <w:p>
            <w:r>
              <w:t>National Institute for Medical Research (NIMR), Tanzania</w:t>
            </w:r>
          </w:p>
        </w:tc>
      </w:tr>
      <w:tr>
        <w:tc>
          <w:tcPr>
            <w:tcW w:type="dxa" w:w="4968"/>
          </w:tcPr>
          <w:p>
            <w:r>
              <w:t>Initial disease areas</w:t>
            </w:r>
          </w:p>
        </w:tc>
        <w:tc>
          <w:tcPr>
            <w:tcW w:type="dxa" w:w="4968"/>
          </w:tcPr>
          <w:p>
            <w:r>
              <w:t>Diabetes; cardiac diseases; sickle cell disease (SCD)</w:t>
            </w:r>
          </w:p>
        </w:tc>
      </w:tr>
    </w:tbl>
    <w:p>
      <w:r>
        <w:br w:type="page"/>
      </w:r>
    </w:p>
    <w:p>
      <w:pPr>
        <w:pStyle w:val="Heading1"/>
      </w:pPr>
      <w:r>
        <w:t>1. Purpose and relationship to the SRS</w:t>
      </w:r>
    </w:p>
    <w:p>
      <w:r>
        <w:t>This document defines the operational flow and key business rules. The SRS remains the primary source for the complete system requirements. Clinical protocols and study-specific protocols take precedence for their approved clinical/research rules.</w:t>
      </w:r>
    </w:p>
    <w:p>
      <w:pPr>
        <w:pStyle w:val="Heading1"/>
      </w:pPr>
      <w:r>
        <w:t>2. Core workflow principles</w:t>
      </w:r>
    </w:p>
    <w:p>
      <w:pPr>
        <w:pStyle w:val="ListBullet"/>
      </w:pPr>
      <w:r>
        <w:t>Maintain one master patient identity across clinical care and research.</w:t>
      </w:r>
    </w:p>
    <w:p>
      <w:pPr>
        <w:pStyle w:val="ListBullet"/>
      </w:pPr>
      <w:r>
        <w:t>Clinical care and research participation are separate pathways. Routine clinical care does not require research enrollment.</w:t>
      </w:r>
    </w:p>
    <w:p>
      <w:pPr>
        <w:pStyle w:val="ListBullet"/>
      </w:pPr>
      <w:r>
        <w:t>A patient may be screened for multiple diseases and considered for other studies later, subject to eligibility, consent and protocol rules.</w:t>
      </w:r>
    </w:p>
    <w:p>
      <w:pPr>
        <w:pStyle w:val="ListBullet"/>
      </w:pPr>
      <w:r>
        <w:t>The journey is flexible, not a single mandatory linear sequence. Screening, investigations, assessment and diagnosis may occur at different times.</w:t>
      </w:r>
    </w:p>
    <w:p>
      <w:pPr>
        <w:pStyle w:val="ListBullet"/>
      </w:pPr>
      <w:r>
        <w:t>An appointment is planned contact; an encounter is an actual contact. Support both scheduled and unscheduled encounters.</w:t>
      </w:r>
    </w:p>
    <w:p>
      <w:pPr>
        <w:pStyle w:val="ListBullet"/>
      </w:pPr>
      <w:r>
        <w:t>Clinical programme enrollment, study enrollment, patient record status, visit status and outcomes must be tracked independently.</w:t>
      </w:r>
    </w:p>
    <w:p>
      <w:pPr>
        <w:pStyle w:val="ListBullet"/>
      </w:pPr>
      <w:r>
        <w:t>Form definitions and schedules may change, but history and audit trails must be preserved.</w:t>
      </w:r>
    </w:p>
    <w:p>
      <w:pPr>
        <w:pStyle w:val="Heading1"/>
      </w:pPr>
      <w:r>
        <w:t>3. End-to-end patient journey</w:t>
      </w:r>
    </w:p>
    <w:p>
      <w:pPr>
        <w:pStyle w:val="Heading2"/>
      </w:pPr>
      <w:r>
        <w:t>3.1 Registration and identity resolution</w:t>
      </w:r>
    </w:p>
    <w:p>
      <w:r>
        <w:t>Search for an existing patient before creating a record. Use configured identifiers and duplicate checks. Create a unique patient identifier and capture demographic, contact and location details. Route suspected duplicates to authorized review.</w:t>
      </w:r>
    </w:p>
    <w:p>
      <w:pPr>
        <w:pStyle w:val="Heading2"/>
      </w:pPr>
      <w:r>
        <w:t>3.2 Initial pre-screening</w:t>
      </w:r>
    </w:p>
    <w:p>
      <w:r>
        <w:t>Capture initial screening details and disposition. A person who does not proceed at this time may return or be considered for a different disease pathway where appropriate.</w:t>
      </w:r>
    </w:p>
    <w:p>
      <w:pPr>
        <w:pStyle w:val="Heading2"/>
      </w:pPr>
      <w:r>
        <w:t>3.3 Disease-specific screening</w:t>
      </w:r>
    </w:p>
    <w:p>
      <w:r>
        <w:t>Create separate screening records for diabetes, cardiac disease and SCD. Store screening date, source, result, staff member and next action. Permit multiple screenings over time.</w:t>
      </w:r>
    </w:p>
    <w:p>
      <w:pPr>
        <w:pStyle w:val="Heading2"/>
      </w:pPr>
      <w:r>
        <w:t>3.4 Clinical assessment and investigations</w:t>
      </w:r>
    </w:p>
    <w:p>
      <w:r>
        <w:t>Clinicians assess the patient and request laboratory tests, ECG, echocardiography, imaging or other investigations. These may support eligibility or diagnosis and may be repeated at follow-up.</w:t>
      </w:r>
    </w:p>
    <w:p>
      <w:pPr>
        <w:pStyle w:val="Heading2"/>
      </w:pPr>
      <w:r>
        <w:t>3.5 Diagnosis and care planning</w:t>
      </w:r>
    </w:p>
    <w:p>
      <w:r>
        <w:t>Record diagnoses separately with status and dates. Diagnosis does not automatically enroll a patient into a clinical programme or research study.</w:t>
      </w:r>
    </w:p>
    <w:p>
      <w:pPr>
        <w:pStyle w:val="Heading2"/>
      </w:pPr>
      <w:r>
        <w:t>3.6 Clinical programme enrollment</w:t>
      </w:r>
    </w:p>
    <w:p>
      <w:r>
        <w:t>Where applicable, record disease-management programme enrollment, care plan, start date, follow-up and its independent status. Patients may receive routine care without research participation.</w:t>
      </w:r>
    </w:p>
    <w:p>
      <w:pPr>
        <w:pStyle w:val="Heading2"/>
      </w:pPr>
      <w:r>
        <w:t>3.7 Study screening, consent and enrollment</w:t>
      </w:r>
    </w:p>
    <w:p>
      <w:r>
        <w:t>Select the study, assess protocol-specific eligibility, document the required consent process and record the screening outcome. Enroll only when required conditions are met. Each study enrollment has its own identifier and status.</w:t>
      </w:r>
    </w:p>
    <w:p>
      <w:pPr>
        <w:pStyle w:val="Heading2"/>
      </w:pPr>
      <w:r>
        <w:t>3.8 Baseline and follow-up</w:t>
      </w:r>
    </w:p>
    <w:p>
      <w:r>
        <w:t>Complete applicable baseline forms, generate appointments from the configured schedule, and create an encounter when contact occurs. Capture assessments, procedures, results, decisions and next steps.</w:t>
      </w:r>
    </w:p>
    <w:p>
      <w:pPr>
        <w:pStyle w:val="Heading2"/>
      </w:pPr>
      <w:r>
        <w:t>3.9 Outcomes and continuing care</w:t>
      </w:r>
    </w:p>
    <w:p>
      <w:r>
        <w:t>Record completion, withdrawal, loss to follow-up, transfer, death or another configured outcome for the relevant enrollment/pathway. Closing a study enrollment must not close the master patient record or other active pathways.</w:t>
      </w:r>
    </w:p>
    <w:p>
      <w:pPr>
        <w:pStyle w:val="Heading1"/>
      </w:pPr>
      <w:r>
        <w:t>4. Appointments, encounters and form completeness</w:t>
      </w:r>
    </w:p>
    <w:p>
      <w:pPr>
        <w:pStyle w:val="ListBullet"/>
      </w:pPr>
      <w:r>
        <w:t>Appointment statuses may include scheduled, confirmed, rescheduled, cancelled, attended or missed.</w:t>
      </w:r>
    </w:p>
    <w:p>
      <w:pPr>
        <w:pStyle w:val="ListBullet"/>
      </w:pPr>
      <w:r>
        <w:t>Encounters represent actual facility, community, home or other approved contacts. They may link to an appointment but must also support unscheduled contact.</w:t>
      </w:r>
    </w:p>
    <w:p>
      <w:pPr>
        <w:pStyle w:val="ListBullet"/>
      </w:pPr>
      <w:r>
        <w:t>Track required form completion per encounter and applicable enrollment; do not treat a missed appointment as an encounter.</w:t>
      </w:r>
    </w:p>
    <w:p>
      <w:pPr>
        <w:pStyle w:val="ListBullet"/>
      </w:pPr>
      <w:r>
        <w:t>Support draft/in-progress, incomplete, completed, reviewed and locked states as configured.</w:t>
      </w:r>
    </w:p>
    <w:p>
      <w:pPr>
        <w:pStyle w:val="Heading1"/>
      </w:pPr>
      <w:r>
        <w:t>5. Follow-up scheduling rules</w:t>
      </w:r>
    </w:p>
    <w:p>
      <w:pPr>
        <w:pStyle w:val="ListBullet"/>
      </w:pPr>
      <w:r>
        <w:t>Support configurable intervals such as monthly, every two months, every three months or another approved interval.</w:t>
      </w:r>
    </w:p>
    <w:p>
      <w:pPr>
        <w:pStyle w:val="ListBullet"/>
      </w:pPr>
      <w:r>
        <w:t>Generate schedules from baseline, the last completed encounter or a custom start point; configure visit count and maximum horizon.</w:t>
      </w:r>
    </w:p>
    <w:p>
      <w:pPr>
        <w:pStyle w:val="ListBullet"/>
      </w:pPr>
      <w:r>
        <w:t>Allow authorized staff to choose automatic generation or manual scheduling.</w:t>
      </w:r>
    </w:p>
    <w:p>
      <w:pPr>
        <w:pStyle w:val="ListBullet"/>
      </w:pPr>
      <w:r>
        <w:t>Preserve completed historical visits. When an interval changes, adjust only eligible future visits under an auditable rule.</w:t>
      </w:r>
    </w:p>
    <w:p>
      <w:pPr>
        <w:pStyle w:val="ListBullet"/>
      </w:pPr>
      <w:r>
        <w:t>Support rescheduling, cancellation, unscheduled visits, reminders and reasons for schedule changes.</w:t>
      </w:r>
    </w:p>
    <w:p>
      <w:pPr>
        <w:pStyle w:val="ListBullet"/>
      </w:pPr>
      <w:r>
        <w:t>A missed visit does not automatically mean loss to follow-up; apply the applicable protocol/programme rule.</w:t>
      </w:r>
    </w:p>
    <w:p>
      <w:pPr>
        <w:pStyle w:val="Heading1"/>
      </w:pPr>
      <w:r>
        <w:t>6. Transfers and location history</w:t>
      </w:r>
    </w:p>
    <w:p>
      <w:pPr>
        <w:pStyle w:val="ListBullet"/>
      </w:pPr>
      <w:r>
        <w:t>Record transfer-out and transfer-in as auditable events, including source/destination, date, reason and handover state.</w:t>
      </w:r>
    </w:p>
    <w:p>
      <w:pPr>
        <w:pStyle w:val="ListBullet"/>
      </w:pPr>
      <w:r>
        <w:t>Preserve previous location history; update current location only through an authorized transfer or correction.</w:t>
      </w:r>
    </w:p>
    <w:p>
      <w:pPr>
        <w:pStyle w:val="ListBullet"/>
      </w:pPr>
      <w:r>
        <w:t>Distinguish the patient's current care location from study-area classification.</w:t>
      </w:r>
    </w:p>
    <w:p>
      <w:pPr>
        <w:pStyle w:val="ListBullet"/>
      </w:pPr>
      <w:r>
        <w:t>Return after transfer or loss to follow-up should resume only the relevant pathway while retaining history.</w:t>
      </w:r>
    </w:p>
    <w:p>
      <w:pPr>
        <w:pStyle w:val="Heading1"/>
      </w:pPr>
      <w:r>
        <w:t>7. Keep status dimensions separate</w:t>
      </w:r>
    </w:p>
    <w:p>
      <w:pPr>
        <w:pStyle w:val="ListBullet"/>
      </w:pPr>
      <w:r>
        <w:t>Patient record status: administrative state of the master record.</w:t>
      </w:r>
    </w:p>
    <w:p>
      <w:pPr>
        <w:pStyle w:val="ListBullet"/>
      </w:pPr>
      <w:r>
        <w:t>Disease screening status: pending, positive, negative, inconclusive or configured equivalent.</w:t>
      </w:r>
    </w:p>
    <w:p>
      <w:pPr>
        <w:pStyle w:val="ListBullet"/>
      </w:pPr>
      <w:r>
        <w:t>Diagnosis status: provisional, confirmed, ruled out or configured equivalent.</w:t>
      </w:r>
    </w:p>
    <w:p>
      <w:pPr>
        <w:pStyle w:val="ListBullet"/>
      </w:pPr>
      <w:r>
        <w:t>Clinical programme status: active, completed, transferred, inactive or approved equivalent.</w:t>
      </w:r>
    </w:p>
    <w:p>
      <w:pPr>
        <w:pStyle w:val="ListBullet"/>
      </w:pPr>
      <w:r>
        <w:t>Study screening/enrollment status: screened, eligible, ineligible, consented, enrolled, withdrawn or completed, as permitted by protocol.</w:t>
      </w:r>
    </w:p>
    <w:p>
      <w:pPr>
        <w:pStyle w:val="ListBullet"/>
      </w:pPr>
      <w:r>
        <w:t>Appointment status, encounter/form status and outcome are separate dimensions.</w:t>
      </w:r>
    </w:p>
    <w:p>
      <w:pPr>
        <w:pStyle w:val="ListBullet"/>
      </w:pPr>
      <w:r>
        <w:t>Outcomes may include loss to follow-up, transfer, withdrawal, completion and death, with date and reason where applicable.</w:t>
      </w:r>
    </w:p>
    <w:p>
      <w:pPr>
        <w:pStyle w:val="Heading1"/>
      </w:pPr>
      <w:r>
        <w:t>8. Dynamic forms and CRFs</w:t>
      </w:r>
    </w:p>
    <w:p>
      <w:r>
        <w:t>Forms must be configurable, versioned and applicable at defined workflow stages, encounter types or settings.</w:t>
      </w:r>
    </w:p>
    <w:p>
      <w:pPr>
        <w:pStyle w:val="Heading2"/>
      </w:pPr>
      <w:r>
        <w:t>8.1 Form applicability</w:t>
      </w:r>
    </w:p>
    <w:p>
      <w:pPr>
        <w:pStyle w:val="ListBullet"/>
      </w:pPr>
      <w:r>
        <w:t>Universal forms: applicable across all disease areas and, where appropriate, studies.</w:t>
      </w:r>
    </w:p>
    <w:p>
      <w:pPr>
        <w:pStyle w:val="ListBullet"/>
      </w:pPr>
      <w:r>
        <w:t>Selected-disease forms: reusable for a specified subset of diseases.</w:t>
      </w:r>
    </w:p>
    <w:p>
      <w:pPr>
        <w:pStyle w:val="ListBullet"/>
      </w:pPr>
      <w:r>
        <w:t>Single-disease forms: applicable only to one disease programme.</w:t>
      </w:r>
    </w:p>
    <w:p>
      <w:pPr>
        <w:pStyle w:val="ListBullet"/>
      </w:pPr>
      <w:r>
        <w:t>Study-specific forms: governed by a particular study protocol.</w:t>
      </w:r>
    </w:p>
    <w:p>
      <w:pPr>
        <w:pStyle w:val="ListBullet"/>
      </w:pPr>
      <w:r>
        <w:t>Where needed, define applicability by stage, encounter type, location/setting and enrollment context.</w:t>
      </w:r>
    </w:p>
    <w:p>
      <w:pPr>
        <w:pStyle w:val="Heading2"/>
      </w:pPr>
      <w:r>
        <w:t>8.2 Form configuration and versioning</w:t>
      </w:r>
    </w:p>
    <w:p>
      <w:pPr>
        <w:pStyle w:val="ListBullet"/>
      </w:pPr>
      <w:r>
        <w:t>Configure sections, ordered fields, field types, options, help text, requiredness, validation and conditional visibility.</w:t>
      </w:r>
    </w:p>
    <w:p>
      <w:pPr>
        <w:pStyle w:val="ListBullet"/>
      </w:pPr>
      <w:r>
        <w:t>Published form versions are immutable. Changes create a new version.</w:t>
      </w:r>
    </w:p>
    <w:p>
      <w:pPr>
        <w:pStyle w:val="ListBullet"/>
      </w:pPr>
      <w:r>
        <w:t>Every submission stores the exact form version used and links to the relevant patient, encounter and/or enrollment.</w:t>
      </w:r>
    </w:p>
    <w:p>
      <w:pPr>
        <w:pStyle w:val="ListBullet"/>
      </w:pPr>
      <w:r>
        <w:t>Validate submissions server-side and retain submission/review history.</w:t>
      </w:r>
    </w:p>
    <w:p>
      <w:pPr>
        <w:pStyle w:val="Heading1"/>
      </w:pPr>
      <w:r>
        <w:t>9. Clinical service workflows</w:t>
      </w:r>
    </w:p>
    <w:p>
      <w:pPr>
        <w:pStyle w:val="Heading2"/>
      </w:pPr>
      <w:r>
        <w:t>Laboratory</w:t>
      </w:r>
    </w:p>
    <w:p>
      <w:r>
        <w:t>Record test orders, specimen collection, identifiers, status, results, units/reference ranges where relevant and review. Link to patient and encounter; support repeat tests.</w:t>
      </w:r>
    </w:p>
    <w:p>
      <w:pPr>
        <w:pStyle w:val="Heading2"/>
      </w:pPr>
      <w:r>
        <w:t>ECG, echocardiography, imaging and other investigations</w:t>
      </w:r>
    </w:p>
    <w:p>
      <w:r>
        <w:t>Capture requests, procedure/modality, dates, reports/results, reviewer and status. Preserve previous results.</w:t>
      </w:r>
    </w:p>
    <w:p>
      <w:pPr>
        <w:pStyle w:val="Heading2"/>
      </w:pPr>
      <w:r>
        <w:t>Pharmacy and medication</w:t>
      </w:r>
    </w:p>
    <w:p>
      <w:r>
        <w:t>Where in scope, record prescriptions, dispensing, medication instructions, quantities and stock transactions with appropriate access controls.</w:t>
      </w:r>
    </w:p>
    <w:p>
      <w:pPr>
        <w:pStyle w:val="Heading2"/>
      </w:pPr>
      <w:r>
        <w:t>Admissions and readmissions</w:t>
      </w:r>
    </w:p>
    <w:p>
      <w:r>
        <w:t>Record inpatient episode, ward/location, admission and discharge dates, discharge outcome and readmission relationships, linked to the master patient.</w:t>
      </w:r>
    </w:p>
    <w:p>
      <w:pPr>
        <w:pStyle w:val="Heading1"/>
      </w:pPr>
      <w:r>
        <w:t>10. Security, audit and workflow acceptance checklist</w:t>
      </w:r>
    </w:p>
    <w:p>
      <w:pPr>
        <w:pStyle w:val="ListBullet"/>
      </w:pPr>
      <w:r>
        <w:t>Enforce role, geographic and module/study access on every protected action.</w:t>
      </w:r>
    </w:p>
    <w:p>
      <w:pPr>
        <w:pStyle w:val="ListBullet"/>
      </w:pPr>
      <w:r>
        <w:t>Audit material changes, approvals, status changes, transfers, form publication and record locking.</w:t>
      </w:r>
    </w:p>
    <w:p>
      <w:pPr>
        <w:pStyle w:val="ListBullet"/>
      </w:pPr>
      <w:r>
        <w:t>One patient can have multiple disease screenings, diagnoses, clinical programme enrollments and study enrollments without duplicating master identity.</w:t>
      </w:r>
    </w:p>
    <w:p>
      <w:pPr>
        <w:pStyle w:val="ListBullet"/>
      </w:pPr>
      <w:r>
        <w:t>Routine clinical care works without research enrollment; later study consideration is supported.</w:t>
      </w:r>
    </w:p>
    <w:p>
      <w:pPr>
        <w:pStyle w:val="ListBullet"/>
      </w:pPr>
      <w:r>
        <w:t>Historical forms, encounters, transfers, schedules and outcomes remain traceable.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