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Seller Ordering Affects Market Efficiency</w:t>
      </w:r>
    </w:p>
    <w:p>
      <w:r>
        <w:t>This project investigates how seller ordering affects gains from trade when buyers arrive randomly and purchase the first acceptable item. In the simulated markets, cheapest-first matching achieves approximately 86–87% of maximum possible surplus. It outperforms the other rules despite completing fewer trades on average.</w:t>
      </w:r>
    </w:p>
    <w:p>
      <w:pPr>
        <w:pStyle w:val="Heading1"/>
      </w:pPr>
      <w:r>
        <w:t>Research question and model</w:t>
      </w:r>
    </w:p>
    <w:p>
      <w:r>
        <w:t>When buyers purchase the first acceptable item, how does seller ordering affect allocative efficiency? Each buyer wants at most one item and each seller supplies one identical item. All sellers are available initially. Buyers arrive in random order, inspect remaining sellers sequentially, and purchase from the first seller whose cost is strictly below their valuation.</w:t>
      </w:r>
    </w:p>
    <w:p>
      <w:r>
        <w:t>A successful buyer and seller leave the market. A buyer who cannot find an acceptable seller leaves without trading. Sellers who have not traded remain available. Costs and valuations are fixed. The model compares valuations directly with costs; it does not include asking prices, bargaining, or strategic behaviour.</w:t>
      </w:r>
    </w:p>
    <w:p>
      <w:r>
        <w:t>Three seller orders are compared: the original generated order, ascending cost (cheapest first), and descending cost (most expensive first). Each rule faces the same buyer arrival orders within a market.</w:t>
      </w:r>
    </w:p>
    <w:p>
      <w:pPr>
        <w:pStyle w:val="Heading1"/>
      </w:pPr>
      <w:r>
        <w:t>Performance measure and benchmark</w:t>
      </w:r>
    </w:p>
    <w:p>
      <w:r>
        <w:t>A trade between a buyer with valuation v and a seller with cost c creates surplus v − c. Total surplus is the sum over all completed trades.</w:t>
      </w:r>
    </w:p>
    <w:p>
      <w:r>
        <w:rPr>
          <w:i/>
        </w:rPr>
        <w:t>Allocative efficiency = realised total surplus / maximum achievable surplus</w:t>
      </w:r>
    </w:p>
    <w:p>
      <w:r>
        <w:t>The optimal benchmark sorts buyers from highest to lowest valuation and sellers from lowest to highest cost. Corresponding participants trade while the difference is positive. For any fixed number of trades, this selection maximises the sum of buyer valuations minus seller costs. Since successive differences decrease, stopping before a nonpositive difference maximises total surplus.</w:t>
      </w:r>
    </w:p>
    <w:p>
      <w:pPr>
        <w:pStyle w:val="Heading1"/>
      </w:pPr>
      <w:r>
        <w:t>Experimental design</w:t>
      </w:r>
    </w:p>
    <w:p>
      <w:r>
        <w:t>The experiments use 50, 100, 200, and 500 participants on each side. Each size has 20 generated markets and 100 buyer-order shuffles per market. Valuations and costs are independently generated from either a uniform integer distribution from 1 to 100 or a continuous uniform distribution from 0 to 1. Fixed random seeds allow the experiments to be reproduced.</w:t>
      </w:r>
    </w:p>
    <w:p>
      <w:r>
        <w:t>For each market and rule, efficiency is averaged over the buyer shuffles. Reported means give the 20 markets equal weight. The graphs show approximate pointwise 95% Student t confidence intervals across market-level averages, using 19 degrees of freedom. The 100 shuffles within a market are not treated as 100 independent markets.</w:t>
      </w:r>
    </w:p>
    <w:p>
      <w:r>
        <w:br w:type="page"/>
      </w:r>
    </w:p>
    <w:p>
      <w:pPr>
        <w:pStyle w:val="Heading1"/>
      </w:pPr>
      <w:r>
        <w:t>Results from continuous uniform markets</w:t>
      </w:r>
    </w:p>
    <w:p>
      <w:r>
        <w:t>The table reports mean efficiency as a percentage of optimal surplus, rounded to one decimal place.</w:t>
      </w:r>
    </w:p>
    <w:tbl>
      <w:tblPr>
        <w:tblW w:type="auto" w:w="0"/>
        <w:tblLayout w:type="fixed"/>
        <w:tblLook w:firstColumn="1" w:firstRow="1" w:lastColumn="0" w:lastRow="0" w:noHBand="0" w:noVBand="1" w:val="04A0"/>
      </w:tblPr>
      <w:tblGrid>
        <w:gridCol w:w="2365"/>
        <w:gridCol w:w="2365"/>
        <w:gridCol w:w="2365"/>
        <w:gridCol w:w="2365"/>
      </w:tblGrid>
      <w:tr>
        <w:tc>
          <w:tcPr>
            <w:tcW w:type="dxa" w:w="2088"/>
            <w:tcBorders>
              <w:top w:val="single" w:sz="4" w:color="D9D9D9"/>
              <w:left w:val="single" w:sz="4" w:color="D9D9D9"/>
              <w:bottom w:val="single" w:sz="4" w:color="D9D9D9"/>
              <w:right w:val="single" w:sz="4" w:color="D9D9D9"/>
            </w:tcBorders>
            <w:shd w:fill="E8EDF2"/>
          </w:tcPr>
          <w:p>
            <w:pPr>
              <w:spacing w:before="100" w:after="100"/>
            </w:pPr>
            <w:r>
              <w:rPr>
                <w:b/>
                <w:sz w:val="20"/>
              </w:rPr>
              <w:t>Participants per side</w:t>
            </w:r>
          </w:p>
        </w:tc>
        <w:tc>
          <w:tcPr>
            <w:tcW w:type="dxa" w:w="1728"/>
            <w:tcBorders>
              <w:top w:val="single" w:sz="4" w:color="D9D9D9"/>
              <w:left w:val="single" w:sz="4" w:color="D9D9D9"/>
              <w:bottom w:val="single" w:sz="4" w:color="D9D9D9"/>
              <w:right w:val="single" w:sz="4" w:color="D9D9D9"/>
            </w:tcBorders>
            <w:shd w:fill="E8EDF2"/>
          </w:tcPr>
          <w:p>
            <w:pPr>
              <w:spacing w:before="100" w:after="100"/>
            </w:pPr>
            <w:r>
              <w:rPr>
                <w:b/>
                <w:sz w:val="20"/>
              </w:rPr>
              <w:t>Original</w:t>
            </w:r>
          </w:p>
        </w:tc>
        <w:tc>
          <w:tcPr>
            <w:tcW w:type="dxa" w:w="2160"/>
            <w:tcBorders>
              <w:top w:val="single" w:sz="4" w:color="D9D9D9"/>
              <w:left w:val="single" w:sz="4" w:color="D9D9D9"/>
              <w:bottom w:val="single" w:sz="4" w:color="D9D9D9"/>
              <w:right w:val="single" w:sz="4" w:color="D9D9D9"/>
            </w:tcBorders>
            <w:shd w:fill="E8EDF2"/>
          </w:tcPr>
          <w:p>
            <w:pPr>
              <w:spacing w:before="100" w:after="100"/>
            </w:pPr>
            <w:r>
              <w:rPr>
                <w:b/>
                <w:sz w:val="20"/>
              </w:rPr>
              <w:t>Cheapest first</w:t>
            </w:r>
          </w:p>
        </w:tc>
        <w:tc>
          <w:tcPr>
            <w:tcW w:type="dxa" w:w="3024"/>
            <w:tcBorders>
              <w:top w:val="single" w:sz="4" w:color="D9D9D9"/>
              <w:left w:val="single" w:sz="4" w:color="D9D9D9"/>
              <w:bottom w:val="single" w:sz="4" w:color="D9D9D9"/>
              <w:right w:val="single" w:sz="4" w:color="D9D9D9"/>
            </w:tcBorders>
            <w:shd w:fill="E8EDF2"/>
          </w:tcPr>
          <w:p>
            <w:pPr>
              <w:spacing w:before="100" w:after="100"/>
            </w:pPr>
            <w:r>
              <w:rPr>
                <w:b/>
                <w:sz w:val="20"/>
              </w:rPr>
              <w:t>Most expensive first</w:t>
            </w:r>
          </w:p>
        </w:tc>
      </w:tr>
      <w:tr>
        <w:tc>
          <w:tcPr>
            <w:tcW w:type="dxa" w:w="2088"/>
            <w:tcBorders>
              <w:top w:val="single" w:sz="4" w:color="D9D9D9"/>
              <w:left w:val="single" w:sz="4" w:color="D9D9D9"/>
              <w:bottom w:val="single" w:sz="4" w:color="D9D9D9"/>
              <w:right w:val="single" w:sz="4" w:color="D9D9D9"/>
            </w:tcBorders>
          </w:tcPr>
          <w:p>
            <w:pPr>
              <w:spacing w:before="100" w:after="100"/>
            </w:pPr>
            <w:r>
              <w:rPr>
                <w:b w:val="0"/>
                <w:sz w:val="20"/>
              </w:rPr>
              <w:t>50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46.9%</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87.2%</w:t>
            </w:r>
          </w:p>
        </w:tc>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24.3%</w:t>
            </w:r>
          </w:p>
        </w:tc>
      </w:tr>
      <w:tr>
        <w:tc>
          <w:tcPr>
            <w:tcW w:type="dxa" w:w="2088"/>
            <w:tcBorders>
              <w:top w:val="single" w:sz="4" w:color="D9D9D9"/>
              <w:left w:val="single" w:sz="4" w:color="D9D9D9"/>
              <w:bottom w:val="single" w:sz="4" w:color="D9D9D9"/>
              <w:right w:val="single" w:sz="4" w:color="D9D9D9"/>
            </w:tcBorders>
          </w:tcPr>
          <w:p>
            <w:pPr>
              <w:spacing w:before="100" w:after="100"/>
            </w:pPr>
            <w:r>
              <w:rPr>
                <w:b w:val="0"/>
                <w:sz w:val="20"/>
              </w:rPr>
              <w:t>100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41.0%</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86.5%</w:t>
            </w:r>
          </w:p>
        </w:tc>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18.5%</w:t>
            </w:r>
          </w:p>
        </w:tc>
      </w:tr>
      <w:tr>
        <w:tc>
          <w:tcPr>
            <w:tcW w:type="dxa" w:w="2088"/>
            <w:tcBorders>
              <w:top w:val="single" w:sz="4" w:color="D9D9D9"/>
              <w:left w:val="single" w:sz="4" w:color="D9D9D9"/>
              <w:bottom w:val="single" w:sz="4" w:color="D9D9D9"/>
              <w:right w:val="single" w:sz="4" w:color="D9D9D9"/>
            </w:tcBorders>
          </w:tcPr>
          <w:p>
            <w:pPr>
              <w:spacing w:before="100" w:after="100"/>
            </w:pPr>
            <w:r>
              <w:rPr>
                <w:b w:val="0"/>
                <w:sz w:val="20"/>
              </w:rPr>
              <w:t>200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32.3%</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86.6%</w:t>
            </w:r>
          </w:p>
        </w:tc>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12.0%</w:t>
            </w:r>
          </w:p>
        </w:tc>
      </w:tr>
      <w:tr>
        <w:tc>
          <w:tcPr>
            <w:tcW w:type="dxa" w:w="2088"/>
            <w:tcBorders>
              <w:top w:val="single" w:sz="4" w:color="D9D9D9"/>
              <w:left w:val="single" w:sz="4" w:color="D9D9D9"/>
              <w:bottom w:val="single" w:sz="4" w:color="D9D9D9"/>
              <w:right w:val="single" w:sz="4" w:color="D9D9D9"/>
            </w:tcBorders>
          </w:tcPr>
          <w:p>
            <w:pPr>
              <w:spacing w:before="100" w:after="100"/>
            </w:pPr>
            <w:r>
              <w:rPr>
                <w:b w:val="0"/>
                <w:sz w:val="20"/>
              </w:rPr>
              <w:t>500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26.2%</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86.8%</w:t>
            </w:r>
          </w:p>
        </w:tc>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9.8%</w:t>
            </w:r>
          </w:p>
        </w:tc>
      </w:tr>
    </w:tbl>
    <w:p>
      <w:r>
        <w:t>Cheapest-first efficiency stays close to 87%, while original-order efficiency falls from 46.9% to 26.2% and most-expensive-first efficiency falls from 24.3% to 9.8%. The integer experiments show the same broad ranking and size pattern.</w:t>
      </w:r>
    </w:p>
    <w:p>
      <w:r>
        <w:t>Trade-count diagnostics for the integer experiment with 100 participants per side show mean trade counts of 84.59, 63.26, and 92.00 for original, cheapest-first, and most-expensive-first matching, respectively. The corresponding means of market-level surplus per trade are 12.19, 33.76, and 5.88. These are separate averages and should not be multiplied to recover mean total surplus.</w:t>
      </w:r>
    </w:p>
    <w:p>
      <w:pPr>
        <w:pStyle w:val="Heading1"/>
      </w:pPr>
      <w:r>
        <w:t>Mathematical explanation</w:t>
      </w:r>
    </w:p>
    <w:p>
      <w:r>
        <w:t>For a large continuous-uniform market, let t be the fraction of buyers processed and x(t) the number of trades divided by the initial number of sellers N. Under cheapest-first matching, the cheapest remaining seller costs approximately x. The next buyer therefore trades with probability 1 − x, giving dx/dt = 1 − x and x(0) = 0. Hence x(t) = 1 − exp(−t).</w:t>
      </w:r>
    </w:p>
    <w:p>
      <w:r>
        <w:t>At time t, expected surplus per arriving buyer is the integral of v − x from v = x to 1, equal to (1 − x)²/2. Integrating over arrivals gives total surplus per N of approximately (1 − exp(−2))/4. The optimal benchmark has surplus per N approaching 1/4, so the predicted efficiency is 1 − exp(−2), approximately 86.47%. This is a large-market approximation, not an exact finite-market expectation.</w:t>
      </w:r>
    </w:p>
    <w:p>
      <w:pPr>
        <w:pStyle w:val="Heading1"/>
      </w:pPr>
      <w:r>
        <w:t>Interpretation and limitations</w:t>
      </w:r>
    </w:p>
    <w:p>
      <w:r>
        <w:t>Cheapest-first matching maximises the immediate surplus available to the current buyer, but random arrival can allocate cheap supply to lower-valued buyers before higher-valued buyers arrive. It therefore need not maximise market-wide surplus or average surplus per trade. More completed transactions alone do not establish better economic performance.</w:t>
      </w:r>
    </w:p>
    <w:p>
      <w:r>
        <w:t>The results are near the theoretical prediction but do not demonstrate convergence. The study uses a limited set of sizes and distributions, and does not establish asymptotic formulas for the other rules. Known costs, identical goods, unrestricted seller searches, and the absence of prices or strategic behaviour limit direct application to real game marketplaces.</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Seller Ordering Affects Market Efficiency</dc:title>
  <dc:subject>Simulation and mathematical analysis of sequential market matching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