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№1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371"/>
        </w:tabs>
        <w:spacing w:after="2040" w:line="276" w:lineRule="auto"/>
        <w:jc w:val="center"/>
        <w:rPr/>
      </w:pPr>
      <w:r w:rsidDel="00000000" w:rsidR="00000000" w:rsidRPr="00000000">
        <w:rPr>
          <w:rtl w:val="0"/>
        </w:rPr>
        <w:t xml:space="preserve">СОГЛАСОВАНИЕ КРИПТОГРАФИЧЕСКИХ КЛЮЧЕЙ НА ОСНОВЕ ТЕХНОЛОГИЙ ИСКУССТВЕННЫХ НЕЙРОННЫХ СЕТЕЙ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spacing w:after="160" w:before="0" w:line="259" w:lineRule="auto"/>
        <w:ind w:firstLine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основ построения и функционирования искусственных нейронных сетей (ИНС), а также использования ИНС в криптографии; приобретение практических навыков программной реализации алгоритма согласования ключевой информации на основе технологии ИНС.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по основам построения и функционирования ИНС.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Усвоить особенности построения, основные алгоритмы взаимного обучения двух связанных нейронных сетей на основе модели ТРМ. </w:t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Разработать приложение для реализации модели ТРМ с целью согласования двумя сторонами совместного тайного ключа. 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Познакомиться с методиками оценки криптостойкости алгоритма на основе ТРМ. 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>
          <w:b w:val="1"/>
        </w:rPr>
      </w:pPr>
      <w:r w:rsidDel="00000000" w:rsidR="00000000" w:rsidRPr="00000000">
        <w:rPr>
          <w:rtl w:val="0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 Было разработано приложение, реализующее модель TCP. Вывод одной реализации алгоритма для двух сетей представлен на рисунке 1.</w:t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302034" cy="39499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34" cy="3949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1 – вывод одной реализации алгоритма</w:t>
      </w:r>
    </w:p>
    <w:p w:rsidR="00000000" w:rsidDel="00000000" w:rsidP="00000000" w:rsidRDefault="00000000" w:rsidRPr="00000000" w14:paraId="0000001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Каждая модель нейросети состоит из 4 персептронов с 10 входами.</w:t>
      </w:r>
    </w:p>
    <w:p w:rsidR="00000000" w:rsidDel="00000000" w:rsidP="00000000" w:rsidRDefault="00000000" w:rsidRPr="00000000" w14:paraId="0000001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Было проведено 500 экспериментов синхронизаций и в каждом посчитано количество шагов, после которых наступает синхронизация. Гистограмма подсчета количества шагов, после которых наступает синхронизация для каждого эксперимента представлена на рисунке 2.</w:t>
      </w:r>
    </w:p>
    <w:p w:rsidR="00000000" w:rsidDel="00000000" w:rsidP="00000000" w:rsidRDefault="00000000" w:rsidRPr="00000000" w14:paraId="0000001E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009647" cy="26925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647" cy="2692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2 – гистограмма подсчета количества шагов, после которых наступает синхронизация</w:t>
      </w:r>
    </w:p>
    <w:p w:rsidR="00000000" w:rsidDel="00000000" w:rsidP="00000000" w:rsidRDefault="00000000" w:rsidRPr="00000000" w14:paraId="0000002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Так же было построено распределение число синхронизаций – число шагов в виде графика, которое представлено на рисунке 3.</w:t>
      </w:r>
    </w:p>
    <w:p w:rsidR="00000000" w:rsidDel="00000000" w:rsidP="00000000" w:rsidRDefault="00000000" w:rsidRPr="00000000" w14:paraId="00000021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205714" cy="35875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714" cy="3587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3 – распределение число синхронизаций – число шагов.</w:t>
      </w:r>
    </w:p>
    <w:p w:rsidR="00000000" w:rsidDel="00000000" w:rsidP="00000000" w:rsidRDefault="00000000" w:rsidRPr="00000000" w14:paraId="0000002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В каждом из опытов выполнен контроль промежутка времени наступления синхронизации после запуска эмулятора и подсчитано среднее время процесса синхронизации, которое равно 1.27 секунд. График зависимости прошедшего времени от числа синхронизаций представлен на рисунке 4.</w:t>
      </w:r>
    </w:p>
    <w:p w:rsidR="00000000" w:rsidDel="00000000" w:rsidP="00000000" w:rsidRDefault="00000000" w:rsidRPr="00000000" w14:paraId="00000024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507867" cy="38269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7867" cy="382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4 – График зависимости прошедшего времени от числа синхронизаций</w:t>
      </w:r>
    </w:p>
    <w:p w:rsidR="00000000" w:rsidDel="00000000" w:rsidP="00000000" w:rsidRDefault="00000000" w:rsidRPr="00000000" w14:paraId="0000002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Алгоритм Хебба:</w:t>
      </w:r>
    </w:p>
    <w:p w:rsidR="00000000" w:rsidDel="00000000" w:rsidP="00000000" w:rsidRDefault="00000000" w:rsidRPr="00000000" w14:paraId="0000002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+ 1) = (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) + (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А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rtl w:val="0"/>
        </w:rPr>
        <w:t xml:space="preserve">Θ((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А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О</w:t>
      </w:r>
      <w:r w:rsidDel="00000000" w:rsidR="00000000" w:rsidRPr="00000000">
        <w:rPr>
          <w:i w:val="1"/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))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rtl w:val="0"/>
        </w:rPr>
        <w:t xml:space="preserve">Θ((–</w:t>
      </w:r>
      <w:r w:rsidDel="00000000" w:rsidR="00000000" w:rsidRPr="00000000">
        <w:rPr>
          <w:i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vertAlign w:val="superscript"/>
          <w:rtl w:val="0"/>
        </w:rPr>
        <w:t xml:space="preserve">А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О</w:t>
      </w:r>
      <w:r w:rsidDel="00000000" w:rsidR="00000000" w:rsidRPr="00000000">
        <w:rPr>
          <w:i w:val="1"/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2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-ый вес на шаге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i w:val="1"/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– значение выходного сигнала,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– значение входного сигнала Θ(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 принимает значение в зависимости от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если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&gt;=0, то Θ(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 = 1, иначе Θ(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) = 0. </w:t>
      </w:r>
      <w:r w:rsidDel="00000000" w:rsidR="00000000" w:rsidRPr="00000000">
        <w:rPr>
          <w:i w:val="1"/>
          <w:rtl w:val="0"/>
        </w:rPr>
        <w:t xml:space="preserve">О</w:t>
      </w:r>
      <w:r w:rsidDel="00000000" w:rsidR="00000000" w:rsidRPr="00000000">
        <w:rPr>
          <w:i w:val="1"/>
          <w:vertAlign w:val="superscript"/>
          <w:rtl w:val="0"/>
        </w:rPr>
        <w:t xml:space="preserve">A/B</w:t>
      </w:r>
      <w:r w:rsidDel="00000000" w:rsidR="00000000" w:rsidRPr="00000000">
        <w:rPr>
          <w:rtl w:val="0"/>
        </w:rPr>
        <w:t xml:space="preserve"> – выходная величина.</w:t>
      </w:r>
    </w:p>
    <w:p w:rsidR="00000000" w:rsidDel="00000000" w:rsidP="00000000" w:rsidRDefault="00000000" w:rsidRPr="00000000" w14:paraId="00000029">
      <w:pPr>
        <w:tabs>
          <w:tab w:val="center" w:leader="none" w:pos="4677"/>
          <w:tab w:val="left" w:leader="none" w:pos="6468"/>
        </w:tabs>
        <w:jc w:val="both"/>
        <w:rPr>
          <w:vertAlign w:val="superscript"/>
        </w:rPr>
      </w:pPr>
      <w:r w:rsidDel="00000000" w:rsidR="00000000" w:rsidRPr="00000000">
        <w:rPr>
          <w:i w:val="1"/>
          <w:rtl w:val="0"/>
        </w:rPr>
        <w:t xml:space="preserve">О</w:t>
      </w:r>
      <w:r w:rsidDel="00000000" w:rsidR="00000000" w:rsidRPr="00000000">
        <w:rPr>
          <w:i w:val="1"/>
          <w:vertAlign w:val="superscript"/>
          <w:rtl w:val="0"/>
        </w:rPr>
        <w:t xml:space="preserve">A/B</w:t>
      </w:r>
      <w:r w:rsidDel="00000000" w:rsidR="00000000" w:rsidRPr="00000000">
        <w:rPr>
          <w:rtl w:val="0"/>
        </w:rPr>
        <w:t xml:space="preserve"> = Произведение (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i w:val="1"/>
          <w:vertAlign w:val="superscript"/>
          <w:rtl w:val="0"/>
        </w:rPr>
        <w:t xml:space="preserve">A/B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958610" cy="25846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8610" cy="2584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5 – схема двух уровней модели TPM</w:t>
      </w:r>
    </w:p>
    <w:p w:rsidR="00000000" w:rsidDel="00000000" w:rsidP="00000000" w:rsidRDefault="00000000" w:rsidRPr="00000000" w14:paraId="0000002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были изучены основы посторенние ИНС и реализована модель из двух нейросетей, выполняющих синхронизацию по алгоритму Хебба.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