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9D1E2">
      <w:pPr>
        <w:pStyle w:val="3"/>
        <w:bidi w:val="0"/>
        <w:rPr>
          <w:rFonts w:hint="default"/>
        </w:rPr>
      </w:pPr>
      <w:r>
        <w:rPr>
          <w:rFonts w:hint="default"/>
        </w:rPr>
        <w:t>Принципы системы безопасности серверов БД</w:t>
      </w:r>
    </w:p>
    <w:p w14:paraId="5726D819">
      <w:pPr>
        <w:rPr>
          <w:rFonts w:hint="default"/>
        </w:rPr>
      </w:pPr>
    </w:p>
    <w:p w14:paraId="3E8DA76A">
      <w:pPr>
        <w:rPr>
          <w:rFonts w:hint="default"/>
        </w:rPr>
      </w:pPr>
      <w:r>
        <w:rPr>
          <w:rFonts w:hint="default"/>
        </w:rPr>
        <w:t>1. Избирательный подход</w:t>
      </w:r>
    </w:p>
    <w:p w14:paraId="36293D1A">
      <w:pPr>
        <w:rPr>
          <w:rFonts w:hint="default"/>
        </w:rPr>
      </w:pPr>
      <w:r>
        <w:rPr>
          <w:rFonts w:hint="default"/>
        </w:rPr>
        <w:t>2. 2х уровневая модель доступа</w:t>
      </w:r>
    </w:p>
    <w:p w14:paraId="463B73C5">
      <w:pPr>
        <w:rPr>
          <w:rFonts w:hint="default"/>
        </w:rPr>
      </w:pPr>
      <w:r>
        <w:rPr>
          <w:rFonts w:hint="default"/>
        </w:rPr>
        <w:t>3. Использование: аутентификации, авторизации, шифрования</w:t>
      </w:r>
    </w:p>
    <w:p w14:paraId="50637953">
      <w:pPr>
        <w:rPr>
          <w:rFonts w:hint="default"/>
        </w:rPr>
      </w:pPr>
    </w:p>
    <w:p w14:paraId="20B710A3">
      <w:pPr>
        <w:rPr>
          <w:rFonts w:hint="default"/>
        </w:rPr>
      </w:pPr>
      <w:r>
        <w:rPr>
          <w:rFonts w:hint="default"/>
        </w:rPr>
        <w:t>Избирательный подход:</w:t>
      </w:r>
    </w:p>
    <w:p w14:paraId="68F23BE2">
      <w:pPr>
        <w:rPr>
          <w:rFonts w:hint="default"/>
        </w:rPr>
      </w:pPr>
      <w:r>
        <w:rPr>
          <w:rFonts w:hint="default"/>
        </w:rPr>
        <w:t>каждый пользователь обладает различными правами для работы с объектами БД.</w:t>
      </w:r>
    </w:p>
    <w:p w14:paraId="44D9A650">
      <w:pPr>
        <w:rPr>
          <w:rFonts w:hint="default"/>
        </w:rPr>
      </w:pPr>
    </w:p>
    <w:p w14:paraId="67D13F5A">
      <w:pPr>
        <w:rPr>
          <w:rFonts w:hint="default"/>
        </w:rPr>
      </w:pPr>
      <w:r>
        <w:rPr>
          <w:rFonts w:hint="default"/>
        </w:rPr>
        <w:t>Уровни безопасности:</w:t>
      </w:r>
    </w:p>
    <w:p w14:paraId="285EF501">
      <w:pPr>
        <w:rPr>
          <w:rFonts w:hint="default"/>
        </w:rPr>
      </w:pPr>
      <w:r>
        <w:rPr>
          <w:rFonts w:hint="default"/>
        </w:rPr>
        <w:t>1. на уровне сервера</w:t>
      </w:r>
    </w:p>
    <w:p w14:paraId="11C04510">
      <w:pPr>
        <w:rPr>
          <w:rFonts w:hint="default"/>
        </w:rPr>
      </w:pPr>
      <w:r>
        <w:rPr>
          <w:rFonts w:hint="default"/>
        </w:rPr>
        <w:t>2. на уровне БД</w:t>
      </w:r>
    </w:p>
    <w:p w14:paraId="11F5794E">
      <w:pPr>
        <w:rPr>
          <w:rFonts w:hint="default"/>
        </w:rPr>
      </w:pPr>
    </w:p>
    <w:p w14:paraId="22B2310E">
      <w:pPr>
        <w:rPr>
          <w:rFonts w:hint="default"/>
        </w:rPr>
      </w:pPr>
      <w:r>
        <w:rPr>
          <w:rFonts w:hint="default"/>
        </w:rPr>
        <w:t>Учётная запись или принципиал сервера - одна из моделей идентификации пользователя в системе, исп которую реализуется аутентификация.</w:t>
      </w:r>
    </w:p>
    <w:p w14:paraId="4D4A56A2">
      <w:pPr>
        <w:rPr>
          <w:rFonts w:hint="default"/>
        </w:rPr>
      </w:pPr>
    </w:p>
    <w:p w14:paraId="46614F98">
      <w:pPr>
        <w:rPr>
          <w:rFonts w:hint="default"/>
        </w:rPr>
      </w:pPr>
      <w:r>
        <w:rPr>
          <w:rFonts w:hint="default"/>
        </w:rPr>
        <w:t>Пользователь или принципиал БД - объект БД, с помощью которого определяются все разрешения доступа к объектам БД.</w:t>
      </w:r>
    </w:p>
    <w:p w14:paraId="55ED5DAE">
      <w:pPr>
        <w:rPr>
          <w:rFonts w:hint="default"/>
        </w:rPr>
      </w:pPr>
    </w:p>
    <w:p w14:paraId="07DC2716">
      <w:pPr>
        <w:rPr>
          <w:rFonts w:hint="default"/>
        </w:rPr>
      </w:pPr>
      <w:r>
        <w:rPr>
          <w:rFonts w:hint="default"/>
        </w:rPr>
        <w:t>Схема - набор объектов в БД, объединённых общим пространством имён.</w:t>
      </w:r>
    </w:p>
    <w:p w14:paraId="14D7BCB3">
      <w:pPr>
        <w:rPr>
          <w:rFonts w:hint="default"/>
        </w:rPr>
      </w:pPr>
      <w:r>
        <w:rPr>
          <w:rFonts w:hint="default"/>
        </w:rPr>
        <w:t>Роль - именованный набор различных прав.</w:t>
      </w:r>
    </w:p>
    <w:p w14:paraId="434BD566">
      <w:pPr>
        <w:rPr>
          <w:rFonts w:hint="default"/>
        </w:rPr>
      </w:pPr>
      <w:r>
        <w:rPr>
          <w:rFonts w:hint="default"/>
        </w:rPr>
        <w:t>Права - разрешения на доступ и действия с объектами сервера или БД.</w:t>
      </w:r>
    </w:p>
    <w:p w14:paraId="0ECBCEE0">
      <w:pPr>
        <w:rPr>
          <w:rFonts w:hint="default"/>
        </w:rPr>
      </w:pPr>
      <w:r>
        <w:rPr>
          <w:rFonts w:hint="default"/>
        </w:rPr>
        <w:t>Группа - поименованный набор пользователей с одинаковыми правами.</w:t>
      </w:r>
    </w:p>
    <w:p w14:paraId="1AF92F13">
      <w:pPr>
        <w:rPr>
          <w:rFonts w:hint="default"/>
        </w:rPr>
      </w:pPr>
    </w:p>
    <w:p w14:paraId="7D908033">
      <w:pPr>
        <w:rPr>
          <w:rFonts w:hint="default"/>
        </w:rPr>
      </w:pPr>
      <w:r>
        <w:rPr>
          <w:rFonts w:hint="default"/>
        </w:rPr>
        <w:t>Режимы аутентификации:</w:t>
      </w:r>
    </w:p>
    <w:p w14:paraId="6564A971">
      <w:pPr>
        <w:rPr>
          <w:rFonts w:hint="default"/>
        </w:rPr>
      </w:pPr>
      <w:r>
        <w:rPr>
          <w:rFonts w:hint="default"/>
        </w:rPr>
        <w:t>1. Windows - LoginID в master БД, остальные параметры - в структурах Winsows NT.</w:t>
      </w:r>
    </w:p>
    <w:p w14:paraId="7D3A950E">
      <w:pPr>
        <w:rPr>
          <w:rFonts w:hint="default"/>
        </w:rPr>
      </w:pPr>
      <w:r>
        <w:rPr>
          <w:rFonts w:hint="default"/>
        </w:rPr>
        <w:t>2. MS SQL Server - учётная запись (пользователь + пароль)</w:t>
      </w:r>
    </w:p>
    <w:p w14:paraId="5DF0317B">
      <w:pPr>
        <w:rPr>
          <w:rFonts w:hint="default"/>
        </w:rPr>
      </w:pPr>
    </w:p>
    <w:p w14:paraId="3C9858DC">
      <w:pPr>
        <w:rPr>
          <w:rFonts w:hint="default"/>
          <w:lang w:val="en-US"/>
        </w:rPr>
      </w:pPr>
      <w:r>
        <w:rPr>
          <w:lang w:val="ru-RU"/>
        </w:rPr>
        <w:t>Создание</w:t>
      </w:r>
      <w:r>
        <w:rPr>
          <w:rFonts w:hint="default"/>
          <w:lang w:val="ru-RU"/>
        </w:rPr>
        <w:t xml:space="preserve"> учетной записи</w:t>
      </w:r>
      <w:r>
        <w:rPr>
          <w:rFonts w:hint="default"/>
          <w:lang w:val="en-US"/>
        </w:rPr>
        <w:t>:</w:t>
      </w:r>
    </w:p>
    <w:p w14:paraId="1407FB3B">
      <w:r>
        <w:drawing>
          <wp:inline distT="0" distB="0" distL="114300" distR="114300">
            <wp:extent cx="3491865" cy="2538095"/>
            <wp:effectExtent l="0" t="0" r="13335" b="1460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7173">
      <w:pPr>
        <w:rPr>
          <w:rFonts w:hint="default"/>
          <w:lang w:val="en-US"/>
        </w:rPr>
      </w:pPr>
      <w:r>
        <w:rPr>
          <w:lang w:val="ru-RU"/>
        </w:rPr>
        <w:t>Пример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SQL Server:</w:t>
      </w:r>
    </w:p>
    <w:p w14:paraId="0A636AAD">
      <w:r>
        <w:drawing>
          <wp:inline distT="0" distB="0" distL="114300" distR="114300">
            <wp:extent cx="2714625" cy="1146175"/>
            <wp:effectExtent l="0" t="0" r="9525" b="15875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3771"/>
    <w:p w14:paraId="0B91BE81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Пример </w:t>
      </w:r>
      <w:r>
        <w:rPr>
          <w:rFonts w:hint="default"/>
          <w:lang w:val="en-US"/>
        </w:rPr>
        <w:t>Windows:</w:t>
      </w:r>
    </w:p>
    <w:p w14:paraId="045925C0">
      <w:r>
        <w:drawing>
          <wp:inline distT="0" distB="0" distL="114300" distR="114300">
            <wp:extent cx="4152265" cy="936625"/>
            <wp:effectExtent l="0" t="0" r="635" b="1587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9AD6D">
      <w:r>
        <w:drawing>
          <wp:inline distT="0" distB="0" distL="114300" distR="114300">
            <wp:extent cx="5268595" cy="2228215"/>
            <wp:effectExtent l="0" t="0" r="8255" b="63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DDD5">
      <w:r>
        <w:drawing>
          <wp:inline distT="0" distB="0" distL="114300" distR="114300">
            <wp:extent cx="5271135" cy="2711450"/>
            <wp:effectExtent l="0" t="0" r="5715" b="1270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52C6">
      <w:r>
        <w:drawing>
          <wp:inline distT="0" distB="0" distL="114300" distR="114300">
            <wp:extent cx="4370705" cy="2534920"/>
            <wp:effectExtent l="0" t="0" r="10795" b="1778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5E70C"/>
    <w:p w14:paraId="258560E4">
      <w:r>
        <w:drawing>
          <wp:inline distT="0" distB="0" distL="114300" distR="114300">
            <wp:extent cx="5271770" cy="2876550"/>
            <wp:effectExtent l="0" t="0" r="508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F712">
      <w:r>
        <w:drawing>
          <wp:inline distT="0" distB="0" distL="114300" distR="114300">
            <wp:extent cx="5273675" cy="3247390"/>
            <wp:effectExtent l="0" t="0" r="3175" b="1016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BA45">
      <w:r>
        <w:drawing>
          <wp:inline distT="0" distB="0" distL="114300" distR="114300">
            <wp:extent cx="5269865" cy="5892165"/>
            <wp:effectExtent l="0" t="0" r="6985" b="133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9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38D3C">
      <w:r>
        <w:drawing>
          <wp:inline distT="0" distB="0" distL="114300" distR="114300">
            <wp:extent cx="5273675" cy="3020060"/>
            <wp:effectExtent l="0" t="0" r="3175" b="889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5244">
      <w:r>
        <w:drawing>
          <wp:inline distT="0" distB="0" distL="114300" distR="114300">
            <wp:extent cx="5269865" cy="3536315"/>
            <wp:effectExtent l="0" t="0" r="6985" b="698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11FD2">
      <w:r>
        <w:drawing>
          <wp:inline distT="0" distB="0" distL="114300" distR="114300">
            <wp:extent cx="5273675" cy="1928495"/>
            <wp:effectExtent l="0" t="0" r="3175" b="14605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54C35"/>
    <w:p w14:paraId="179C1682">
      <w:r>
        <w:drawing>
          <wp:inline distT="0" distB="0" distL="114300" distR="114300">
            <wp:extent cx="5274310" cy="3325495"/>
            <wp:effectExtent l="0" t="0" r="2540" b="8255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892F">
      <w:r>
        <w:drawing>
          <wp:inline distT="0" distB="0" distL="114300" distR="114300">
            <wp:extent cx="5270500" cy="1962785"/>
            <wp:effectExtent l="0" t="0" r="6350" b="18415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0425">
      <w:r>
        <w:drawing>
          <wp:inline distT="0" distB="0" distL="114300" distR="114300">
            <wp:extent cx="5269230" cy="2109470"/>
            <wp:effectExtent l="0" t="0" r="7620" b="5080"/>
            <wp:docPr id="20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1EAA">
      <w:pPr>
        <w:rPr>
          <w:rFonts w:hint="default"/>
          <w:lang w:val="en-US"/>
        </w:rPr>
      </w:pPr>
      <w:r>
        <w:drawing>
          <wp:inline distT="0" distB="0" distL="114300" distR="114300">
            <wp:extent cx="3781425" cy="3705225"/>
            <wp:effectExtent l="0" t="0" r="9525" b="9525"/>
            <wp:docPr id="21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12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2026-10-15T20:43:01Z</dcterms:created>
  <dc:creator>user</dc:creator>
  <cp:lastModifiedBy>user</cp:lastModifiedBy>
  <dcterms:modified xsi:type="dcterms:W3CDTF">2026-10-15T20:52:26Z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74154021EF5F46DA94BECEC9E3C42C2B_12</vt:lpwstr>
  </property>
</Properties>
</file>