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DDCCA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Задание на паре </w:t>
      </w:r>
    </w:p>
    <w:p w14:paraId="4553BB67">
      <w:pPr>
        <w:rPr>
          <w:rFonts w:hint="default"/>
          <w:b/>
          <w:bCs/>
          <w:sz w:val="22"/>
          <w:szCs w:val="22"/>
          <w:lang w:val="ru-RU"/>
        </w:rPr>
      </w:pPr>
    </w:p>
    <w:p w14:paraId="2A00AD59">
      <w:pPr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Задание 1.1</w:t>
      </w:r>
    </w:p>
    <w:p w14:paraId="32F08D52">
      <w:pPr>
        <w:rPr>
          <w:rFonts w:hint="default"/>
          <w:b/>
          <w:bCs/>
          <w:sz w:val="22"/>
          <w:szCs w:val="22"/>
          <w:lang w:val="ru-RU"/>
        </w:rPr>
      </w:pPr>
    </w:p>
    <w:p w14:paraId="283A273F">
      <w:pPr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drawing>
          <wp:inline distT="0" distB="0" distL="114300" distR="114300">
            <wp:extent cx="4220210" cy="5038090"/>
            <wp:effectExtent l="0" t="0" r="8890" b="10160"/>
            <wp:docPr id="2" name="Изображение 2" descr="Снимок экрана 2026-09-25 121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09-25 1216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021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2E7D">
      <w:pPr>
        <w:rPr>
          <w:rFonts w:hint="default"/>
          <w:b/>
          <w:bCs/>
          <w:sz w:val="22"/>
          <w:szCs w:val="22"/>
          <w:lang w:val="ru-RU"/>
        </w:rPr>
      </w:pPr>
    </w:p>
    <w:p w14:paraId="3C0F224C">
      <w:pPr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drawing>
          <wp:inline distT="0" distB="0" distL="114300" distR="114300">
            <wp:extent cx="3118485" cy="2551430"/>
            <wp:effectExtent l="0" t="0" r="5715" b="1270"/>
            <wp:docPr id="3" name="Изображение 3" descr="Снимок экрана 2026-09-25 121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6-09-25 1216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5C63">
      <w:pPr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 xml:space="preserve">Задание 1.3 </w:t>
      </w:r>
    </w:p>
    <w:p w14:paraId="7E01C4CF">
      <w:pPr>
        <w:rPr>
          <w:rFonts w:hint="default"/>
          <w:b/>
          <w:bCs/>
          <w:sz w:val="22"/>
          <w:szCs w:val="22"/>
          <w:lang w:val="ru-RU"/>
        </w:rPr>
      </w:pPr>
      <w:r>
        <w:drawing>
          <wp:inline distT="0" distB="0" distL="114300" distR="114300">
            <wp:extent cx="6532245" cy="3601085"/>
            <wp:effectExtent l="0" t="0" r="1905" b="1841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2245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11637">
      <w:pPr>
        <w:rPr>
          <w:rFonts w:hint="default"/>
          <w:b/>
          <w:bCs/>
          <w:sz w:val="22"/>
          <w:szCs w:val="22"/>
          <w:lang w:val="ru-RU"/>
        </w:rPr>
      </w:pPr>
    </w:p>
    <w:p w14:paraId="71F19D0D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ru-RU"/>
        </w:rPr>
        <w:t>Задание 2.</w:t>
      </w:r>
      <w:r>
        <w:rPr>
          <w:rFonts w:hint="default"/>
          <w:b/>
          <w:bCs/>
          <w:sz w:val="22"/>
          <w:szCs w:val="22"/>
          <w:lang w:val="en-US"/>
        </w:rPr>
        <w:t>2</w:t>
      </w:r>
    </w:p>
    <w:p w14:paraId="6D9EEC4B">
      <w:pPr>
        <w:rPr>
          <w:rFonts w:hint="default"/>
          <w:b/>
          <w:bCs/>
          <w:sz w:val="22"/>
          <w:szCs w:val="22"/>
          <w:lang w:val="en-US"/>
        </w:rPr>
      </w:pPr>
      <w:r>
        <w:drawing>
          <wp:inline distT="0" distB="0" distL="114300" distR="114300">
            <wp:extent cx="3655060" cy="2024380"/>
            <wp:effectExtent l="0" t="0" r="2540" b="1397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D178">
      <w:pPr>
        <w:rPr>
          <w:rFonts w:hint="default"/>
          <w:b/>
          <w:bCs/>
          <w:sz w:val="22"/>
          <w:szCs w:val="22"/>
          <w:lang w:val="ru-RU"/>
        </w:rPr>
      </w:pPr>
    </w:p>
    <w:p w14:paraId="6467A136">
      <w:r>
        <w:drawing>
          <wp:inline distT="0" distB="0" distL="114300" distR="114300">
            <wp:extent cx="2509520" cy="2277110"/>
            <wp:effectExtent l="0" t="0" r="5080" b="889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AB8D5"/>
    <w:p w14:paraId="4E0B7769">
      <w:pPr>
        <w:rPr>
          <w:rFonts w:hint="default"/>
          <w:b/>
          <w:bCs/>
          <w:sz w:val="21"/>
          <w:szCs w:val="21"/>
          <w:lang w:val="ru-RU"/>
        </w:rPr>
      </w:pPr>
      <w:r>
        <w:rPr>
          <w:rFonts w:hint="default"/>
          <w:b/>
          <w:bCs/>
          <w:sz w:val="21"/>
          <w:szCs w:val="21"/>
          <w:lang w:val="ru-RU"/>
        </w:rPr>
        <w:t>Задание 2.4</w:t>
      </w:r>
    </w:p>
    <w:p w14:paraId="3807496D">
      <w:r>
        <w:drawing>
          <wp:inline distT="0" distB="0" distL="114300" distR="114300">
            <wp:extent cx="2743200" cy="3291840"/>
            <wp:effectExtent l="0" t="0" r="0" b="381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824D"/>
    <w:p w14:paraId="535EFA1D"/>
    <w:p w14:paraId="0080A64B">
      <w:pPr>
        <w:rPr>
          <w:rFonts w:hint="default"/>
          <w:b/>
          <w:bCs/>
          <w:sz w:val="21"/>
          <w:szCs w:val="21"/>
          <w:lang w:val="ru-RU"/>
        </w:rPr>
      </w:pPr>
      <w:r>
        <w:rPr>
          <w:rFonts w:hint="default"/>
          <w:b/>
          <w:bCs/>
          <w:sz w:val="21"/>
          <w:szCs w:val="21"/>
          <w:lang w:val="ru-RU"/>
        </w:rPr>
        <w:t>Задаине 3.1</w:t>
      </w:r>
    </w:p>
    <w:p w14:paraId="2341A235">
      <w:pPr>
        <w:rPr>
          <w:rFonts w:hint="default"/>
          <w:b/>
          <w:bCs/>
          <w:sz w:val="21"/>
          <w:szCs w:val="21"/>
          <w:lang w:val="ru-RU"/>
        </w:rPr>
      </w:pPr>
    </w:p>
    <w:p w14:paraId="2D575C18">
      <w:pPr>
        <w:rPr>
          <w:rFonts w:hint="default"/>
          <w:b/>
          <w:bCs/>
          <w:sz w:val="21"/>
          <w:szCs w:val="21"/>
          <w:lang w:val="ru-RU"/>
        </w:rPr>
      </w:pPr>
      <w:r>
        <w:rPr>
          <w:rFonts w:hint="default"/>
          <w:b/>
          <w:bCs/>
          <w:sz w:val="21"/>
          <w:szCs w:val="21"/>
          <w:lang w:val="ru-RU"/>
        </w:rPr>
        <w:t xml:space="preserve">Окно 1 преподователь </w:t>
      </w:r>
    </w:p>
    <w:p w14:paraId="6ED71610">
      <w:r>
        <w:drawing>
          <wp:inline distT="0" distB="0" distL="114300" distR="114300">
            <wp:extent cx="3783965" cy="3662045"/>
            <wp:effectExtent l="0" t="0" r="6985" b="14605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3965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C8BC6"/>
    <w:p w14:paraId="4F821C2B">
      <w:pPr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Окно</w:t>
      </w:r>
      <w:r>
        <w:rPr>
          <w:rFonts w:hint="default"/>
          <w:b/>
          <w:bCs/>
          <w:lang w:val="ru-RU"/>
        </w:rPr>
        <w:t xml:space="preserve"> 2 студент </w:t>
      </w:r>
    </w:p>
    <w:p w14:paraId="6239FA85">
      <w:pPr>
        <w:rPr>
          <w:rFonts w:hint="default"/>
          <w:b/>
          <w:bCs/>
          <w:lang w:val="ru-RU"/>
        </w:rPr>
      </w:pPr>
    </w:p>
    <w:p w14:paraId="4484D5FE">
      <w:pPr>
        <w:rPr>
          <w:rFonts w:hint="default"/>
          <w:b/>
          <w:bCs/>
          <w:lang w:val="ru-RU"/>
        </w:rPr>
      </w:pPr>
    </w:p>
    <w:p w14:paraId="5C594DB2">
      <w:pPr>
        <w:rPr>
          <w:rFonts w:hint="default"/>
          <w:b/>
          <w:bCs/>
          <w:lang w:val="ru-RU"/>
        </w:rPr>
      </w:pPr>
    </w:p>
    <w:p w14:paraId="6CB6F37D">
      <w:pPr>
        <w:rPr>
          <w:rFonts w:hint="default"/>
          <w:b/>
          <w:bCs/>
          <w:lang w:val="ru-RU"/>
        </w:rPr>
      </w:pPr>
    </w:p>
    <w:p w14:paraId="47BD5A9C">
      <w:r>
        <w:drawing>
          <wp:inline distT="0" distB="0" distL="114300" distR="114300">
            <wp:extent cx="3432175" cy="3401060"/>
            <wp:effectExtent l="0" t="0" r="15875" b="8890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A096C">
      <w:pPr>
        <w:rPr>
          <w:b/>
          <w:bCs/>
        </w:rPr>
      </w:pPr>
      <w:r>
        <w:rPr>
          <w:rFonts w:hint="default"/>
          <w:b/>
          <w:bCs/>
        </w:rPr>
        <w:t>Вывод: READ UNCOMMITTED позволяет прочитать незакоммиченные данные. Это может привести к грязному чтению, если транзакция впоследствии выполнит ROLLBACK.</w:t>
      </w:r>
    </w:p>
    <w:p w14:paraId="3768A27B">
      <w:pPr>
        <w:rPr>
          <w:rFonts w:hint="default"/>
          <w:b/>
          <w:bCs/>
          <w:sz w:val="21"/>
          <w:szCs w:val="21"/>
          <w:lang w:val="ru-RU"/>
        </w:rPr>
      </w:pPr>
      <w:r>
        <w:rPr>
          <w:rFonts w:hint="default"/>
          <w:b/>
          <w:bCs/>
          <w:sz w:val="21"/>
          <w:szCs w:val="21"/>
          <w:lang w:val="ru-RU"/>
        </w:rPr>
        <w:t>Задание 3.2</w:t>
      </w:r>
    </w:p>
    <w:p w14:paraId="013E4A31">
      <w:pPr>
        <w:rPr>
          <w:rFonts w:hint="default"/>
          <w:b/>
          <w:bCs/>
          <w:sz w:val="21"/>
          <w:szCs w:val="21"/>
          <w:lang w:val="ru-RU"/>
        </w:rPr>
      </w:pPr>
    </w:p>
    <w:p w14:paraId="186C9FEE">
      <w:pPr>
        <w:rPr>
          <w:rFonts w:hint="default"/>
          <w:b/>
          <w:bCs/>
          <w:sz w:val="21"/>
          <w:szCs w:val="21"/>
          <w:lang w:val="ru-RU"/>
        </w:rPr>
      </w:pPr>
      <w:r>
        <w:rPr>
          <w:rFonts w:hint="default"/>
          <w:b/>
          <w:bCs/>
          <w:sz w:val="21"/>
          <w:szCs w:val="21"/>
          <w:lang w:val="ru-RU"/>
        </w:rPr>
        <w:t xml:space="preserve">Окно 1 </w:t>
      </w:r>
    </w:p>
    <w:p w14:paraId="0FF3DCBB">
      <w:pPr>
        <w:rPr>
          <w:rFonts w:hint="default"/>
          <w:b/>
          <w:bCs/>
          <w:sz w:val="21"/>
          <w:szCs w:val="21"/>
          <w:lang w:val="ru-RU"/>
        </w:rPr>
      </w:pPr>
    </w:p>
    <w:p w14:paraId="4E0D2F11">
      <w:pPr>
        <w:rPr>
          <w:rFonts w:hint="default"/>
          <w:b/>
          <w:bCs/>
          <w:sz w:val="21"/>
          <w:szCs w:val="21"/>
          <w:lang w:val="ru-RU"/>
        </w:rPr>
      </w:pPr>
    </w:p>
    <w:p w14:paraId="0EC6BF55">
      <w:r>
        <w:drawing>
          <wp:inline distT="0" distB="0" distL="114300" distR="114300">
            <wp:extent cx="2520950" cy="3093720"/>
            <wp:effectExtent l="0" t="0" r="12700" b="11430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451E7"/>
    <w:p w14:paraId="26397630">
      <w:pPr>
        <w:rPr>
          <w:rFonts w:hint="default"/>
          <w:b/>
          <w:bCs/>
          <w:sz w:val="21"/>
          <w:szCs w:val="21"/>
          <w:lang w:val="ru-RU"/>
        </w:rPr>
      </w:pPr>
      <w:r>
        <w:rPr>
          <w:b/>
          <w:bCs/>
          <w:sz w:val="21"/>
          <w:szCs w:val="21"/>
          <w:lang w:val="ru-RU"/>
        </w:rPr>
        <w:t>Окно</w:t>
      </w:r>
      <w:r>
        <w:rPr>
          <w:rFonts w:hint="default"/>
          <w:b/>
          <w:bCs/>
          <w:sz w:val="21"/>
          <w:szCs w:val="21"/>
          <w:lang w:val="ru-RU"/>
        </w:rPr>
        <w:t xml:space="preserve"> 2</w:t>
      </w:r>
    </w:p>
    <w:p w14:paraId="34B2A46C">
      <w:pPr>
        <w:rPr>
          <w:rFonts w:hint="default"/>
          <w:b/>
          <w:bCs/>
          <w:sz w:val="21"/>
          <w:szCs w:val="21"/>
          <w:lang w:val="ru-RU"/>
        </w:rPr>
      </w:pPr>
    </w:p>
    <w:p w14:paraId="5486A7E7">
      <w:r>
        <w:drawing>
          <wp:inline distT="0" distB="0" distL="114300" distR="114300">
            <wp:extent cx="2581910" cy="2687320"/>
            <wp:effectExtent l="0" t="0" r="8890" b="17780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5A529">
      <w:pPr>
        <w:rPr>
          <w:b/>
          <w:bCs/>
        </w:rPr>
      </w:pPr>
      <w:r>
        <w:rPr>
          <w:rFonts w:hint="default"/>
          <w:b/>
          <w:bCs/>
        </w:rPr>
        <w:t>Вывод: READ COMMITTED не позволяет читать незакоммиченные данные. Однако между двумя чтениями результат может измениться после фиксации другой транзакции.</w:t>
      </w:r>
    </w:p>
    <w:p w14:paraId="3EC311F9"/>
    <w:p w14:paraId="46A460CB">
      <w:pPr>
        <w:rPr>
          <w:rFonts w:hint="default"/>
          <w:b/>
          <w:bCs/>
          <w:sz w:val="21"/>
          <w:szCs w:val="21"/>
          <w:lang w:val="ru-RU"/>
        </w:rPr>
      </w:pPr>
      <w:r>
        <w:rPr>
          <w:b/>
          <w:bCs/>
          <w:sz w:val="21"/>
          <w:szCs w:val="21"/>
          <w:lang w:val="ru-RU"/>
        </w:rPr>
        <w:t>Задание</w:t>
      </w:r>
      <w:r>
        <w:rPr>
          <w:rFonts w:hint="default"/>
          <w:b/>
          <w:bCs/>
          <w:sz w:val="21"/>
          <w:szCs w:val="21"/>
          <w:lang w:val="ru-RU"/>
        </w:rPr>
        <w:t xml:space="preserve"> 3.3</w:t>
      </w:r>
    </w:p>
    <w:p w14:paraId="661C935F">
      <w:pPr>
        <w:rPr>
          <w:rFonts w:hint="default"/>
          <w:b/>
          <w:bCs/>
          <w:sz w:val="21"/>
          <w:szCs w:val="21"/>
          <w:lang w:val="ru-RU"/>
        </w:rPr>
      </w:pPr>
    </w:p>
    <w:p w14:paraId="7701D21A">
      <w:pPr>
        <w:rPr>
          <w:rFonts w:hint="default"/>
          <w:b/>
          <w:bCs/>
          <w:sz w:val="21"/>
          <w:szCs w:val="21"/>
          <w:lang w:val="ru-RU"/>
        </w:rPr>
      </w:pPr>
      <w:r>
        <w:rPr>
          <w:rFonts w:hint="default"/>
          <w:b/>
          <w:bCs/>
          <w:sz w:val="21"/>
          <w:szCs w:val="21"/>
          <w:lang w:val="ru-RU"/>
        </w:rPr>
        <w:t>Окно 1</w:t>
      </w:r>
    </w:p>
    <w:p w14:paraId="71A3BA59">
      <w:r>
        <w:drawing>
          <wp:inline distT="0" distB="0" distL="114300" distR="114300">
            <wp:extent cx="4905375" cy="4400550"/>
            <wp:effectExtent l="0" t="0" r="9525" b="0"/>
            <wp:docPr id="1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A80F6"/>
    <w:p w14:paraId="642A0137">
      <w:pPr>
        <w:rPr>
          <w:rFonts w:hint="default"/>
          <w:b/>
          <w:bCs/>
          <w:sz w:val="21"/>
          <w:szCs w:val="21"/>
          <w:lang w:val="ru-RU"/>
        </w:rPr>
      </w:pPr>
      <w:r>
        <w:rPr>
          <w:b/>
          <w:bCs/>
          <w:sz w:val="21"/>
          <w:szCs w:val="21"/>
          <w:lang w:val="ru-RU"/>
        </w:rPr>
        <w:t>Окно</w:t>
      </w:r>
      <w:r>
        <w:rPr>
          <w:rFonts w:hint="default"/>
          <w:b/>
          <w:bCs/>
          <w:sz w:val="21"/>
          <w:szCs w:val="21"/>
          <w:lang w:val="ru-RU"/>
        </w:rPr>
        <w:t xml:space="preserve"> 2</w:t>
      </w:r>
    </w:p>
    <w:p w14:paraId="1FB30D86">
      <w:r>
        <w:drawing>
          <wp:inline distT="0" distB="0" distL="114300" distR="114300">
            <wp:extent cx="3089275" cy="3939540"/>
            <wp:effectExtent l="0" t="0" r="15875" b="3810"/>
            <wp:docPr id="17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9275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E067B">
      <w:pPr>
        <w:rPr>
          <w:b/>
          <w:bCs/>
        </w:rPr>
      </w:pPr>
      <w:r>
        <w:rPr>
          <w:rFonts w:hint="default"/>
          <w:b/>
          <w:bCs/>
        </w:rPr>
        <w:t>Вывод: REPEATABLE READ не позволяет изменять уже прочитанные строки до окончания транзакции. Это обеспечивает стабильность повторного чтения.</w:t>
      </w:r>
    </w:p>
    <w:p w14:paraId="2E4C66E3"/>
    <w:p w14:paraId="07CE28B7"/>
    <w:p w14:paraId="22813642">
      <w:pPr>
        <w:rPr>
          <w:rFonts w:hint="default"/>
          <w:b/>
          <w:bCs/>
          <w:sz w:val="21"/>
          <w:szCs w:val="21"/>
          <w:lang w:val="en-US"/>
        </w:rPr>
      </w:pPr>
      <w:r>
        <w:rPr>
          <w:b/>
          <w:bCs/>
          <w:sz w:val="21"/>
          <w:szCs w:val="21"/>
          <w:lang w:val="ru-RU"/>
        </w:rPr>
        <w:t>Задание</w:t>
      </w:r>
      <w:r>
        <w:rPr>
          <w:rFonts w:hint="default"/>
          <w:b/>
          <w:bCs/>
          <w:sz w:val="21"/>
          <w:szCs w:val="21"/>
          <w:lang w:val="ru-RU"/>
        </w:rPr>
        <w:t xml:space="preserve"> 3.</w:t>
      </w:r>
      <w:r>
        <w:rPr>
          <w:rFonts w:hint="default"/>
          <w:b/>
          <w:bCs/>
          <w:sz w:val="21"/>
          <w:szCs w:val="21"/>
          <w:lang w:val="en-US"/>
        </w:rPr>
        <w:t>5</w:t>
      </w:r>
    </w:p>
    <w:p w14:paraId="3ADF94C7">
      <w:r>
        <w:drawing>
          <wp:inline distT="0" distB="0" distL="114300" distR="114300">
            <wp:extent cx="4695825" cy="2886075"/>
            <wp:effectExtent l="0" t="0" r="9525" b="9525"/>
            <wp:docPr id="18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E339B">
      <w:pPr>
        <w:rPr>
          <w:b/>
          <w:bCs/>
        </w:rPr>
      </w:pPr>
      <w:r>
        <w:rPr>
          <w:rFonts w:hint="default"/>
          <w:b/>
          <w:bCs/>
        </w:rPr>
        <w:t>Вывод: SNAPSHOT позволяет читать согласованную версию данных без обычного ожидания блокировок. Это удобно для формирования отчётов во время изменения данных.</w:t>
      </w:r>
    </w:p>
    <w:p w14:paraId="2AE0D1A0"/>
    <w:p w14:paraId="549BD203">
      <w:pPr>
        <w:rPr>
          <w:rFonts w:hint="default"/>
          <w:b/>
          <w:bCs/>
          <w:sz w:val="21"/>
          <w:szCs w:val="21"/>
          <w:lang w:val="ru-RU"/>
        </w:rPr>
      </w:pPr>
      <w:r>
        <w:rPr>
          <w:rFonts w:hint="default"/>
          <w:b/>
          <w:bCs/>
          <w:sz w:val="21"/>
          <w:szCs w:val="21"/>
          <w:lang w:val="ru-RU"/>
        </w:rPr>
        <w:t>Задание 4.1</w:t>
      </w:r>
    </w:p>
    <w:p w14:paraId="36596AAC">
      <w:pPr>
        <w:rPr>
          <w:rFonts w:hint="default"/>
          <w:b/>
          <w:bCs/>
          <w:sz w:val="21"/>
          <w:szCs w:val="21"/>
          <w:lang w:val="ru-RU"/>
        </w:rPr>
      </w:pPr>
    </w:p>
    <w:p w14:paraId="3BC55F7C">
      <w:r>
        <w:drawing>
          <wp:inline distT="0" distB="0" distL="114300" distR="114300">
            <wp:extent cx="4211955" cy="4004945"/>
            <wp:effectExtent l="0" t="0" r="17145" b="14605"/>
            <wp:docPr id="19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88543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Вывод: Во время изменения данных внутри транзакции SQL Server устанавливает блокировки. После COMMIT или ROLLBACK блокировки снимаются.</w:t>
      </w:r>
    </w:p>
    <w:p w14:paraId="28DA3702">
      <w:pPr>
        <w:rPr>
          <w:rFonts w:hint="default"/>
          <w:b/>
          <w:bCs/>
          <w:lang w:val="ru-RU"/>
        </w:rPr>
      </w:pPr>
    </w:p>
    <w:p w14:paraId="3126D6A6">
      <w:pPr>
        <w:rPr>
          <w:rFonts w:hint="default"/>
          <w:b/>
          <w:bCs/>
          <w:sz w:val="21"/>
          <w:szCs w:val="21"/>
          <w:lang w:val="ru-RU"/>
        </w:rPr>
      </w:pPr>
      <w:r>
        <w:rPr>
          <w:rFonts w:hint="default"/>
          <w:b/>
          <w:bCs/>
          <w:sz w:val="21"/>
          <w:szCs w:val="21"/>
          <w:lang w:val="ru-RU"/>
        </w:rPr>
        <w:t>Задание 4.2</w:t>
      </w:r>
    </w:p>
    <w:p w14:paraId="3674553B">
      <w:pPr>
        <w:rPr>
          <w:rFonts w:hint="default"/>
          <w:b/>
          <w:bCs/>
          <w:sz w:val="21"/>
          <w:szCs w:val="21"/>
          <w:lang w:val="ru-RU"/>
        </w:rPr>
      </w:pPr>
      <w:r>
        <w:rPr>
          <w:rFonts w:hint="default"/>
          <w:b/>
          <w:bCs/>
          <w:sz w:val="21"/>
          <w:szCs w:val="21"/>
          <w:lang w:val="ru-RU"/>
        </w:rPr>
        <w:t xml:space="preserve">Окно 1 </w:t>
      </w:r>
    </w:p>
    <w:p w14:paraId="784A6212">
      <w:r>
        <w:drawing>
          <wp:inline distT="0" distB="0" distL="114300" distR="114300">
            <wp:extent cx="4114800" cy="3486150"/>
            <wp:effectExtent l="0" t="0" r="0" b="0"/>
            <wp:docPr id="20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2678B"/>
    <w:p w14:paraId="63517BCF"/>
    <w:p w14:paraId="639E5FBD"/>
    <w:p w14:paraId="2E3B1B6B">
      <w:pPr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Окно</w:t>
      </w:r>
      <w:r>
        <w:rPr>
          <w:rFonts w:hint="default"/>
          <w:b/>
          <w:bCs/>
          <w:lang w:val="ru-RU"/>
        </w:rPr>
        <w:t xml:space="preserve"> 2</w:t>
      </w:r>
    </w:p>
    <w:p w14:paraId="4700D751">
      <w:r>
        <w:drawing>
          <wp:inline distT="0" distB="0" distL="114300" distR="114300">
            <wp:extent cx="3171825" cy="3514725"/>
            <wp:effectExtent l="0" t="0" r="9525" b="9525"/>
            <wp:docPr id="21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2B7BD"/>
    <w:p w14:paraId="7FC7F67F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Вывод: UPDLOCK блокирует выбранные строки для последующего изменения и не позволяет другой транзакции одновременно получить конфликтующую блокировку.</w:t>
      </w:r>
    </w:p>
    <w:p w14:paraId="087BDB47">
      <w:pPr>
        <w:rPr>
          <w:rFonts w:hint="default"/>
          <w:b/>
          <w:bCs/>
          <w:lang w:val="ru-RU"/>
        </w:rPr>
      </w:pPr>
    </w:p>
    <w:p w14:paraId="543115FB">
      <w:pPr>
        <w:rPr>
          <w:rFonts w:hint="default"/>
          <w:b/>
          <w:bCs/>
          <w:sz w:val="21"/>
          <w:szCs w:val="21"/>
          <w:lang w:val="ru-RU"/>
        </w:rPr>
      </w:pPr>
      <w:r>
        <w:rPr>
          <w:rFonts w:hint="default"/>
          <w:b/>
          <w:bCs/>
          <w:sz w:val="21"/>
          <w:szCs w:val="21"/>
          <w:lang w:val="ru-RU"/>
        </w:rPr>
        <w:t>Задание 4.3</w:t>
      </w:r>
    </w:p>
    <w:p w14:paraId="1B63B9D5">
      <w:pPr>
        <w:rPr>
          <w:rFonts w:hint="default"/>
          <w:b/>
          <w:bCs/>
          <w:sz w:val="21"/>
          <w:szCs w:val="21"/>
          <w:lang w:val="ru-RU"/>
        </w:rPr>
      </w:pPr>
    </w:p>
    <w:p w14:paraId="28698C63">
      <w:pPr>
        <w:rPr>
          <w:rFonts w:hint="default"/>
          <w:b/>
          <w:bCs/>
          <w:sz w:val="21"/>
          <w:szCs w:val="21"/>
          <w:lang w:val="ru-RU"/>
        </w:rPr>
      </w:pPr>
      <w:r>
        <w:rPr>
          <w:rFonts w:hint="default"/>
          <w:b/>
          <w:bCs/>
          <w:sz w:val="21"/>
          <w:szCs w:val="21"/>
          <w:lang w:val="ru-RU"/>
        </w:rPr>
        <w:t xml:space="preserve">Окно 1 </w:t>
      </w:r>
    </w:p>
    <w:p w14:paraId="180A1988">
      <w:r>
        <w:drawing>
          <wp:inline distT="0" distB="0" distL="114300" distR="114300">
            <wp:extent cx="4076700" cy="3181350"/>
            <wp:effectExtent l="0" t="0" r="0" b="0"/>
            <wp:docPr id="22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73BDE"/>
    <w:p w14:paraId="3FE86442">
      <w:pPr>
        <w:rPr>
          <w:rFonts w:hint="default"/>
          <w:b/>
          <w:bCs/>
          <w:sz w:val="21"/>
          <w:szCs w:val="21"/>
          <w:lang w:val="ru-RU"/>
        </w:rPr>
      </w:pPr>
      <w:r>
        <w:rPr>
          <w:b/>
          <w:bCs/>
          <w:sz w:val="21"/>
          <w:szCs w:val="21"/>
          <w:lang w:val="ru-RU"/>
        </w:rPr>
        <w:t>Окно</w:t>
      </w:r>
      <w:r>
        <w:rPr>
          <w:rFonts w:hint="default"/>
          <w:b/>
          <w:bCs/>
          <w:sz w:val="21"/>
          <w:szCs w:val="21"/>
          <w:lang w:val="ru-RU"/>
        </w:rPr>
        <w:t xml:space="preserve"> 2 </w:t>
      </w:r>
    </w:p>
    <w:p w14:paraId="3CD284F4">
      <w:pPr>
        <w:rPr>
          <w:rFonts w:hint="default"/>
          <w:b/>
          <w:bCs/>
          <w:sz w:val="21"/>
          <w:szCs w:val="21"/>
          <w:lang w:val="ru-RU"/>
        </w:rPr>
      </w:pPr>
    </w:p>
    <w:p w14:paraId="299C4B40">
      <w:r>
        <w:drawing>
          <wp:inline distT="0" distB="0" distL="114300" distR="114300">
            <wp:extent cx="3362325" cy="2019300"/>
            <wp:effectExtent l="0" t="0" r="9525" b="0"/>
            <wp:docPr id="23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F1C64"/>
    <w:p w14:paraId="4095A032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Вывод: TABLOCKX устанавливает эксклюзивную блокировку всей таблицы. Другие сессии не могут выполнять конфликтующие операции до завершения транзакции.</w:t>
      </w:r>
    </w:p>
    <w:p w14:paraId="32D6CB5C">
      <w:pPr>
        <w:rPr>
          <w:rFonts w:hint="default"/>
          <w:b/>
          <w:bCs/>
          <w:lang w:val="ru-RU"/>
        </w:rPr>
      </w:pPr>
    </w:p>
    <w:p w14:paraId="3C12C3BB">
      <w:pPr>
        <w:rPr>
          <w:rFonts w:hint="default"/>
          <w:b/>
          <w:bCs/>
          <w:lang w:val="ru-RU"/>
        </w:rPr>
      </w:pPr>
    </w:p>
    <w:p w14:paraId="3BD83987">
      <w:pPr>
        <w:rPr>
          <w:rFonts w:hint="default"/>
          <w:b/>
          <w:bCs/>
          <w:sz w:val="21"/>
          <w:szCs w:val="21"/>
          <w:lang w:val="ru-RU"/>
        </w:rPr>
      </w:pPr>
      <w:r>
        <w:rPr>
          <w:rFonts w:hint="default"/>
          <w:b/>
          <w:bCs/>
          <w:sz w:val="21"/>
          <w:szCs w:val="21"/>
          <w:lang w:val="ru-RU"/>
        </w:rPr>
        <w:t>Задание 4.4</w:t>
      </w:r>
    </w:p>
    <w:p w14:paraId="3862EF51">
      <w:pPr>
        <w:rPr>
          <w:rFonts w:hint="default"/>
          <w:b/>
          <w:bCs/>
          <w:sz w:val="21"/>
          <w:szCs w:val="21"/>
          <w:lang w:val="ru-RU"/>
        </w:rPr>
      </w:pPr>
    </w:p>
    <w:p w14:paraId="046DD554">
      <w:r>
        <w:drawing>
          <wp:inline distT="0" distB="0" distL="114300" distR="114300">
            <wp:extent cx="3829050" cy="4333875"/>
            <wp:effectExtent l="0" t="0" r="0" b="9525"/>
            <wp:docPr id="24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2371A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Вывод: При большом количестве блокировок SQL Server может выполнить их эскалацию до более крупного уровня, например блокировки таблицы. Это уменьшает количество блокировок, но снижает параллельность</w:t>
      </w:r>
      <w:r>
        <w:rPr>
          <w:rFonts w:hint="default"/>
          <w:lang w:val="ru-RU"/>
        </w:rPr>
        <w:t>.</w:t>
      </w:r>
    </w:p>
    <w:p w14:paraId="4D13404D">
      <w:pPr>
        <w:rPr>
          <w:rFonts w:hint="default"/>
          <w:lang w:val="ru-RU"/>
        </w:rPr>
      </w:pPr>
    </w:p>
    <w:p w14:paraId="4A0D2534">
      <w:pPr>
        <w:rPr>
          <w:rFonts w:hint="default"/>
          <w:b/>
          <w:bCs/>
          <w:sz w:val="21"/>
          <w:szCs w:val="21"/>
          <w:lang w:val="ru-RU"/>
        </w:rPr>
      </w:pPr>
      <w:r>
        <w:rPr>
          <w:rFonts w:hint="default"/>
          <w:b/>
          <w:bCs/>
          <w:sz w:val="21"/>
          <w:szCs w:val="21"/>
          <w:lang w:val="ru-RU"/>
        </w:rPr>
        <w:t>Задание 4.5</w:t>
      </w:r>
    </w:p>
    <w:p w14:paraId="4366D13D">
      <w:pPr>
        <w:rPr>
          <w:rFonts w:hint="default"/>
          <w:b/>
          <w:bCs/>
          <w:sz w:val="21"/>
          <w:szCs w:val="21"/>
          <w:lang w:val="ru-RU"/>
        </w:rPr>
      </w:pPr>
    </w:p>
    <w:p w14:paraId="76DB257C">
      <w:pPr>
        <w:rPr>
          <w:rFonts w:hint="default"/>
          <w:b/>
          <w:bCs/>
          <w:sz w:val="21"/>
          <w:szCs w:val="21"/>
          <w:lang w:val="ru-RU"/>
        </w:rPr>
      </w:pPr>
      <w:r>
        <w:rPr>
          <w:rFonts w:hint="default"/>
          <w:b/>
          <w:bCs/>
          <w:sz w:val="21"/>
          <w:szCs w:val="21"/>
          <w:lang w:val="ru-RU"/>
        </w:rPr>
        <w:t xml:space="preserve">Окно 1 </w:t>
      </w:r>
    </w:p>
    <w:p w14:paraId="6316069A">
      <w:r>
        <w:drawing>
          <wp:inline distT="0" distB="0" distL="114300" distR="114300">
            <wp:extent cx="3876675" cy="3086100"/>
            <wp:effectExtent l="0" t="0" r="9525" b="0"/>
            <wp:docPr id="25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01B6E"/>
    <w:p w14:paraId="4DAEC71A">
      <w:pPr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Окно</w:t>
      </w:r>
      <w:r>
        <w:rPr>
          <w:rFonts w:hint="default"/>
          <w:b/>
          <w:bCs/>
          <w:lang w:val="ru-RU"/>
        </w:rPr>
        <w:t xml:space="preserve"> 2 </w:t>
      </w:r>
    </w:p>
    <w:p w14:paraId="4371DF65">
      <w:r>
        <w:drawing>
          <wp:inline distT="0" distB="0" distL="114300" distR="114300">
            <wp:extent cx="3343275" cy="2971800"/>
            <wp:effectExtent l="0" t="0" r="9525" b="0"/>
            <wp:docPr id="26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68258"/>
    <w:p w14:paraId="675F36EB">
      <w:pPr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Окно</w:t>
      </w:r>
      <w:r>
        <w:rPr>
          <w:rFonts w:hint="default"/>
          <w:b/>
          <w:bCs/>
          <w:lang w:val="ru-RU"/>
        </w:rPr>
        <w:t xml:space="preserve"> 3 </w:t>
      </w:r>
    </w:p>
    <w:p w14:paraId="0058E987">
      <w:r>
        <w:drawing>
          <wp:inline distT="0" distB="0" distL="114300" distR="114300">
            <wp:extent cx="5271135" cy="2816860"/>
            <wp:effectExtent l="0" t="0" r="5715" b="2540"/>
            <wp:docPr id="27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D045A"/>
    <w:p w14:paraId="00B89216">
      <w:pPr>
        <w:rPr>
          <w:rFonts w:hint="default"/>
          <w:b/>
          <w:bCs/>
          <w:lang w:val="ru-RU"/>
        </w:rPr>
      </w:pPr>
      <w:bookmarkStart w:id="0" w:name="_GoBack"/>
      <w:r>
        <w:rPr>
          <w:rFonts w:hint="default"/>
          <w:b/>
          <w:bCs/>
          <w:lang w:val="ru-RU"/>
        </w:rPr>
        <w:t>Вывод: Одна сессия может удерживать блокировку, а другая — ожидать её освобождения. Системные представления SQL Server позволяют определить, какая сессия блокирует другую.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8219BC"/>
    <w:rsid w:val="5449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124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2026-09-25T09:16:37Z</dcterms:created>
  <dc:creator>user</dc:creator>
  <cp:lastModifiedBy>user</cp:lastModifiedBy>
  <dcterms:modified xsi:type="dcterms:W3CDTF">2026-09-25T11:21:55Z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KSOTemplateDocerSaveRecord">
    <vt:lpwstr>eyJoZGlkIjoiZDQ0N2NlYjQ4NTM1Y2EyNGVjMWU4ZTZjYjY1MzkwNjQifQ==</vt:lpwstr>
  </property>
  <property fmtid="{D5CDD505-2E9C-101B-9397-08002B2CF9AE}" pid="4" name="ICV">
    <vt:lpwstr>F67F0247C2224FAA991FF46715007E55_13</vt:lpwstr>
  </property>
</Properties>
</file>