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172AE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CROSS APPLY </w:t>
      </w:r>
    </w:p>
    <w:p w14:paraId="411D5C87">
      <w:pPr>
        <w:numPr>
          <w:numId w:val="0"/>
        </w:numPr>
      </w:pPr>
      <w:r>
        <w:drawing>
          <wp:inline distT="0" distB="0" distL="114300" distR="114300">
            <wp:extent cx="3408045" cy="4839335"/>
            <wp:effectExtent l="0" t="0" r="1905" b="184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483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D20F7">
      <w:pPr>
        <w:numPr>
          <w:numId w:val="0"/>
        </w:numPr>
      </w:pPr>
    </w:p>
    <w:p w14:paraId="308A5E1B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2.OUTER APPLY</w:t>
      </w:r>
    </w:p>
    <w:p w14:paraId="17A9F2DC">
      <w:pPr>
        <w:numPr>
          <w:numId w:val="0"/>
        </w:numPr>
        <w:ind w:leftChars="0"/>
      </w:pPr>
      <w:r>
        <w:drawing>
          <wp:inline distT="0" distB="0" distL="114300" distR="114300">
            <wp:extent cx="2715895" cy="3415030"/>
            <wp:effectExtent l="0" t="0" r="8255" b="139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0D37B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3.1 Классический метод 1 </w:t>
      </w:r>
      <w:r>
        <w:rPr>
          <w:rFonts w:hint="default"/>
          <w:b/>
          <w:bCs/>
          <w:sz w:val="24"/>
          <w:szCs w:val="24"/>
          <w:lang w:val="ru-RU"/>
        </w:rPr>
        <w:t>-</w:t>
      </w:r>
      <w:r>
        <w:rPr>
          <w:rFonts w:hint="default"/>
          <w:b/>
          <w:bCs/>
          <w:sz w:val="24"/>
          <w:szCs w:val="24"/>
          <w:lang w:val="en-US"/>
        </w:rPr>
        <w:t xml:space="preserve"> JOIN + подзапрос</w:t>
      </w:r>
    </w:p>
    <w:p w14:paraId="2DCFADC3">
      <w:pPr>
        <w:numPr>
          <w:numId w:val="0"/>
        </w:numPr>
      </w:pPr>
      <w:r>
        <w:drawing>
          <wp:inline distT="0" distB="0" distL="114300" distR="114300">
            <wp:extent cx="5000625" cy="5438775"/>
            <wp:effectExtent l="0" t="0" r="9525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E6DC">
      <w:pPr>
        <w:numPr>
          <w:numId w:val="0"/>
        </w:numPr>
      </w:pPr>
    </w:p>
    <w:p w14:paraId="1D9E5C33">
      <w:pPr>
        <w:numPr>
          <w:numId w:val="0"/>
        </w:numPr>
      </w:pPr>
    </w:p>
    <w:p w14:paraId="3B75D3B7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3.2 Классический метод 2 </w:t>
      </w:r>
      <w:r>
        <w:rPr>
          <w:rFonts w:hint="default"/>
          <w:b/>
          <w:bCs/>
          <w:sz w:val="24"/>
          <w:szCs w:val="24"/>
          <w:lang w:val="ru-RU"/>
        </w:rPr>
        <w:t>-</w:t>
      </w:r>
      <w:r>
        <w:rPr>
          <w:rFonts w:hint="default"/>
          <w:b/>
          <w:bCs/>
          <w:sz w:val="24"/>
          <w:szCs w:val="24"/>
          <w:lang w:val="en-US"/>
        </w:rPr>
        <w:t xml:space="preserve"> коррелированный подзапрос</w:t>
      </w:r>
    </w:p>
    <w:p w14:paraId="10B21A13">
      <w:pPr>
        <w:numPr>
          <w:numId w:val="0"/>
        </w:numPr>
      </w:pPr>
      <w:r>
        <w:drawing>
          <wp:inline distT="0" distB="0" distL="114300" distR="114300">
            <wp:extent cx="2278380" cy="2675255"/>
            <wp:effectExtent l="0" t="0" r="7620" b="1079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E9BC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3.3 Классический метод 3 </w:t>
      </w:r>
      <w:r>
        <w:rPr>
          <w:rFonts w:hint="default"/>
          <w:b/>
          <w:bCs/>
          <w:sz w:val="24"/>
          <w:szCs w:val="24"/>
          <w:lang w:val="ru-RU"/>
        </w:rPr>
        <w:t>-</w:t>
      </w:r>
      <w:r>
        <w:rPr>
          <w:rFonts w:hint="default"/>
          <w:b/>
          <w:bCs/>
          <w:sz w:val="24"/>
          <w:szCs w:val="24"/>
          <w:lang w:val="en-US"/>
        </w:rPr>
        <w:t xml:space="preserve"> CTE</w:t>
      </w:r>
    </w:p>
    <w:p w14:paraId="5471A479">
      <w:pPr>
        <w:numPr>
          <w:numId w:val="0"/>
        </w:numPr>
      </w:pPr>
      <w:r>
        <w:drawing>
          <wp:inline distT="0" distB="0" distL="114300" distR="114300">
            <wp:extent cx="3447415" cy="4018915"/>
            <wp:effectExtent l="0" t="0" r="635" b="6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7415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1A680">
      <w:pPr>
        <w:numPr>
          <w:numId w:val="0"/>
        </w:numPr>
      </w:pPr>
    </w:p>
    <w:p w14:paraId="72CCFC5D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3.4 Классический метод</w:t>
      </w:r>
      <w:r>
        <w:rPr>
          <w:rFonts w:hint="default"/>
          <w:b/>
          <w:bCs/>
          <w:sz w:val="24"/>
          <w:szCs w:val="24"/>
          <w:lang w:val="ru-RU"/>
        </w:rPr>
        <w:t xml:space="preserve"> </w:t>
      </w:r>
      <w:r>
        <w:rPr>
          <w:rFonts w:hint="default"/>
          <w:b/>
          <w:bCs/>
          <w:sz w:val="24"/>
          <w:szCs w:val="24"/>
          <w:lang w:val="en-US"/>
        </w:rPr>
        <w:t xml:space="preserve">4 </w:t>
      </w:r>
      <w:r>
        <w:rPr>
          <w:rFonts w:hint="default"/>
          <w:b/>
          <w:bCs/>
          <w:sz w:val="24"/>
          <w:szCs w:val="24"/>
          <w:lang w:val="ru-RU"/>
        </w:rPr>
        <w:t>-</w:t>
      </w:r>
      <w:r>
        <w:rPr>
          <w:rFonts w:hint="default"/>
          <w:b/>
          <w:bCs/>
          <w:sz w:val="24"/>
          <w:szCs w:val="24"/>
          <w:lang w:val="en-US"/>
        </w:rPr>
        <w:t xml:space="preserve"> GROUPING SETS</w:t>
      </w:r>
    </w:p>
    <w:p w14:paraId="3BB68764">
      <w:pPr>
        <w:numPr>
          <w:numId w:val="0"/>
        </w:numPr>
      </w:pPr>
      <w:r>
        <w:drawing>
          <wp:inline distT="0" distB="0" distL="114300" distR="114300">
            <wp:extent cx="2896870" cy="4246245"/>
            <wp:effectExtent l="0" t="0" r="17780" b="190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687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19A20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3.5 Классический метод 5 </w:t>
      </w:r>
      <w:r>
        <w:rPr>
          <w:rFonts w:hint="default"/>
          <w:b/>
          <w:bCs/>
          <w:sz w:val="24"/>
          <w:szCs w:val="24"/>
          <w:lang w:val="ru-RU"/>
        </w:rPr>
        <w:t>-</w:t>
      </w:r>
      <w:r>
        <w:rPr>
          <w:rFonts w:hint="default"/>
          <w:b/>
          <w:bCs/>
          <w:sz w:val="24"/>
          <w:szCs w:val="24"/>
          <w:lang w:val="en-US"/>
        </w:rPr>
        <w:t xml:space="preserve"> ROLLUP</w:t>
      </w:r>
    </w:p>
    <w:p w14:paraId="25CED844">
      <w:pPr>
        <w:numPr>
          <w:numId w:val="0"/>
        </w:numPr>
      </w:pPr>
      <w:r>
        <w:drawing>
          <wp:inline distT="0" distB="0" distL="114300" distR="114300">
            <wp:extent cx="2315845" cy="4812030"/>
            <wp:effectExtent l="0" t="0" r="8255" b="762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5845" cy="481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FC49E">
      <w:pPr>
        <w:numPr>
          <w:numId w:val="0"/>
        </w:numPr>
      </w:pPr>
    </w:p>
    <w:p w14:paraId="52B1C931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4.1 Оконная функция 1 </w:t>
      </w:r>
      <w:r>
        <w:rPr>
          <w:rFonts w:hint="default"/>
          <w:b/>
          <w:bCs/>
          <w:sz w:val="24"/>
          <w:szCs w:val="24"/>
          <w:lang w:val="ru-RU"/>
        </w:rPr>
        <w:t>-</w:t>
      </w:r>
      <w:r>
        <w:rPr>
          <w:rFonts w:hint="default"/>
          <w:b/>
          <w:bCs/>
          <w:sz w:val="24"/>
          <w:szCs w:val="24"/>
          <w:lang w:val="en-US"/>
        </w:rPr>
        <w:t xml:space="preserve"> SUM() OVER</w:t>
      </w:r>
    </w:p>
    <w:p w14:paraId="5EE7C4FF">
      <w:pPr>
        <w:numPr>
          <w:numId w:val="0"/>
        </w:numPr>
      </w:pPr>
      <w:r>
        <w:drawing>
          <wp:inline distT="0" distB="0" distL="114300" distR="114300">
            <wp:extent cx="2683510" cy="3333750"/>
            <wp:effectExtent l="0" t="0" r="254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9F5FF">
      <w:pPr>
        <w:numPr>
          <w:numId w:val="0"/>
        </w:numPr>
      </w:pPr>
    </w:p>
    <w:p w14:paraId="398C33CD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ru-RU"/>
        </w:rPr>
        <w:t>4</w:t>
      </w:r>
      <w:r>
        <w:rPr>
          <w:rFonts w:hint="default"/>
          <w:b/>
          <w:bCs/>
          <w:sz w:val="24"/>
          <w:szCs w:val="24"/>
          <w:lang w:val="en-US"/>
        </w:rPr>
        <w:t>.2 Оконный метод - SUM + COUNT</w:t>
      </w:r>
    </w:p>
    <w:p w14:paraId="4C407A86">
      <w:pPr>
        <w:numPr>
          <w:numId w:val="0"/>
        </w:numPr>
      </w:pPr>
      <w:r>
        <w:drawing>
          <wp:inline distT="0" distB="0" distL="114300" distR="114300">
            <wp:extent cx="2710815" cy="4074795"/>
            <wp:effectExtent l="0" t="0" r="13335" b="190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103F">
      <w:pPr>
        <w:numPr>
          <w:numId w:val="0"/>
        </w:numPr>
      </w:pPr>
      <w:bookmarkStart w:id="0" w:name="_GoBack"/>
      <w:bookmarkEnd w:id="0"/>
    </w:p>
    <w:p w14:paraId="7E64FA69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4.3 Оконный метод - ROW_NUMBER, RANK, DENSE_RANK</w:t>
      </w:r>
    </w:p>
    <w:p w14:paraId="4B5CA081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3218180" cy="4222750"/>
            <wp:effectExtent l="0" t="0" r="1270" b="635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4DBAC2"/>
    <w:multiLevelType w:val="singleLevel"/>
    <w:tmpl w:val="E54DBA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C22AF"/>
    <w:rsid w:val="1496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2026-09-18T10:47:06Z</dcterms:created>
  <dc:creator>user</dc:creator>
  <cp:lastModifiedBy>user</cp:lastModifiedBy>
  <dcterms:modified xsi:type="dcterms:W3CDTF">2026-09-18T11:22:19Z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878FBD86592A4226A3800C3E8D8BDCCD_13</vt:lpwstr>
  </property>
</Properties>
</file>