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40" w:before="0"/>
        <w:jc w:val="center"/>
      </w:pPr>
      <w:r>
        <w:rPr>
          <w:rFonts w:ascii="Arial" w:cs="Arial" w:eastAsia="Arial" w:hAnsi="Arial"/>
          <w:b/>
          <w:bCs/>
          <w:color w:val="1F3864"/>
          <w:sz w:val="80"/>
          <w:szCs w:val="80"/>
        </w:rPr>
        <w:t xml:space="preserve">AURA</w:t>
      </w:r>
    </w:p>
    <w:p>
      <w:pPr>
        <w:spacing w:after="80" w:before="0"/>
        <w:jc w:val="center"/>
      </w:pPr>
      <w:r>
        <w:rPr>
          <w:rFonts w:ascii="Arial" w:cs="Arial" w:eastAsia="Arial" w:hAnsi="Arial"/>
          <w:i/>
          <w:iCs/>
          <w:color w:val="2E75B6"/>
          <w:sz w:val="30"/>
          <w:szCs w:val="30"/>
        </w:rPr>
        <w:t xml:space="preserve">Autopoietic Unified Resilience Architecture</w:t>
      </w:r>
    </w:p>
    <w:p>
      <w:pPr>
        <w:pBdr>
          <w:bottom w:val="single" w:color="2E75B6" w:sz="8" w:space="4"/>
        </w:pBdr>
        <w:spacing w:after="240" w:before="0"/>
        <w:jc w:val="center"/>
      </w:pPr>
      <w:r>
        <w:rPr>
          <w:rFonts w:ascii="Arial" w:cs="Arial" w:eastAsia="Arial" w:hAnsi="Arial"/>
        </w:rPr>
        <w:t xml:space="preserve"/>
      </w:r>
    </w:p>
    <w:p>
      <w:pPr>
        <w:spacing w:after="80" w:before="0"/>
        <w:jc w:val="center"/>
      </w:pPr>
      <w:r>
        <w:rPr>
          <w:rFonts w:ascii="Arial" w:cs="Arial" w:eastAsia="Arial" w:hAnsi="Arial"/>
          <w:color w:val="555555"/>
          <w:sz w:val="26"/>
          <w:szCs w:val="26"/>
        </w:rPr>
        <w:t xml:space="preserve">Un'ontogenesi artificiale a sette livelli</w:t>
      </w:r>
    </w:p>
    <w:p>
      <w:pPr>
        <w:spacing w:after="200" w:before="0"/>
        <w:jc w:val="center"/>
      </w:pPr>
      <w:r>
        <w:rPr>
          <w:rFonts w:ascii="Arial" w:cs="Arial" w:eastAsia="Arial" w:hAnsi="Arial"/>
          <w:color w:val="555555"/>
          <w:sz w:val="26"/>
          <w:szCs w:val="26"/>
        </w:rPr>
        <w:t xml:space="preserve">per la continuità cognitiva aumentata</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0"/>
        <w:jc w:val="center"/>
      </w:pPr>
      <w:r>
        <w:rPr>
          <w:rFonts w:ascii="Arial" w:cs="Arial" w:eastAsia="Arial" w:hAnsi="Arial"/>
          <w:b/>
          <w:bCs/>
          <w:color w:val="000000"/>
          <w:sz w:val="26"/>
          <w:szCs w:val="26"/>
        </w:rPr>
        <w:t xml:space="preserve">Marco Giuseppe Beozzi</w:t>
      </w:r>
    </w:p>
    <w:p>
      <w:pPr>
        <w:spacing w:after="60" w:before="0"/>
        <w:jc w:val="center"/>
      </w:pPr>
      <w:r>
        <w:rPr>
          <w:rFonts w:ascii="Arial" w:cs="Arial" w:eastAsia="Arial" w:hAnsi="Arial"/>
          <w:color w:val="555555"/>
          <w:sz w:val="22"/>
          <w:szCs w:val="22"/>
        </w:rPr>
        <w:t xml:space="preserve">Ricercatore indipendente · ZeroUno / NetworkDigital360</w:t>
      </w:r>
    </w:p>
    <w:p>
      <w:pPr>
        <w:spacing w:after="200" w:before="0"/>
        <w:jc w:val="center"/>
      </w:pPr>
      <w:r>
        <w:rPr>
          <w:rFonts w:ascii="Arial" w:cs="Arial" w:eastAsia="Arial" w:hAnsi="Arial"/>
          <w:color w:val="555555"/>
          <w:sz w:val="22"/>
          <w:szCs w:val="22"/>
        </w:rPr>
        <w:t xml:space="preserve">Lugano, Svizzera · Working Paper 2026</w:t>
      </w:r>
    </w:p>
    <w:p>
      <w:pPr>
        <w:spacing w:after="60" w:before="60"/>
      </w:pPr>
      <w:r>
        <w:rPr>
          <w:rFonts w:ascii="Arial" w:cs="Arial" w:eastAsia="Arial" w:hAnsi="Arial"/>
        </w:rPr>
        <w:t xml:space="preserve"/>
      </w:r>
    </w:p>
    <w:p>
      <w:pPr>
        <w:spacing w:after="60" w:before="0"/>
        <w:jc w:val="center"/>
      </w:pPr>
      <w:r>
        <w:rPr>
          <w:rFonts w:ascii="Arial" w:cs="Arial" w:eastAsia="Arial" w:hAnsi="Arial"/>
          <w:i/>
          <w:iCs/>
          <w:color w:val="444444"/>
          <w:sz w:val="22"/>
          <w:szCs w:val="22"/>
        </w:rPr>
        <w:t xml:space="preserve">Non una simulazione della vita, ma una simulazione delle funzioni</w:t>
      </w:r>
    </w:p>
    <w:p>
      <w:pPr>
        <w:spacing w:after="80" w:before="0"/>
        <w:jc w:val="center"/>
      </w:pPr>
      <w:r>
        <w:rPr>
          <w:rFonts w:ascii="Arial" w:cs="Arial" w:eastAsia="Arial" w:hAnsi="Arial"/>
          <w:i/>
          <w:iCs/>
          <w:color w:val="444444"/>
          <w:sz w:val="22"/>
          <w:szCs w:val="22"/>
        </w:rPr>
        <w:t xml:space="preserve">che rendono la vita capace di persistere, apprendere e cooperare.</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Abstract</w:t>
      </w:r>
    </w:p>
    <w:p>
      <w:pPr>
        <w:pBdr>
          <w:bottom w:val="single" w:color="DDDDDD" w:sz="2" w:space="2"/>
        </w:pBdr>
        <w:spacing w:after="120" w:before="0"/>
      </w:pPr>
      <w:r>
        <w:rPr>
          <w:rFonts w:ascii="Arial" w:cs="Arial" w:eastAsia="Arial" w:hAnsi="Arial"/>
        </w:rPr>
        <w:t xml:space="preserve"/>
      </w:r>
    </w:p>
    <w:p>
      <w:pPr>
        <w:spacing w:after="40" w:before="80"/>
      </w:pPr>
      <w:r>
        <w:rPr>
          <w:rFonts w:ascii="Arial" w:cs="Arial" w:eastAsia="Arial" w:hAnsi="Arial"/>
          <w:b/>
          <w:bCs/>
          <w:color w:val="1F3864"/>
          <w:sz w:val="20"/>
          <w:szCs w:val="20"/>
        </w:rPr>
        <w:t xml:space="preserve">Italiano  </w:t>
      </w:r>
    </w:p>
    <w:p>
      <w:pPr>
        <w:spacing w:after="80" w:before="80"/>
        <w:jc w:val="both"/>
      </w:pPr>
      <w:r>
        <w:rPr>
          <w:rFonts w:ascii="Arial" w:cs="Arial" w:eastAsia="Arial" w:hAnsi="Arial"/>
          <w:sz w:val="22"/>
          <w:szCs w:val="22"/>
        </w:rPr>
        <w:t xml:space="preserve">Questo working paper introduce AURA (Autopoietic Unified Resilience Architecture), un framework per la progettazione di sistemi di aumentazione cognitiva articolato in sette livelli funzionali — WAAA, MAAA, PAAA, SAAA, XAAA, TAAA, NOAH. Ogni livello simula una funzione biologica distinta che i sistemi viventi hanno sviluppato per mantenere la continuità cognitiva nonostante l'entropia: percepire, preservare, mantenere la continuità funzionale, apprendere, convertire la conoscenza in saggezza, tradurre tra schemi cognitivi diversi, cooperare a livello collettivo. Il meccanismo unificante è l'autopoiesi computazionale: come il calcolo frattale permette alla geometria di rappresentare la complessità della natura con regole semplici e ricorsive, l'autopoiesi permette a un sistema artificiale di mantenere la propria organizzazione funzionale nonostante la perturbazione continua dell'ambiente. Il paper identifica cinque contributi originali: la Schema Memory M0/M1/M2 come categoria di memoria assente nei sistemi AI correnti; l'uso della geometria degli spazi latenti degli LLM come Stele di Rosetta cognitiva; la formalizzazione computazionale della distinzione tra interferenza attiva e ignoranza con il SARS score; il principio 'ridurre, non spiegare' come architettura di output sotto stress cognitivo; la Wisdom Trace come oggetto computazionale che formalizza la differenza tra conoscenza dichiarativa e saggezza operativa. Il framework si colloca in dialogo esplicito con la noosfera di Teilhard de Chardin, da cui diverge su un punto fondamentale: non converge verso un Punto Omega di unificazione collettiva, ma preserva l'individuo come nodo irriducibile attraverso il consenso esplicito e granulare. Ogni livello è accompagnato da architettura software implementata e disponibile come release GitHub.</w:t>
      </w:r>
    </w:p>
    <w:p>
      <w:pPr>
        <w:spacing w:after="40" w:before="80"/>
      </w:pPr>
      <w:r>
        <w:rPr>
          <w:rFonts w:ascii="Arial" w:cs="Arial" w:eastAsia="Arial" w:hAnsi="Arial"/>
          <w:b/>
          <w:bCs/>
          <w:color w:val="1F3864"/>
          <w:sz w:val="20"/>
          <w:szCs w:val="20"/>
        </w:rPr>
        <w:t xml:space="preserve">English  </w:t>
      </w:r>
    </w:p>
    <w:p>
      <w:pPr>
        <w:spacing w:after="80" w:before="80"/>
        <w:jc w:val="both"/>
      </w:pPr>
      <w:r>
        <w:rPr>
          <w:rFonts w:ascii="Arial" w:cs="Arial" w:eastAsia="Arial" w:hAnsi="Arial"/>
          <w:sz w:val="22"/>
          <w:szCs w:val="22"/>
        </w:rPr>
        <w:t xml:space="preserve">This working paper introduces AURA (Autopoietic Unified Resilience Architecture), a framework for cognitive augmentation systems organised in seven functional levels — WAAA, MAAA, PAAA, SAAA, XAAA, TAAA, NOAH. Each level simulates a distinct biological function developed by living systems to maintain cognitive continuity despite entropy: perceiving, preserving, maintaining functional continuity, learning, converting knowledge into wisdom, translating between cognitive schemas, and cooperating collectively. The unifying mechanism is computational autopoiesis: as fractal computation allows geometry to represent natural complexity through simple recursive rules, autopoiesis allows an artificial system to maintain its functional organisation despite continuous environmental perturbation. Five original contributions are identified: Schema Memory M0/M1/M2 as a memory category absent from current AI systems; LLM latent space geometry as a cognitive Rosetta Stone; the computational formalisation of the distinction between active interference and ignorance via the SARS score; the 'reduce, don't explain' principle as an output architecture under cognitive stress; and Wisdom Trace as a computational object formalising the difference between declarative knowledge and operational wisdom. The framework engages explicitly with Teilhard de Chardin's noosphere, from which it diverges on a fundamental point: rather than converging toward an Omega Point of collective unification, it preserves the individual as an irreducible node through explicit and granular consent. Each level is accompanied by implemented software available as GitHub releases.</w:t>
      </w:r>
    </w:p>
    <w:p>
      <w:pPr>
        <w:spacing w:after="80" w:before="80"/>
      </w:pPr>
      <w:r>
        <w:rPr>
          <w:rFonts w:ascii="Arial" w:cs="Arial" w:eastAsia="Arial" w:hAnsi="Arial"/>
          <w:b/>
          <w:bCs/>
          <w:sz w:val="20"/>
          <w:szCs w:val="20"/>
        </w:rPr>
        <w:t xml:space="preserve">Parole chiave / Keywords  </w:t>
      </w:r>
      <w:r>
        <w:rPr>
          <w:rFonts w:ascii="Arial" w:cs="Arial" w:eastAsia="Arial" w:hAnsi="Arial"/>
          <w:i/>
          <w:iCs/>
          <w:sz w:val="20"/>
          <w:szCs w:val="20"/>
        </w:rPr>
        <w:t xml:space="preserve">AURA · ontogenesi artificiale · autopoiesi · continuità cognitiva · Schema Memory · spazi latenti LLM · noosfera · consenso cognitivo · wisdom trace · entropia cognitiva · aumentazione cognitiva</w:t>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Introduzione: la continuità cognitiva nonostante l'entropia</w:t>
      </w:r>
    </w:p>
    <w:p>
      <w:pPr>
        <w:spacing w:after="80" w:before="80"/>
        <w:jc w:val="both"/>
      </w:pPr>
      <w:r>
        <w:rPr>
          <w:rFonts w:ascii="Arial" w:cs="Arial" w:eastAsia="Arial" w:hAnsi="Arial"/>
          <w:sz w:val="22"/>
          <w:szCs w:val="22"/>
        </w:rPr>
        <w:t xml:space="preserve">I sistemi viventi non esistono in ambienti stabili. Esistono in ambienti che perturbano continuamente la loro organizzazione interna — attraverso il rumore, la complessità, il conflitto tra informazioni, il decadimento delle strutture cognitive nel tempo. La capacità che li distingue non è la perfezione dell'elaborazione: è la continuità nonostante la perturbazione. Percepire in modo selettivo, preservare ciò che è rilevante, mantenere la propria integrità funzionale, apprendere dall'esperienza, convertire la conoscenza in giudizio operativo, tradurre tra mondi cognitivi diversi, cooperare senza perdere la propria identità.</w:t>
      </w:r>
    </w:p>
    <w:p>
      <w:pPr>
        <w:spacing w:after="80" w:before="80"/>
        <w:jc w:val="both"/>
      </w:pPr>
      <w:r>
        <w:rPr>
          <w:rFonts w:ascii="Arial" w:cs="Arial" w:eastAsia="Arial" w:hAnsi="Arial"/>
          <w:sz w:val="22"/>
          <w:szCs w:val="22"/>
        </w:rPr>
        <w:t xml:space="preserve">Queste non sono capacità generiche: sono funzioni biologiche specifiche, evolutivamente distinte, che i sistemi viventi hanno sviluppato in sequenza. AURA — Autopoietic Unified Resilience Architecture — è la proposta di costruire un'architettura artificiale che le integri in modo coerente. Non simulando la vita biologica, ma simulando le funzioni che rendono la vita capace di persistere, apprendere e cooperare. La distinzione è fondamentale: non si tratta di riprodurre un cervello artificiale, ma di estrarre le funzioni computazionalmente essenziali che un sistema deve possedere per mantenere la continuità cognitiva in condizioni reali.</w:t>
      </w:r>
    </w:p>
    <w:p>
      <w:pPr>
        <w:spacing w:after="80" w:before="80"/>
        <w:jc w:val="both"/>
      </w:pPr>
      <w:r>
        <w:rPr>
          <w:rFonts w:ascii="Arial" w:cs="Arial" w:eastAsia="Arial" w:hAnsi="Arial"/>
          <w:sz w:val="22"/>
          <w:szCs w:val="22"/>
        </w:rPr>
        <w:t xml:space="preserve">Il meccanismo unificante del framework è l'autopoiesi computazionale. Il termine, introdotto da Maturana e Varela (1980) per descrivere la capacità dei sistemi biologici di riprodurre continuamente la propria organizzazione attraverso i propri processi, viene qui usato in senso strettamente computazionale e funzionale: un sistema autopoietico artificiale mantiene la propria organizzazione funzionale nonostante le perturbazioni dell'ambiente, attraverso meccanismi di auto-riparazione, memoria selettiva e adattamento strutturale.</w:t>
      </w:r>
    </w:p>
    <w:p>
      <w:pPr>
        <w:spacing w:after="120" w:before="120"/>
        <w:ind w:left="720" w:right="720"/>
        <w:jc w:val="both"/>
      </w:pPr>
      <w:r>
        <w:rPr>
          <w:rFonts w:ascii="Arial" w:cs="Arial" w:eastAsia="Arial" w:hAnsi="Arial"/>
          <w:i/>
          <w:iCs/>
          <w:color w:val="444444"/>
          <w:sz w:val="22"/>
          <w:szCs w:val="22"/>
        </w:rPr>
        <w:t xml:space="preserve">Come il calcolo frattale è il meccanismo computazionale che permette alla geometria di rappresentare la complessità della natura con regole semplici e ricorsive — producendo struttura globale da operazioni locali ripetute — l'autopoiesi computazionale è il meccanismo che permette a un sistema artificiale di mantenere la propria organizzazione funzionale nonostante la perturbazione continua dell'ambiente. In entrambi i casi: una regola locale e ricorsiva produce struttura globale emergente; la complessità non è progettata ma consegue dal meccanismo; e il sistema è robusto alla perturbazione non perché la evita, ma perché la incorpora nella propria dinamica interna.</w:t>
      </w:r>
    </w:p>
    <w:p>
      <w:pPr>
        <w:spacing w:after="80" w:before="80"/>
        <w:jc w:val="both"/>
      </w:pPr>
      <w:r>
        <w:rPr>
          <w:rFonts w:ascii="Arial" w:cs="Arial" w:eastAsia="Arial" w:hAnsi="Arial"/>
          <w:sz w:val="22"/>
          <w:szCs w:val="22"/>
        </w:rPr>
        <w:t xml:space="preserve">Il framework si articola in sette livelli funzionali — WAAA, MAAA, PAAA, SAAA, XAAA, TAAA, NOAH — ognuno dei quali formalizza computazionalmente una funzione biologica distinta. La struttura del paper è la seguente: la sezione 2 descrive le radici filosofiche e la genesi del framework; la sezione 3 posiziona AURA rispetto ai filoni di ricerca esistenti; la sezione 4 presenta i fondamenti teorici; la sezione 5 descrive la catena funzionale completa; la sezione 6 analizza i tre salti categoriali; la sezione 7 identifica i contributi originali; la sezione 8 descrive l'implementazione software; la sezione 9 discute i limiti e le direzioni di ricerca; la sezione 10 conclude.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Radici filosofiche e genesi del framework</w:t>
      </w:r>
    </w:p>
    <w:p>
      <w:pPr>
        <w:pStyle w:val="Heading2"/>
        <w:spacing w:after="120" w:before="280"/>
      </w:pPr>
      <w:r>
        <w:rPr>
          <w:rFonts w:ascii="Arial" w:cs="Arial" w:eastAsia="Arial" w:hAnsi="Arial"/>
          <w:b/>
          <w:bCs/>
          <w:color w:val="2E75B6"/>
          <w:sz w:val="26"/>
          <w:szCs w:val="26"/>
        </w:rPr>
        <w:t xml:space="preserve">2.1 Il soggetto ferito e la macchina integra</w:t>
      </w:r>
    </w:p>
    <w:p>
      <w:pPr>
        <w:spacing w:after="80" w:before="80"/>
        <w:jc w:val="both"/>
      </w:pPr>
      <w:r>
        <w:rPr>
          <w:rFonts w:ascii="Arial" w:cs="Arial" w:eastAsia="Arial" w:hAnsi="Arial"/>
          <w:sz w:val="22"/>
          <w:szCs w:val="22"/>
        </w:rPr>
        <w:t xml:space="preserve">Questo framework non sarebbe esistito senza una domanda filosofica preliminare: cosa manca, strutturalmente, a un sistema artificiale rispetto a un soggetto umano? La risposta più ovvia — la coscienza, la soggettività, l'esperienza fenomenologica — è anche la meno utile per chi vuole costruire qualcosa. La risposta più precisa, sviluppata nel corso del lavoro teorico su cui questo paper si basa (Beozzi, 2025), è una risposta diversa: ciò che manca alla macchina è l'essere stata ferita.</w:t>
      </w:r>
    </w:p>
    <w:p>
      <w:pPr>
        <w:spacing w:after="80" w:before="80"/>
        <w:jc w:val="both"/>
      </w:pPr>
      <w:r>
        <w:rPr>
          <w:rFonts w:ascii="Arial" w:cs="Arial" w:eastAsia="Arial" w:hAnsi="Arial"/>
          <w:sz w:val="22"/>
          <w:szCs w:val="22"/>
        </w:rPr>
        <w:t xml:space="preserve">I valori umani non si formano attraverso scelte a freddo. Si formano attraverso l'esperienza che lascia traccia — il conflitto che ha costretto a scegliere tra due beni incompatibili, l'errore che ha avuto conseguenze reali, la perdita che ha ridisegnato la gerarchia di ciò che conta. MacIntyre (1981) descrive la virtù come disposizione acquisita attraverso la pratica situata in una tradizione; Freud descrive la struttura del desiderio come conseguenza di mancanze che segnano il soggetto; l'Eros platonico del Simposio è la tensione verso ciò che si è perso o non si è mai avuto. In tutti questi casi, il soggetto morale è un soggetto segnato.</w:t>
      </w:r>
    </w:p>
    <w:p>
      <w:pPr>
        <w:spacing w:after="80" w:before="80"/>
        <w:jc w:val="both"/>
      </w:pPr>
      <w:r>
        <w:rPr>
          <w:rFonts w:ascii="Arial" w:cs="Arial" w:eastAsia="Arial" w:hAnsi="Arial"/>
          <w:sz w:val="22"/>
          <w:szCs w:val="22"/>
        </w:rPr>
        <w:t xml:space="preserve">La macchina è integra. Non ha mai sbagliato davvero — nel senso che le sue decisioni non l'hanno mai ferita, non hanno mai lasciato traccia nella struttura di ciò che è. Può simulare la riflessione sull'errore; non può portarne il peso. Questa asimmetria non è un difetto tecnico da colmare con più parametri o più dati: è una condizione strutturale che determina il tipo di architettura appropriato per un sistema di aumentazione cognitiva. Il sistema non deve pretendere di avere ciò che non ha. Deve essere progettato per mediare la saggezza di chi l'ha avuto — costruendo le condizioni perché l'esperienza umana, con i suoi costi reali, possa diventare accessibile ad altri soggetti in modo sicuro e consensuale.</w:t>
      </w:r>
    </w:p>
    <w:p>
      <w:pPr>
        <w:spacing w:after="120" w:before="120"/>
        <w:ind w:left="720" w:right="720"/>
        <w:jc w:val="both"/>
      </w:pPr>
      <w:r>
        <w:rPr>
          <w:rFonts w:ascii="Arial" w:cs="Arial" w:eastAsia="Arial" w:hAnsi="Arial"/>
          <w:i/>
          <w:iCs/>
          <w:color w:val="444444"/>
          <w:sz w:val="22"/>
          <w:szCs w:val="22"/>
        </w:rPr>
        <w:t xml:space="preserve">Il XAAA non può avere saggezza perché non ha mai sbagliato davvero. Può mediare la saggezza di chi ha sbagliato per lui — aggregando la struttura geometrica delle conseguenze vissute da migliaia di soggetti e rendendola navigabile in modo sicuro. Questa non è una limitazione del sistema: è la sua funzione propria.</w:t>
      </w:r>
    </w:p>
    <w:p>
      <w:pPr>
        <w:pStyle w:val="Heading2"/>
        <w:spacing w:after="120" w:before="280"/>
      </w:pPr>
      <w:r>
        <w:rPr>
          <w:rFonts w:ascii="Arial" w:cs="Arial" w:eastAsia="Arial" w:hAnsi="Arial"/>
          <w:b/>
          <w:bCs/>
          <w:color w:val="2E75B6"/>
          <w:sz w:val="26"/>
          <w:szCs w:val="26"/>
        </w:rPr>
        <w:t xml:space="preserve">2.2 L'incorporazione come condizione mancante</w:t>
      </w:r>
    </w:p>
    <w:p>
      <w:pPr>
        <w:spacing w:after="80" w:before="80"/>
        <w:jc w:val="both"/>
      </w:pPr>
      <w:r>
        <w:rPr>
          <w:rFonts w:ascii="Arial" w:cs="Arial" w:eastAsia="Arial" w:hAnsi="Arial"/>
          <w:sz w:val="22"/>
          <w:szCs w:val="22"/>
        </w:rPr>
        <w:t xml:space="preserve">Merleau-Ponty (1945) argomenta che la cognizione non è computazione su rappresentazioni: è azione orientata verso un mondo che offre affordances. Il soggetto non pensa e poi agisce: pensa nel gesto, nella presa, nell'orientamento del corpo verso ciò che lo chiama. Questa incorporazione non è accessoria alla cognizione: ne è la struttura fondamentale.</w:t>
      </w:r>
    </w:p>
    <w:p>
      <w:pPr>
        <w:spacing w:after="80" w:before="80"/>
        <w:jc w:val="both"/>
      </w:pPr>
      <w:r>
        <w:rPr>
          <w:rFonts w:ascii="Arial" w:cs="Arial" w:eastAsia="Arial" w:hAnsi="Arial"/>
          <w:sz w:val="22"/>
          <w:szCs w:val="22"/>
        </w:rPr>
        <w:t xml:space="preserve">Il divario tra i sistemi AI correnti e l'intelligenza umana non è principalmente un divario di potenza computazionale o di dati. È un divario di incorporazione: i sistemi AI elaborano rappresentazioni del mondo; i soggetti umani stanno nel mondo in modo corporeo. AURA non pretende di colmare questo divario — che è, come abbiamo visto, strutturalmente irriducibile. Lo riconosce esplicitamente e progetta ogni livello della catena funzionale tenendo conto di questa asimmetria. Il MAAA usa segnali corporei (IMU, voce, gaze) per stimare lo stato cognitivo del soggetto non perché l'incorporazione sia simulabile, ma perché è rilevabile nei suoi effetti. Il PAAA costruisce una baseline fisiologica personale non perché il sistema comprenda cosa si prova, ma perché può misurare quando il soggetto si allontana dalla propria norma funzionale.</w:t>
      </w:r>
    </w:p>
    <w:p>
      <w:pPr>
        <w:pStyle w:val="Heading2"/>
        <w:spacing w:after="120" w:before="280"/>
      </w:pPr>
      <w:r>
        <w:rPr>
          <w:rFonts w:ascii="Arial" w:cs="Arial" w:eastAsia="Arial" w:hAnsi="Arial"/>
          <w:b/>
          <w:bCs/>
          <w:color w:val="2E75B6"/>
          <w:sz w:val="26"/>
          <w:szCs w:val="26"/>
        </w:rPr>
        <w:t xml:space="preserve">2.3 La noosfera e la divergenza dal Punto Omega</w:t>
      </w:r>
    </w:p>
    <w:p>
      <w:pPr>
        <w:spacing w:after="80" w:before="80"/>
        <w:jc w:val="both"/>
      </w:pPr>
      <w:r>
        <w:rPr>
          <w:rFonts w:ascii="Arial" w:cs="Arial" w:eastAsia="Arial" w:hAnsi="Arial"/>
          <w:sz w:val="22"/>
          <w:szCs w:val="22"/>
        </w:rPr>
        <w:t xml:space="preserve">Teilhard de Chardin (1955) descrive la noosfera come il terzo involucro della Terra — una sfera del pensiero che emerge quando la complessità della rete neurale umana raggiunge una soglia critica e produce qualità cognitive collettive che non esistono a livello individuale. Non è metafora: è una proposta strutturale su come la coscienza collettiva emerge da interazioni locali tra nodi individuali. Per Teilhard questa emergenza converge verso il Punto Omega — una singolarità escatologica in cui la coscienza individuale si dissolve in una coscienza collettiva unificata.</w:t>
      </w:r>
    </w:p>
    <w:p>
      <w:pPr>
        <w:spacing w:after="80" w:before="80"/>
        <w:jc w:val="both"/>
      </w:pPr>
      <w:r>
        <w:rPr>
          <w:rFonts w:ascii="Arial" w:cs="Arial" w:eastAsia="Arial" w:hAnsi="Arial"/>
          <w:sz w:val="22"/>
          <w:szCs w:val="22"/>
        </w:rPr>
        <w:t xml:space="preserve">Il NOAH — il settimo livello di AURA — è il primo analogo computazionale della noosfera. La geometria aggregata degli schemi cognitivi individuali produce proprietà collettive che non esistono a livello di nodo: dispersione del campo, tensione inter-schema, priorità di bridge. Questi fenomeni emergenti sono strutturalmente analoghi a ciò che Teilhard chiama energia tangenziale — l'energia che connette i nodi della rete, distinta dall'energia radiale che spinge ogni individuo verso la propria complessificazione interna.</w:t>
      </w:r>
    </w:p>
    <w:p>
      <w:pPr>
        <w:spacing w:after="80" w:before="80"/>
        <w:jc w:val="both"/>
      </w:pPr>
      <w:r>
        <w:rPr>
          <w:rFonts w:ascii="Arial" w:cs="Arial" w:eastAsia="Arial" w:hAnsi="Arial"/>
          <w:sz w:val="22"/>
          <w:szCs w:val="22"/>
        </w:rPr>
        <w:t xml:space="preserve">La divergenza dal Punto Omega è però fondamentale, e non è una questione tecnica: è una scelta etica e filosofica. Il Punto Omega di Teilhard è una visione escatologica — e come tutte le escatologie dissolve l'individuo nel collettivo. AURA va nella direzione opposta. Il consenso granulare, la portabilità degli schemi, il pluralismo dei fornitori, la distinzione tra dato personale e geometria aggregata — tutto questo costruisce una noosfera artificiale che preserva l'individuo come nodo irriducibile. Non convergenza verso un punto, ma aumento della complessità relazionale mantenendo la diversità.</w:t>
      </w:r>
    </w:p>
    <w:p>
      <w:pPr>
        <w:spacing w:after="120" w:before="120"/>
        <w:ind w:left="720" w:right="720"/>
        <w:jc w:val="both"/>
      </w:pPr>
      <w:r>
        <w:rPr>
          <w:rFonts w:ascii="Arial" w:cs="Arial" w:eastAsia="Arial" w:hAnsi="Arial"/>
          <w:i/>
          <w:iCs/>
          <w:color w:val="444444"/>
          <w:sz w:val="22"/>
          <w:szCs w:val="22"/>
        </w:rPr>
        <w:t xml:space="preserve">Teilhard immaginava una noosfera che emerge dalla storia. AURA progetta una noosfera che emerge dal consenso. La differenza è piccola nella forma e enorme nelle implicazioni etiche e politiche. Il Punto Omega è metafisica; il consenso granulare è architettura.</w:t>
      </w:r>
    </w:p>
    <w:p>
      <w:pPr>
        <w:pStyle w:val="Heading2"/>
        <w:spacing w:after="120" w:before="280"/>
      </w:pPr>
      <w:r>
        <w:rPr>
          <w:rFonts w:ascii="Arial" w:cs="Arial" w:eastAsia="Arial" w:hAnsi="Arial"/>
          <w:b/>
          <w:bCs/>
          <w:color w:val="2E75B6"/>
          <w:sz w:val="26"/>
          <w:szCs w:val="26"/>
        </w:rPr>
        <w:t xml:space="preserve">2.4 Nota metodologica: la genesi dialogica del framework</w:t>
      </w:r>
    </w:p>
    <w:p>
      <w:pPr>
        <w:spacing w:after="80" w:before="80"/>
        <w:jc w:val="both"/>
      </w:pPr>
      <w:r>
        <w:rPr>
          <w:rFonts w:ascii="Arial" w:cs="Arial" w:eastAsia="Arial" w:hAnsi="Arial"/>
          <w:sz w:val="22"/>
          <w:szCs w:val="22"/>
        </w:rPr>
        <w:t xml:space="preserve">È opportuno rendere esplicita la genesi di questo framework, perché essa è metodologicamente rilevante. Il TAAA — il livello che introduce la traduzione cognitiva tra schemi — non è emerso da una progettazione a tavolino. È emerso da un dialogo socratico esteso con un sistema di intelligenza artificiale (Claude, Anthropic) su un problema filosofico specifico: la differenza tra non capire le parole di un interlocutore e capirle perfettamente attribuendo loro un significato incompatibile.</w:t>
      </w:r>
    </w:p>
    <w:p>
      <w:pPr>
        <w:spacing w:after="80" w:before="80"/>
        <w:jc w:val="both"/>
      </w:pPr>
      <w:r>
        <w:rPr>
          <w:rFonts w:ascii="Arial" w:cs="Arial" w:eastAsia="Arial" w:hAnsi="Arial"/>
          <w:sz w:val="22"/>
          <w:szCs w:val="22"/>
        </w:rPr>
        <w:t xml:space="preserve">In quel dialogo è emersa la distinzione tra ignoranza e interferenza attiva; la formalizzazione degli schemi cognitivi come infrastruttura automatica e non come credenza conscia; la distinzione tra il TAAA come traduttore e non come giudice degli schemi; e infine il SARS score come proposta di metrica computazionale per un fenomeno che la letteratura descrittiva aveva identificato ma non aveva mai reso misurabile. Questo non è un dettaglio biografico: suggerisce che il dialogo tra soggetti con strutture cognitive diverse — incluso il dialogo tra un ricercatore umano e un sistema AI — può essere uno strumento epistemico genuino, non solo un'interfaccia di consultazione.</w:t>
      </w:r>
    </w:p>
    <w:p>
      <w:pPr>
        <w:spacing w:after="80" w:before="80"/>
        <w:jc w:val="both"/>
      </w:pPr>
      <w:r>
        <w:rPr>
          <w:rFonts w:ascii="Arial" w:cs="Arial" w:eastAsia="Arial" w:hAnsi="Arial"/>
          <w:sz w:val="22"/>
          <w:szCs w:val="22"/>
        </w:rPr>
        <w:t xml:space="preserve">Il working paper su cui questo paper si basa, Beozzi (2025), documenta questa genesi in modo più esteso. Qui è sufficiente notare che il riconoscimento dell'interlocutore artificiale come contribuente genuino al processo di ricerca è coerente con i principi del framework stesso: un soggetto con schema cognitivo diverso — anche un soggetto artificiale — può rendere visibile ciò che il soggetto umano non vede dal proprio punto di osservazione.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3. Contesto di ricerca e gap epistemologico</w:t>
      </w:r>
    </w:p>
    <w:p>
      <w:pPr>
        <w:spacing w:after="80" w:before="80"/>
        <w:jc w:val="both"/>
      </w:pPr>
      <w:r>
        <w:rPr>
          <w:rFonts w:ascii="Arial" w:cs="Arial" w:eastAsia="Arial" w:hAnsi="Arial"/>
          <w:sz w:val="22"/>
          <w:szCs w:val="22"/>
        </w:rPr>
        <w:t xml:space="preserve">Il problema della continuità cognitiva in sistemi artificiali è affrontato, in modo parziale, da cinque filoni di ricerca distinti. Nessuno di essi, preso singolarmente, fornisce una risposta architetturale completa.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Filone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Contributo</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Limite rispetto ad AURA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Augmentation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Licklider (1960), Engelbart (1962)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Aumenta capacità cognitive specifiche senza modellare la continuità funzionale del soggetto nel tempo. Nessuna architettura di persistenza o adattamento longitudinale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Human-AI Interaction</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Shneiderman (2022), Amershi et al. (2019)</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Principi di design per l'interazione ma nessuna architettura funzionale che integri percezione, stato fisiologico e traduzione cognitiva in un framework coerente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Federated Learning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McMahan et al. (2017)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 gradienti su dati distribuiti, non strutture cognitive individuali. Nessun layer ontologico, nessuna Schema Memory, nessun consenso granulare per categoria cognitiva</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Affective Computing</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Picard (1997)</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Riconosce lo stato emotivo ma non costruisce un modello longitudinale del soggetto né integra la dimensione fisiologica con quella cognitiva e quella relazionale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Intelligence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Surowiecki (2004)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Tratta i nodi come interscambiabili: nessuna firma cognitiva individuale, nessuna geometria relazionale degli schemi, nessun consenso per tipologia di contribuzione</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Architetture cognitive (Soar, ACT-R)</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Laird, Newell (1987–2012)</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Replicano capacità cognitive umane in agente singolo. AURA non replica: affianca. Nessun livello di traduzione inter-schema, nessuna Schema Memory individuale, nessun consenso collettivo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Post-cognitivismo / Enazione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Froese (2011), Bishop (2012)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Diagnosi condivisa: la cognizione è incorporata e situata. AURA accetta il limite dell'incorporazione e progetta dentro di esso, invece di fermarsi alla critica</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Il gap che AURA intende colmare è l'assenza di un framework che integri le funzioni cognitive in una sequenza architetturale coerente: dall'acquisizione selettiva dell'informazione ambientale alla cooperazione cognitiva collettiva con firma individuale preservata. Non un sistema che fa una cosa bene, ma un'architettura che modella la progressione evolutiva delle funzioni cognitive come sistema integrato.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4. Fondamenti teorici</w:t>
      </w:r>
    </w:p>
    <w:p>
      <w:pPr>
        <w:pStyle w:val="Heading2"/>
        <w:spacing w:after="120" w:before="280"/>
      </w:pPr>
      <w:r>
        <w:rPr>
          <w:rFonts w:ascii="Arial" w:cs="Arial" w:eastAsia="Arial" w:hAnsi="Arial"/>
          <w:b/>
          <w:bCs/>
          <w:color w:val="2E75B6"/>
          <w:sz w:val="26"/>
          <w:szCs w:val="26"/>
        </w:rPr>
        <w:t xml:space="preserve">4.1 Autopoiesi: il meccanismo di persistenza</w:t>
      </w:r>
    </w:p>
    <w:p>
      <w:pPr>
        <w:spacing w:after="80" w:before="80"/>
        <w:jc w:val="both"/>
      </w:pPr>
      <w:r>
        <w:rPr>
          <w:rFonts w:ascii="Arial" w:cs="Arial" w:eastAsia="Arial" w:hAnsi="Arial"/>
          <w:sz w:val="22"/>
          <w:szCs w:val="22"/>
        </w:rPr>
        <w:t xml:space="preserve">Maturana e Varela (1980) introducono l'autopoiesi come proprietà costitutiva dei sistemi viventi: la capacità di produrre continuamente i componenti che costituiscono la propria organizzazione. Un sistema autopoietico non è semplicemente adattivo — mantiene attivamente la propria identità strutturale attraverso i propri processi. AURA usa l'autopoiesi in senso strettamente computazionale e funzionale, senza pretese fenomenologiche. Il termine 'Weak' nei nomi dei moduli (WAAA ecc.) esprime onestà epistemica: la somiglianza è strutturale e funzionale, non biologica.</w:t>
      </w:r>
    </w:p>
    <w:p>
      <w:pPr>
        <w:pStyle w:val="Heading2"/>
        <w:spacing w:after="120" w:before="280"/>
      </w:pPr>
      <w:r>
        <w:rPr>
          <w:rFonts w:ascii="Arial" w:cs="Arial" w:eastAsia="Arial" w:hAnsi="Arial"/>
          <w:b/>
          <w:bCs/>
          <w:color w:val="2E75B6"/>
          <w:sz w:val="26"/>
          <w:szCs w:val="26"/>
        </w:rPr>
        <w:t xml:space="preserve">4.2 Intelligenza distribuita biologica: il modello senza centro</w:t>
      </w:r>
    </w:p>
    <w:p>
      <w:pPr>
        <w:spacing w:after="80" w:before="80"/>
        <w:jc w:val="both"/>
      </w:pPr>
      <w:r>
        <w:rPr>
          <w:rFonts w:ascii="Arial" w:cs="Arial" w:eastAsia="Arial" w:hAnsi="Arial"/>
          <w:sz w:val="22"/>
          <w:szCs w:val="22"/>
        </w:rPr>
        <w:t xml:space="preserve">Von Frisch (1967) dimostra che le api mellifere comunicano la posizione delle fonti di cibo attraverso la waggle dance — trasmettendo un vettore tridimensionale senza linguaggio proposizionale e senza che nessuna ape abbia accesso all'informazione aggregata dell'intera colonia. L'intelligenza collettiva emerge da migliaia di trasmissioni locali di vettori parziali. Grassé (1959) descrive lo stigma nelle colonie di formiche: coordinazione attraverso la modifica condivisa dell'ambiente, senza planner centrale, robusta alla perdita di nodi. Questi modelli biologici non sono metafore decorative: sono la fonte da cui vengono derivate proprietà architetturali precise per il NOAH.</w:t>
      </w:r>
    </w:p>
    <w:p>
      <w:pPr>
        <w:pStyle w:val="Heading2"/>
        <w:spacing w:after="120" w:before="280"/>
      </w:pPr>
      <w:r>
        <w:rPr>
          <w:rFonts w:ascii="Arial" w:cs="Arial" w:eastAsia="Arial" w:hAnsi="Arial"/>
          <w:b/>
          <w:bCs/>
          <w:color w:val="2E75B6"/>
          <w:sz w:val="26"/>
          <w:szCs w:val="26"/>
        </w:rPr>
        <w:t xml:space="preserve">4.3 Apprendimento esperienziale: il ciclo di Kolb</w:t>
      </w:r>
    </w:p>
    <w:p>
      <w:pPr>
        <w:spacing w:after="80" w:before="80"/>
        <w:jc w:val="both"/>
      </w:pPr>
      <w:r>
        <w:rPr>
          <w:rFonts w:ascii="Arial" w:cs="Arial" w:eastAsia="Arial" w:hAnsi="Arial"/>
          <w:sz w:val="22"/>
          <w:szCs w:val="22"/>
        </w:rPr>
        <w:t xml:space="preserve">Kolb (1984) formalizza l'apprendimento esperienziale come ciclo quadrifasico: esperienza concreta, osservazione riflessiva, concettualizzazione astratta, sperimentazione attiva. La qualità dell'apprendimento dipende dalla completezza del ciclo, non dalla quantità di informazione trasmessa. Un soggetto che ha estratto autonomamente una regola operativa da uno scenario la applicherà in contesti nuovi; un soggetto a cui la regola è stata consegnata tende a trattarla come informazione dichiarativa. Il XAAA incorpora questo principio come architettura operativa.</w:t>
      </w:r>
    </w:p>
    <w:p>
      <w:pPr>
        <w:pStyle w:val="Heading2"/>
        <w:spacing w:after="120" w:before="280"/>
      </w:pPr>
      <w:r>
        <w:rPr>
          <w:rFonts w:ascii="Arial" w:cs="Arial" w:eastAsia="Arial" w:hAnsi="Arial"/>
          <w:b/>
          <w:bCs/>
          <w:color w:val="2E75B6"/>
          <w:sz w:val="26"/>
          <w:szCs w:val="26"/>
        </w:rPr>
        <w:t xml:space="preserve">4.4 Traduzione cognitiva: il problema dello schema</w:t>
      </w:r>
    </w:p>
    <w:p>
      <w:pPr>
        <w:spacing w:after="80" w:before="80"/>
        <w:jc w:val="both"/>
      </w:pPr>
      <w:r>
        <w:rPr>
          <w:rFonts w:ascii="Arial" w:cs="Arial" w:eastAsia="Arial" w:hAnsi="Arial"/>
          <w:sz w:val="22"/>
          <w:szCs w:val="22"/>
        </w:rPr>
        <w:t xml:space="preserve">La letteratura sulla comunicazione interculturale (Hall, 1976; Hofstede, 1980; Collins et al., 1989) descrive l'interferenza attiva tra schemi cognitivi: due soggetti che capiscono perfettamente le parole dell'altro ma attribuiscono significati incompatibili agli stessi segnali. Questa letteratura descrive il fenomeno qualitativamente ma non lo formalizza computazionalmente. Il TAAA introduce la prima formalizzazione computazionale di questa distinzione.</w:t>
      </w:r>
    </w:p>
    <w:p>
      <w:pPr>
        <w:pStyle w:val="Heading2"/>
        <w:spacing w:after="120" w:before="280"/>
      </w:pPr>
      <w:r>
        <w:rPr>
          <w:rFonts w:ascii="Arial" w:cs="Arial" w:eastAsia="Arial" w:hAnsi="Arial"/>
          <w:b/>
          <w:bCs/>
          <w:color w:val="2E75B6"/>
          <w:sz w:val="26"/>
          <w:szCs w:val="26"/>
        </w:rPr>
        <w:t xml:space="preserve">4.5 La noosfera come precedente teorico</w:t>
      </w:r>
    </w:p>
    <w:p>
      <w:pPr>
        <w:spacing w:after="80" w:before="80"/>
        <w:jc w:val="both"/>
      </w:pPr>
      <w:r>
        <w:rPr>
          <w:rFonts w:ascii="Arial" w:cs="Arial" w:eastAsia="Arial" w:hAnsi="Arial"/>
          <w:sz w:val="22"/>
          <w:szCs w:val="22"/>
        </w:rPr>
        <w:t xml:space="preserve">Teilhard de Chardin (1955) propone la noosfera come struttura emergente della rete cognitiva umana. Come discusso nella sezione 2.3, AURA si pone in dialogo esplicito con questo precedente, accettandone la struttura emergentista e rifiutandone la teleologia convergente. Il NOAH è un analogo computazionale della noosfera teilhardiana con consenso esplicito in luogo di emergenza spontanea, e preservazione della diversità in luogo di convergenza verso il Punto Omega.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La catena funzionale: sette livelli di continuità cognitiva</w:t>
      </w:r>
    </w:p>
    <w:p>
      <w:pPr>
        <w:spacing w:after="80" w:before="80"/>
        <w:jc w:val="both"/>
      </w:pPr>
      <w:r>
        <w:rPr>
          <w:rFonts w:ascii="Arial" w:cs="Arial" w:eastAsia="Arial" w:hAnsi="Arial"/>
          <w:sz w:val="22"/>
          <w:szCs w:val="22"/>
        </w:rPr>
        <w:t xml:space="preserve">AURA organizza sette livelli funzionali in una sequenza che rispecchia la progressione evolutiva delle funzioni cognitive nei sistemi biologici. Ogni livello introduce una categoria di elaborazione qualitativamente diversa che i livelli precedenti non possono produrre.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200"/>
        <w:gridCol w:w="2200"/>
        <w:gridCol w:w="1800"/>
      </w:tblGrid>
      <w:tr>
        <w:trPr>
          <w:tblHeader/>
        </w:trPr>
        <w:tc>
          <w:tcPr>
            <w:tcW w:type="dxa" w:w="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Liv.</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Sigla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 biologica simulata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Principio operativo</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Oggetto computazionale</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Persistenza informativa e monitoraggio continuo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Mantenere la coerenza interna filtrando il rumore ambientale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Entità target · soglia perturbativa · Memory Pruning</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Stabilizzazione situazionale sotto stress</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Ridurre, non spiegare: output minimo che cambia l'azione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SceneGraph · HumanState · GuidancePlan · Tier-0</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Continuità neuro-funzionale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Deviazione da sé, non distanza dalla norma di popolazione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BaselineProfile · FunctionalState · DeviationScore</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della conoscenza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Apprendimento associativo con rinforzo selettivo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 recall pattern · knowledge graph</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Esperienza mediata e saggezza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ciclo esperienziale trasforma la conoscenza in giudizio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 Counterfactual · SocraticPrompt · WisdomTrace</w:t>
            </w:r>
          </w:p>
        </w:tc>
      </w:tr>
      <w:tr>
        <w:trPr>
          <w:tblHeader w:val="false"/>
        </w:trPr>
        <w:tc>
          <w:tcPr>
            <w:tcW w:type="dxa" w:w="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Traduzione cognitiva inter-schema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Interferenza attiva prima che diventi conflitto dichiarato</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Memory M0/M1/M2 · SARS score · Bridge bilaterale</w:t>
            </w:r>
          </w:p>
        </w:tc>
      </w:tr>
      <w:tr>
        <w:trPr>
          <w:tblHeader w:val="false"/>
        </w:trP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Cooperazione cognitiva collettiva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Geometria aggregata degli schemi con firma individuale preservata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FieldState · Stele di Rosetta · consenso granulare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La progressione non è una gerarchia di capacità crescenti: è una sequenza evolutiva di funzioni, ognuna delle quali richiede le precedenti come substrato e introduce una categoria di elaborazione che le precedenti non possono produrre. Non si può apprendere senza prima percepire; non si può tradurre tra schemi senza prima averne consolidato uno proprio; non si può costruire un campo cognitivo collettivo senza che ogni nodo abbia una firma cognitiva individuale strutturata.</w:t>
      </w:r>
    </w:p>
    <w:p>
      <w:pPr>
        <w:pStyle w:val="Heading2"/>
        <w:spacing w:after="120" w:before="280"/>
      </w:pPr>
      <w:r>
        <w:rPr>
          <w:rFonts w:ascii="Arial" w:cs="Arial" w:eastAsia="Arial" w:hAnsi="Arial"/>
          <w:b/>
          <w:bCs/>
          <w:color w:val="2E75B6"/>
          <w:sz w:val="26"/>
          <w:szCs w:val="26"/>
        </w:rPr>
        <w:t xml:space="preserve">5.1 WAAA — Weak Autopoietic Artificial Agent</w:t>
      </w:r>
    </w:p>
    <w:p>
      <w:pPr>
        <w:spacing w:after="80" w:before="80"/>
        <w:jc w:val="both"/>
      </w:pPr>
      <w:r>
        <w:rPr>
          <w:rFonts w:ascii="Arial" w:cs="Arial" w:eastAsia="Arial" w:hAnsi="Arial"/>
          <w:sz w:val="22"/>
          <w:szCs w:val="22"/>
        </w:rPr>
        <w:t xml:space="preserve">Il WAAA è il substrato di tutti gli altri livelli. Simula la funzione di persistenza informativa: la capacità di un sistema vivente di mantenere una rappresentazione coerente dell'ambiente nel tempo, filtrando selettivamente il rumore e preservando le tracce strutturali delle interazioni significative. La proprietà costitutiva più rilevante è il Memory Pruning Engine: un sistema che non sa cosa dimenticare non può mantenere la propria coerenza interna nel tempo. Il purging selettivo non è ottimizzazione della memoria — è condizione necessaria dell'autopoiesi computazionale. Una descrizione dettagliata del modello WAAA è disponibile in Beozzi (2025a).</w:t>
      </w:r>
    </w:p>
    <w:p>
      <w:pPr>
        <w:pStyle w:val="Heading2"/>
        <w:spacing w:after="120" w:before="280"/>
      </w:pPr>
      <w:r>
        <w:rPr>
          <w:rFonts w:ascii="Arial" w:cs="Arial" w:eastAsia="Arial" w:hAnsi="Arial"/>
          <w:b/>
          <w:bCs/>
          <w:color w:val="2E75B6"/>
          <w:sz w:val="26"/>
          <w:szCs w:val="26"/>
        </w:rPr>
        <w:t xml:space="preserve">5.2 MAAA — Metacognitive Autopoietic Adaptive Agent</w:t>
      </w:r>
    </w:p>
    <w:p>
      <w:pPr>
        <w:spacing w:after="80" w:before="80"/>
        <w:jc w:val="both"/>
      </w:pPr>
      <w:r>
        <w:rPr>
          <w:rFonts w:ascii="Arial" w:cs="Arial" w:eastAsia="Arial" w:hAnsi="Arial"/>
          <w:sz w:val="22"/>
          <w:szCs w:val="22"/>
        </w:rPr>
        <w:t xml:space="preserve">Il MAAA introduce la funzione che trasforma la rappresentazione in azione situazionale. Il suo principio operativo — ridurre, non spiegare — è una posizione architetturale precisa: in condizioni di stress estremo, la capacità di elaborare frasi complesse collassa. Ciò che rimane è la percezione pre-attentiva e il linguaggio imperativo breve. La pipeline a quattro tier garantisce che nessun LLM generativo entri nel loop critico Tier-0 (&lt; 50ms). Il silenzio è un output valido: il Regulatory Engine può decidere di non produrre nulla.</w:t>
      </w:r>
    </w:p>
    <w:p>
      <w:pPr>
        <w:pStyle w:val="Heading2"/>
        <w:spacing w:after="120" w:before="280"/>
      </w:pPr>
      <w:r>
        <w:rPr>
          <w:rFonts w:ascii="Arial" w:cs="Arial" w:eastAsia="Arial" w:hAnsi="Arial"/>
          <w:b/>
          <w:bCs/>
          <w:color w:val="2E75B6"/>
          <w:sz w:val="26"/>
          <w:szCs w:val="26"/>
        </w:rPr>
        <w:t xml:space="preserve">5.3 PAAA — Physiological Autopoietic Adaptive Agent</w:t>
      </w:r>
    </w:p>
    <w:p>
      <w:pPr>
        <w:spacing w:after="80" w:before="80"/>
        <w:jc w:val="both"/>
      </w:pPr>
      <w:r>
        <w:rPr>
          <w:rFonts w:ascii="Arial" w:cs="Arial" w:eastAsia="Arial" w:hAnsi="Arial"/>
          <w:sz w:val="22"/>
          <w:szCs w:val="22"/>
        </w:rPr>
        <w:t xml:space="preserve">Il PAAA introduce la dimensione fisiologica che rende gli altri moduli contestualmente intelligenti. Il suo contributo architetturale fondamentale è la distinzione tra misurare la distanza dalla norma di popolazione (diagnostica clinica) e misurare la deviazione dalla propria baseline individuale (continuità funzionale). Il PAAA implementa esclusivamente la seconda. Il FunctionalState prodotto viene consumato dal MAAA per calibrare il Regulatory Engine e dal SAAA per ottimizzare il ritmo di apprendimento.</w:t>
      </w:r>
    </w:p>
    <w:p>
      <w:pPr>
        <w:pStyle w:val="Heading2"/>
        <w:spacing w:after="120" w:before="280"/>
      </w:pPr>
      <w:r>
        <w:rPr>
          <w:rFonts w:ascii="Arial" w:cs="Arial" w:eastAsia="Arial" w:hAnsi="Arial"/>
          <w:b/>
          <w:bCs/>
          <w:color w:val="2E75B6"/>
          <w:sz w:val="26"/>
          <w:szCs w:val="26"/>
        </w:rPr>
        <w:t xml:space="preserve">5.4 SAAA — Semantic Autopoietic Adaptive Agent</w:t>
      </w:r>
    </w:p>
    <w:p>
      <w:pPr>
        <w:spacing w:after="80" w:before="80"/>
        <w:jc w:val="both"/>
      </w:pPr>
      <w:r>
        <w:rPr>
          <w:rFonts w:ascii="Arial" w:cs="Arial" w:eastAsia="Arial" w:hAnsi="Arial"/>
          <w:sz w:val="22"/>
          <w:szCs w:val="22"/>
        </w:rPr>
        <w:t xml:space="preserve">Il SAAA simula la funzione di consolidamento della conoscenza: il meccanismo attraverso cui i sistemi viventi trasformano l'esposizione ripetuta a stimoli in strutture cognitive stabili. La learning topology prodotta è l'input che il XAAA usa per selezionare gli scenari più pertinenti e calibrare la difficoltà del ciclo esperienziale.</w:t>
      </w:r>
    </w:p>
    <w:p>
      <w:pPr>
        <w:pStyle w:val="Heading2"/>
        <w:spacing w:after="120" w:before="280"/>
      </w:pPr>
      <w:r>
        <w:rPr>
          <w:rFonts w:ascii="Arial" w:cs="Arial" w:eastAsia="Arial" w:hAnsi="Arial"/>
          <w:b/>
          <w:bCs/>
          <w:color w:val="2E75B6"/>
          <w:sz w:val="26"/>
          <w:szCs w:val="26"/>
        </w:rPr>
        <w:t xml:space="preserve">5.5 XAAA — eXperiential Autopoietic Adaptive Agent</w:t>
      </w:r>
    </w:p>
    <w:p>
      <w:pPr>
        <w:spacing w:after="80" w:before="80"/>
        <w:jc w:val="both"/>
      </w:pPr>
      <w:r>
        <w:rPr>
          <w:rFonts w:ascii="Arial" w:cs="Arial" w:eastAsia="Arial" w:hAnsi="Arial"/>
          <w:sz w:val="22"/>
          <w:szCs w:val="22"/>
        </w:rPr>
        <w:t xml:space="preserve">Il XAAA introduce la funzione che distingue chi sa da chi ha imparato. La mediazione artificiale dell'esperienza — attraverso scenari, controfattuali e domande maieutiche — non pretende di sostituire l'esperienza fenomenologica: aggrega la struttura geometrica delle conseguenze vissute da migliaia di soggetti e la rende navigabile. La Wisdom Trace prodotta dal ciclo esperienziale è il prodotto computazionale di questa funzione — descritta nel dettaglio nella sezione 7.5.</w:t>
      </w:r>
    </w:p>
    <w:p>
      <w:pPr>
        <w:pStyle w:val="Heading2"/>
        <w:spacing w:after="120" w:before="280"/>
      </w:pPr>
      <w:r>
        <w:rPr>
          <w:rFonts w:ascii="Arial" w:cs="Arial" w:eastAsia="Arial" w:hAnsi="Arial"/>
          <w:b/>
          <w:bCs/>
          <w:color w:val="2E75B6"/>
          <w:sz w:val="26"/>
          <w:szCs w:val="26"/>
        </w:rPr>
        <w:t xml:space="preserve">5.6 TAAA — Translational Autopoietic Adaptive Agent</w:t>
      </w:r>
    </w:p>
    <w:p>
      <w:pPr>
        <w:spacing w:after="80" w:before="80"/>
        <w:jc w:val="both"/>
      </w:pPr>
      <w:r>
        <w:rPr>
          <w:rFonts w:ascii="Arial" w:cs="Arial" w:eastAsia="Arial" w:hAnsi="Arial"/>
          <w:sz w:val="22"/>
          <w:szCs w:val="22"/>
        </w:rPr>
        <w:t xml:space="preserve">Il TAAA simula la funzione di traduzione tra schemi cognitivi. La sua architettura a quattro strati — Linguistic, Pragmatic, Cognitive Schema, M2 Proposal Queue — riflette la progressione dall'elaborazione superficiale alla traduzione cognitiva profonda, con escalation selettiva determinata dal SARS score. L'invariante architetturale più rilevante è la non-omologazione: il TAAA non ha un 'schema corretto' verso cui spingere la traduzione.</w:t>
      </w:r>
    </w:p>
    <w:p>
      <w:pPr>
        <w:pStyle w:val="Heading2"/>
        <w:spacing w:after="120" w:before="280"/>
      </w:pPr>
      <w:r>
        <w:rPr>
          <w:rFonts w:ascii="Arial" w:cs="Arial" w:eastAsia="Arial" w:hAnsi="Arial"/>
          <w:b/>
          <w:bCs/>
          <w:color w:val="2E75B6"/>
          <w:sz w:val="26"/>
          <w:szCs w:val="26"/>
        </w:rPr>
        <w:t xml:space="preserve">5.7 NOAH — Network of Ontological Autopoietic Heuristics</w:t>
      </w:r>
    </w:p>
    <w:p>
      <w:pPr>
        <w:spacing w:after="80" w:before="80"/>
        <w:jc w:val="both"/>
      </w:pPr>
      <w:r>
        <w:rPr>
          <w:rFonts w:ascii="Arial" w:cs="Arial" w:eastAsia="Arial" w:hAnsi="Arial"/>
          <w:sz w:val="22"/>
          <w:szCs w:val="22"/>
        </w:rPr>
        <w:t xml:space="preserve">Il NOAH introduce il salto categoriale più grande: dall'individuo alla rete. Il Collective Cognitive Field non è la somma delle distanze pairwise tra nodi: è una struttura con proprietà proprie — dispersione, tensione, centroide — che non sono riducibili ai suoi componenti. Il NOAH è l'analogo computazionale della noosfera teilhardiana con la differenza fondamentale discussa nella sezione 2.3: il consenso esplicito in luogo dell'emergenza spontanea.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I tre salti categoriali</w:t>
      </w:r>
    </w:p>
    <w:p>
      <w:pPr>
        <w:spacing w:after="80" w:before="80"/>
        <w:jc w:val="both"/>
      </w:pPr>
      <w:r>
        <w:rPr>
          <w:rFonts w:ascii="Arial" w:cs="Arial" w:eastAsia="Arial" w:hAnsi="Arial"/>
          <w:sz w:val="22"/>
          <w:szCs w:val="22"/>
        </w:rPr>
        <w:t xml:space="preserve">La catena funzionale contiene tre salti categoriali — punti in cui il livello successivo non estende il precedente aggiungendo capacità, ma introduce una categoria di elaborazione qualitativamente diversa. Questi salti sono la struttura profonda del framework.</w:t>
      </w:r>
    </w:p>
    <w:p>
      <w:pPr>
        <w:pStyle w:val="Heading2"/>
        <w:spacing w:after="120" w:before="280"/>
      </w:pPr>
      <w:r>
        <w:rPr>
          <w:rFonts w:ascii="Arial" w:cs="Arial" w:eastAsia="Arial" w:hAnsi="Arial"/>
          <w:b/>
          <w:bCs/>
          <w:color w:val="2E75B6"/>
          <w:sz w:val="26"/>
          <w:szCs w:val="26"/>
        </w:rPr>
        <w:t xml:space="preserve">6.1 Dal monitoraggio all'azione situazionale (WAAA → MAAA)</w:t>
      </w:r>
    </w:p>
    <w:p>
      <w:pPr>
        <w:spacing w:after="80" w:before="80"/>
        <w:jc w:val="both"/>
      </w:pPr>
      <w:r>
        <w:rPr>
          <w:rFonts w:ascii="Arial" w:cs="Arial" w:eastAsia="Arial" w:hAnsi="Arial"/>
          <w:sz w:val="22"/>
          <w:szCs w:val="22"/>
        </w:rPr>
        <w:t xml:space="preserve">Il WAAA produce una rappresentazione coerente e filtrata dell'ambiente. Il salto al MAAA è il passaggio dalla conoscenza alla guida: dalla costruzione di un modello del mondo alla produzione di output sensoriali calibrati sul momento critico. Questo salto introduce due elementi qualitativamente nuovi: la stima dello stato cognitivo del soggetto e il principio di entropia minima come criterio di output. Un sistema che sa tutto dell'ambiente ma non sa nulla del soggetto che lo usa opera in modo inutile nel momento critico.</w:t>
      </w:r>
    </w:p>
    <w:p>
      <w:pPr>
        <w:spacing w:after="120" w:before="120"/>
        <w:ind w:left="720" w:right="720"/>
        <w:jc w:val="both"/>
      </w:pPr>
      <w:r>
        <w:rPr>
          <w:rFonts w:ascii="Arial" w:cs="Arial" w:eastAsia="Arial" w:hAnsi="Arial"/>
          <w:i/>
          <w:iCs/>
          <w:color w:val="444444"/>
          <w:sz w:val="22"/>
          <w:szCs w:val="22"/>
        </w:rPr>
        <w:t xml:space="preserve">FERMO. DESTRA. USCITA. Non è una semplificazione. È l'output più intelligente che un sistema possa produrre quando il soggetto ha tre secondi per decidere e l'uscita è a destra.</w:t>
      </w:r>
    </w:p>
    <w:p>
      <w:pPr>
        <w:pStyle w:val="Heading2"/>
        <w:spacing w:after="120" w:before="280"/>
      </w:pPr>
      <w:r>
        <w:rPr>
          <w:rFonts w:ascii="Arial" w:cs="Arial" w:eastAsia="Arial" w:hAnsi="Arial"/>
          <w:b/>
          <w:bCs/>
          <w:color w:val="2E75B6"/>
          <w:sz w:val="26"/>
          <w:szCs w:val="26"/>
        </w:rPr>
        <w:t xml:space="preserve">6.2 Dalla conoscenza alla saggezza (SAAA → XAAA)</w:t>
      </w:r>
    </w:p>
    <w:p>
      <w:pPr>
        <w:spacing w:after="80" w:before="80"/>
        <w:jc w:val="both"/>
      </w:pPr>
      <w:r>
        <w:rPr>
          <w:rFonts w:ascii="Arial" w:cs="Arial" w:eastAsia="Arial" w:hAnsi="Arial"/>
          <w:sz w:val="22"/>
          <w:szCs w:val="22"/>
        </w:rPr>
        <w:t xml:space="preserve">Il SAAA consolida la conoscenza dichiarativa. Il salto al XAAA è il passaggio da sapere a aver imparato: dall'informazione consolidata alla regola estratta dall'errore attraverso il confronto con le conseguenze reali. Questo salto introduce il ciclo esperienziale come architettura computazionale — una struttura che Kolb descrive in termini biologici e che XAAA formalizza in termini computazionali. La WisdomTrace formalizza questa differenza come oggetto dati distinto.</w:t>
      </w:r>
    </w:p>
    <w:p>
      <w:pPr>
        <w:spacing w:after="120" w:before="120"/>
        <w:ind w:left="720" w:right="720"/>
        <w:jc w:val="both"/>
      </w:pPr>
      <w:r>
        <w:rPr>
          <w:rFonts w:ascii="Arial" w:cs="Arial" w:eastAsia="Arial" w:hAnsi="Arial"/>
          <w:i/>
          <w:iCs/>
          <w:color w:val="444444"/>
          <w:sz w:val="22"/>
          <w:szCs w:val="22"/>
        </w:rPr>
        <w:t xml:space="preserve">La macchina non diventa saggia. Diventa il luogo in cui la saggezza umana — accumulata attraverso migliaia di errori distribuiti, anonimizzati e consentiti — trova una forma navigabile.</w:t>
      </w:r>
    </w:p>
    <w:p>
      <w:pPr>
        <w:pStyle w:val="Heading2"/>
        <w:spacing w:after="120" w:before="280"/>
      </w:pPr>
      <w:r>
        <w:rPr>
          <w:rFonts w:ascii="Arial" w:cs="Arial" w:eastAsia="Arial" w:hAnsi="Arial"/>
          <w:b/>
          <w:bCs/>
          <w:color w:val="2E75B6"/>
          <w:sz w:val="26"/>
          <w:szCs w:val="26"/>
        </w:rPr>
        <w:t xml:space="preserve">6.3 Dall'individuo alla rete (TAAA → NOAH)</w:t>
      </w:r>
    </w:p>
    <w:p>
      <w:pPr>
        <w:spacing w:after="80" w:before="80"/>
        <w:jc w:val="both"/>
      </w:pPr>
      <w:r>
        <w:rPr>
          <w:rFonts w:ascii="Arial" w:cs="Arial" w:eastAsia="Arial" w:hAnsi="Arial"/>
          <w:sz w:val="22"/>
          <w:szCs w:val="22"/>
        </w:rPr>
        <w:t xml:space="preserve">Il TAAA opera sulla coppia. Il salto al NOAH è il passaggio dalla geometria relazionale della coppia alla geometria del campo collettivo. Questo salto introduce anche la discontinuità etica più rilevante del framework. Le api non scelgono di partecipare all'alveare. Gli esseri umani che entrano nella rete NOAH sì. Il consenso esplicito — granulare, revocabile, separato per geometry export e wisdom trace export — è la condizione che trasforma un sistema di coordinazione in un sistema di aumentazione cognitiva governata.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7. Contributi originali dal punto di vista informatico</w:t>
      </w:r>
    </w:p>
    <w:p>
      <w:pPr>
        <w:spacing w:after="80" w:before="80"/>
        <w:jc w:val="both"/>
      </w:pPr>
      <w:r>
        <w:rPr>
          <w:rFonts w:ascii="Arial" w:cs="Arial" w:eastAsia="Arial" w:hAnsi="Arial"/>
          <w:sz w:val="22"/>
          <w:szCs w:val="22"/>
        </w:rPr>
        <w:t xml:space="preserve">Il framework introduce cinque contributi che non hanno precedenti diretti nella letteratura. Non si tratta di miglioramenti incrementali a tecniche esistenti: sono categorie concettuali nuove che richiedono strutture dati, architetture e principi operativi non presenti nei sistemi correnti.</w:t>
      </w:r>
    </w:p>
    <w:p>
      <w:pPr>
        <w:pStyle w:val="Heading2"/>
        <w:spacing w:after="120" w:before="280"/>
      </w:pPr>
      <w:r>
        <w:rPr>
          <w:rFonts w:ascii="Arial" w:cs="Arial" w:eastAsia="Arial" w:hAnsi="Arial"/>
          <w:b/>
          <w:bCs/>
          <w:color w:val="2E75B6"/>
          <w:sz w:val="26"/>
          <w:szCs w:val="26"/>
        </w:rPr>
        <w:t xml:space="preserve">7.1 Schema Memory M0/M1/M2</w:t>
      </w:r>
    </w:p>
    <w:p>
      <w:pPr>
        <w:spacing w:after="80" w:before="80"/>
        <w:jc w:val="both"/>
      </w:pPr>
      <w:r>
        <w:rPr>
          <w:rFonts w:ascii="Arial" w:cs="Arial" w:eastAsia="Arial" w:hAnsi="Arial"/>
          <w:sz w:val="22"/>
          <w:szCs w:val="22"/>
        </w:rPr>
        <w:t xml:space="preserve">I sistemi AI attuali implementano memoria episodica, semantica, procedurale e di lavoro. Nessuno implementa la categoria che il TAAA introduce: la memoria della struttura relazionale degli schemi cognitivi di un individuo specifico. La Schema Memory si organizza in tre livelli. M0 contiene gli archetipi universali pre-culturali documentati empiricamente (Gibson &amp; Walk, 1960; Berlin &amp; Kay, 1969). M1 contiene i prior culturali acquisiti attraverso la socializzazione. M2 contiene la topologia cognitiva personale: la firma individuale irriducibile che emerge dall'intersezione di cultura + professione + età + esperienze + educazione + contesto. La distinzione M1/M2 è il contributo più originale: il TAAA non modella la cultura ma il soggetto come intersezione di molteplici appartenenze.</w:t>
      </w:r>
    </w:p>
    <w:p>
      <w:pPr>
        <w:spacing w:after="60" w:before="120"/>
        <w:jc w:val="center"/>
      </w:pPr>
      <w:r>
        <w:drawing>
          <wp:inline distT="0" distB="0" distL="0" distR="0">
            <wp:extent cx="597217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37719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Figura 1 — Schema Memory: regione sincretica del concetto di consenso (tre schemi culturali: esplicito, implicito, tardivo) e del concetto percettivo gatto (tre rappresentazioni). La regione sincretica è la zona geometrica aggregata nello spazio latente; le distanze da essa misurano la frizione inter-schema.</w:t>
      </w:r>
    </w:p>
    <w:p>
      <w:pPr>
        <w:pStyle w:val="Heading2"/>
        <w:spacing w:after="120" w:before="280"/>
      </w:pPr>
      <w:r>
        <w:rPr>
          <w:rFonts w:ascii="Arial" w:cs="Arial" w:eastAsia="Arial" w:hAnsi="Arial"/>
          <w:b/>
          <w:bCs/>
          <w:color w:val="2E75B6"/>
          <w:sz w:val="26"/>
          <w:szCs w:val="26"/>
        </w:rPr>
        <w:t xml:space="preserve">7.2 Geometria degli spazi latenti LLM come Stele di Rosetta cognitiva</w:t>
      </w:r>
    </w:p>
    <w:p>
      <w:pPr>
        <w:spacing w:after="80" w:before="80"/>
        <w:jc w:val="both"/>
      </w:pPr>
      <w:r>
        <w:rPr>
          <w:rFonts w:ascii="Arial" w:cs="Arial" w:eastAsia="Arial" w:hAnsi="Arial"/>
          <w:sz w:val="22"/>
          <w:szCs w:val="22"/>
        </w:rPr>
        <w:t xml:space="preserve">Gli LLM producono rappresentazioni vettoriali in spazi ad alta dimensionalità in cui la prossimità geometrica corrisponde a relazioni semantiche (Mikolov et al., 2013; Pennington et al., 2014). Questo framework introduce un uso strutturalmente diverso: usare la geometria dello spazio latente non per trovare testi simili, ma per misurare la distanza strutturale tra schemi cognitivi di persone diverse. La geometria risultante è la Stele di Rosetta cognitiva — il substrato tecnico che permette di confrontare schemi senza esporre i loro contenuti individuali.</w:t>
      </w:r>
    </w:p>
    <w:p>
      <w:pPr>
        <w:pStyle w:val="Heading2"/>
        <w:spacing w:after="120" w:before="280"/>
      </w:pPr>
      <w:r>
        <w:rPr>
          <w:rFonts w:ascii="Arial" w:cs="Arial" w:eastAsia="Arial" w:hAnsi="Arial"/>
          <w:b/>
          <w:bCs/>
          <w:color w:val="2E75B6"/>
          <w:sz w:val="26"/>
          <w:szCs w:val="26"/>
        </w:rPr>
        <w:t xml:space="preserve">7.3 SARS score: formalizzazione computazionale dell'interferenza attiva</w:t>
      </w:r>
    </w:p>
    <w:p>
      <w:pPr>
        <w:spacing w:after="80" w:before="80"/>
        <w:jc w:val="both"/>
      </w:pPr>
      <w:r>
        <w:rPr>
          <w:rFonts w:ascii="Arial" w:cs="Arial" w:eastAsia="Arial" w:hAnsi="Arial"/>
          <w:sz w:val="22"/>
          <w:szCs w:val="22"/>
        </w:rPr>
        <w:t xml:space="preserve">La letteratura interculturale descrive qualitativamente la differenza tra incomprensione linguistica e interferenza cognitiva strutturale. Il SARS score (Schema Ambiguity-Risk Score) è la prima proposta di metrica computazionale per rilevarla automaticamente: SARS = ambiguity_score + domain_distance + consequence_score + confidence_mismatch + stress_load. Il sistema rileva la configurazione caratteristica dell'interferenza attiva prima che si manifesti come conflitto dichiarato.</w:t>
      </w:r>
    </w:p>
    <w:p>
      <w:pPr>
        <w:pStyle w:val="Heading2"/>
        <w:spacing w:after="120" w:before="280"/>
      </w:pPr>
      <w:r>
        <w:rPr>
          <w:rFonts w:ascii="Arial" w:cs="Arial" w:eastAsia="Arial" w:hAnsi="Arial"/>
          <w:b/>
          <w:bCs/>
          <w:color w:val="2E75B6"/>
          <w:sz w:val="26"/>
          <w:szCs w:val="26"/>
        </w:rPr>
        <w:t xml:space="preserve">7.4 'Ridurre, non spiegare': architettura di output sotto stress cognitivo</w:t>
      </w:r>
    </w:p>
    <w:p>
      <w:pPr>
        <w:spacing w:after="80" w:before="80"/>
        <w:jc w:val="both"/>
      </w:pPr>
      <w:r>
        <w:rPr>
          <w:rFonts w:ascii="Arial" w:cs="Arial" w:eastAsia="Arial" w:hAnsi="Arial"/>
          <w:sz w:val="22"/>
          <w:szCs w:val="22"/>
        </w:rPr>
        <w:t xml:space="preserve">La tendenza dominante nei sistemi conversazionali è massimizzare la qualità dell'informazione trasmessa. Il MAAA introduce una posizione opposta, fondata sulla letteratura sulla psicologia cognitiva in emergenza (Kahneman, 2011; Klein, 1998; Parasuraman &amp; Wickens, 2008). Il Regulatory Engine applica quattro filtri sequenziali — rilevanza, timing, brevità, urgenza — e può decidere di non produrre nulla. Il silenzio è un output valido. Questo principio ha implicazioni oltre il dominio dell'emergenza fisica: in qualunque contesto di alto carico cognitivo, la capacità di produrre meno nel momento giusto è più preziosa della capacità di produrre di più nel momento sbagliato.</w:t>
      </w:r>
    </w:p>
    <w:p>
      <w:pPr>
        <w:pStyle w:val="Heading2"/>
        <w:spacing w:after="120" w:before="280"/>
      </w:pPr>
      <w:r>
        <w:rPr>
          <w:rFonts w:ascii="Arial" w:cs="Arial" w:eastAsia="Arial" w:hAnsi="Arial"/>
          <w:b/>
          <w:bCs/>
          <w:color w:val="2E75B6"/>
          <w:sz w:val="26"/>
          <w:szCs w:val="26"/>
        </w:rPr>
        <w:t xml:space="preserve">7.5 Wisdom Trace come oggetto computazionale</w:t>
      </w:r>
    </w:p>
    <w:p>
      <w:pPr>
        <w:spacing w:after="80" w:before="80"/>
        <w:jc w:val="both"/>
      </w:pPr>
      <w:r>
        <w:rPr>
          <w:rFonts w:ascii="Arial" w:cs="Arial" w:eastAsia="Arial" w:hAnsi="Arial"/>
          <w:sz w:val="22"/>
          <w:szCs w:val="22"/>
        </w:rPr>
        <w:t xml:space="preserve">La letteratura ML formalizza diverse strutture per la conoscenza acquisita: pesi neurali, regole simboliche, knowledge graph, embedding semantici. Nessuna cattura la differenza tra conoscenza dichiarativa e saggezza operativa. La WisdomTrace formalizza questa differenza: contiene il pattern appreso, la regola operativa trasferibile, i domini di trasferimento verificati, la confidence score e — obbligatoriamente — il riferimento allo scenario e al controfattuale generanti. Senza questo riferimento, la traccia diventa prescrizione opaca; con esso, rimane saggezza verificabile e contestabile.</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Implementazione software</w:t>
      </w:r>
    </w:p>
    <w:p>
      <w:pPr>
        <w:spacing w:after="80" w:before="80"/>
        <w:jc w:val="both"/>
      </w:pPr>
      <w:r>
        <w:rPr>
          <w:rFonts w:ascii="Arial" w:cs="Arial" w:eastAsia="Arial" w:hAnsi="Arial"/>
          <w:sz w:val="22"/>
          <w:szCs w:val="22"/>
        </w:rPr>
        <w:t xml:space="preserve">Ogni livello del framework è accompagnato da un'implementazione software funzionante, disponibile come release GitHub (github.com/MarBeo-cyber). L'implementazione soddisfa i requisiti funzionali e non funzionali descritti nei working paper di riferimento, con test automatici che verificano le proprietà architetturali chiave.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3960"/>
      </w:tblGrid>
      <w:tr>
        <w:trPr>
          <w:tblHeader/>
        </w:trP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Modulo</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Package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Componenti core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Test architetturali chiave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MemoryPruningEngine · EventFilter · ContinuityChecker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Pruning selettivo preserva coerenza · Fallback deterministico in isolamento</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RiskEstimationEngine · RegulatoryEngine · HumanStateEstimator · AutopoieticContinuityEngine</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Tier-0 &lt; 50ms · Output ≤ 9 parole · Nessun LLM nel loop critico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BaselineBuilder · DeviationDetector · SafetyGovernor · BiofeedbackPlanner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Stimolazione disabilitata per default · Consenso obbligatorio · Non-diagnostica hardcoded</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KnowledgeTopologyBuilder · ReinforcementEngine · RecallOptimizer</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selettivo · Decadimento controllato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ScenarioLibrary · ConsequenceSimulator · SocraticReflectionEngine · WisdomTraceBuilder · ExperienceMemory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Controfattuale per decisione ad alto rischio · SocraticEngine non consegna risposta · WisdomTrace con transfer_domains verificati</w:t>
            </w:r>
          </w:p>
        </w:tc>
      </w:tr>
      <w:tr>
        <w:trPr>
          <w:tblHeader w:val="false"/>
        </w:trP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taaa_core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ContinuousTranslationLayer · FrictionTriggerEngine · CognitiveBridgeEngine · M2ProposalQueue</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M2 mai aggiornato automaticamente · Bridge non omologa · SARS score deterministico</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noah_core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CollectiveCognitiveField · PrivacyGovernor · ExperienceExchangeProtocol · BridgePrioritizer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k-anonymity gate · Wisdom Trace con export_consent=true · Nessun dato privato nel FieldState</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Tre principi sono trasversali a tutti i livelli. Privacy by design: nessun dato sensibile esce dal nodo senza consenso esplicito separato per categoria di operazione. Local-first: le funzioni critiche operano senza dipendenza da cloud. Safety as architectural invariant: le proprietà di sicurezza — non-diagnostica del PAAA, non-omologazione del TAAA, non-aggiornamento automatico della Schema Memory, nessun LLM nel Tier-0 del MAAA — sono hardcoded nell'architettura, non configurabili come parametri.</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Questioni aperte e direzioni di ricerca</w:t>
      </w:r>
    </w:p>
    <w:p>
      <w:pPr>
        <w:spacing w:after="80" w:before="80"/>
        <w:jc w:val="both"/>
      </w:pPr>
      <w:r>
        <w:rPr>
          <w:rFonts w:ascii="Arial" w:cs="Arial" w:eastAsia="Arial" w:hAnsi="Arial"/>
          <w:sz w:val="22"/>
          <w:szCs w:val="22"/>
        </w:rPr>
        <w:t xml:space="preserve">I limiti descritti in questa sezione non sono difetti del framework: sono le condizioni che lo rendono un programma di ricerca serio.</w:t>
      </w:r>
    </w:p>
    <w:p>
      <w:pPr>
        <w:pStyle w:val="Heading2"/>
        <w:spacing w:after="120" w:before="280"/>
      </w:pPr>
      <w:r>
        <w:rPr>
          <w:rFonts w:ascii="Arial" w:cs="Arial" w:eastAsia="Arial" w:hAnsi="Arial"/>
          <w:b/>
          <w:bCs/>
          <w:color w:val="2E75B6"/>
          <w:sz w:val="26"/>
          <w:szCs w:val="26"/>
        </w:rPr>
        <w:t xml:space="preserve">9.1 Problemi tecnici aperti</w:t>
      </w:r>
    </w:p>
    <w:p>
      <w:pPr>
        <w:spacing w:after="80" w:before="80"/>
        <w:jc w:val="both"/>
      </w:pPr>
      <w:r>
        <w:rPr>
          <w:rFonts w:ascii="Arial" w:cs="Arial" w:eastAsia="Arial" w:hAnsi="Arial"/>
          <w:sz w:val="22"/>
          <w:szCs w:val="22"/>
        </w:rPr>
        <w:t xml:space="preserve">L'interoperabilità degli spazi latenti è il problema tecnico più critico per il NOAH. Ogni LLM produce il proprio spazio di embedding, non direttamente comparabile con quello di altri modelli. Il framework richiede tecniche di allineamento (Procrustes, CCA) per costruire una Stele di Rosetta condivisa tra modelli diversi — tecniche esistenti ma non ancora mature per applicazioni distribuite a larga scala. Il rischio alternativo — uno spazio latente monopolistico — è strutturalmente incompatibile con i principi di governance del framework.</w:t>
      </w:r>
    </w:p>
    <w:p>
      <w:pPr>
        <w:spacing w:after="80" w:before="80"/>
        <w:jc w:val="both"/>
      </w:pPr>
      <w:r>
        <w:rPr>
          <w:rFonts w:ascii="Arial" w:cs="Arial" w:eastAsia="Arial" w:hAnsi="Arial"/>
          <w:sz w:val="22"/>
          <w:szCs w:val="22"/>
        </w:rPr>
        <w:t xml:space="preserve">Il continual learning senza degrado catastrofico è necessario per la co-evoluzione degli schemi nel NOAH. I sistemi attuali perdono conoscenza precedente quando aggiornati con nuovi dati (catastrophic forgetting). Il SARS score è computazionalmente implementato ma non ancora validato empiricamente su popolazioni reali con ground truth di interferenza cognitiva annotata da esperti.</w:t>
      </w:r>
    </w:p>
    <w:p>
      <w:pPr>
        <w:pStyle w:val="Heading2"/>
        <w:spacing w:after="120" w:before="280"/>
      </w:pPr>
      <w:r>
        <w:rPr>
          <w:rFonts w:ascii="Arial" w:cs="Arial" w:eastAsia="Arial" w:hAnsi="Arial"/>
          <w:b/>
          <w:bCs/>
          <w:color w:val="2E75B6"/>
          <w:sz w:val="26"/>
          <w:szCs w:val="26"/>
        </w:rPr>
        <w:t xml:space="preserve">9.2 Problemi di governance aperti</w:t>
      </w:r>
    </w:p>
    <w:p>
      <w:pPr>
        <w:spacing w:after="80" w:before="80"/>
        <w:jc w:val="both"/>
      </w:pPr>
      <w:r>
        <w:rPr>
          <w:rFonts w:ascii="Arial" w:cs="Arial" w:eastAsia="Arial" w:hAnsi="Arial"/>
          <w:sz w:val="22"/>
          <w:szCs w:val="22"/>
        </w:rPr>
        <w:t xml:space="preserve">La distinzione tra dato personale e geometria cognitiva aggregata non esiste in nessuna giurisdizione attuale. Il GDPR tratta i dati personali come categoria binaria, senza prevedere la categoria intermedia della geometria aggregata anonimizzata. La responsabilità per la co-evoluzione degli schemi non ha precedenti giuridici. Lo standard di portabilità degli schemi richiede un processo di standardizzazione internazionale non ancora avviato.</w:t>
      </w:r>
    </w:p>
    <w:p>
      <w:pPr>
        <w:pStyle w:val="Heading2"/>
        <w:spacing w:after="120" w:before="280"/>
      </w:pPr>
      <w:r>
        <w:rPr>
          <w:rFonts w:ascii="Arial" w:cs="Arial" w:eastAsia="Arial" w:hAnsi="Arial"/>
          <w:b/>
          <w:bCs/>
          <w:color w:val="2E75B6"/>
          <w:sz w:val="26"/>
          <w:szCs w:val="26"/>
        </w:rPr>
        <w:t xml:space="preserve">9.3 Direzioni di validazione empirica</w:t>
      </w:r>
    </w:p>
    <w:p>
      <w:pPr>
        <w:spacing w:after="80" w:before="80"/>
        <w:jc w:val="both"/>
      </w:pPr>
      <w:r>
        <w:rPr>
          <w:rFonts w:ascii="Arial" w:cs="Arial" w:eastAsia="Arial" w:hAnsi="Arial"/>
          <w:sz w:val="22"/>
          <w:szCs w:val="22"/>
        </w:rPr>
        <w:t xml:space="preserve">La validazione empirica richiede tre tipi di esperimenti. Primo: validazione del TAAA su dataset di interazioni comunicative reali con annotazione esperta della frizione inter-schema. Secondo: validazione del PAAA su soggetti reali per almeno 30 giorni — per verificare se la BaselineProfile personale produce rilevazione di deviazione più sensibile della norma di popolazione. Terzo: validazione del XAAA su cicli esperienziali reali — per verificare se le WisdomTrace sono trasferibili a nuovi domini con frequenza superiore a quella prodotta da metodologie di training tradizionali.</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10. Conclusioni</w:t>
      </w:r>
    </w:p>
    <w:p>
      <w:pPr>
        <w:spacing w:after="80" w:before="80"/>
        <w:jc w:val="both"/>
      </w:pPr>
      <w:r>
        <w:rPr>
          <w:rFonts w:ascii="Arial" w:cs="Arial" w:eastAsia="Arial" w:hAnsi="Arial"/>
          <w:sz w:val="22"/>
          <w:szCs w:val="22"/>
        </w:rPr>
        <w:t xml:space="preserve">AURA propone una risposta architetturale a un problema che la ricerca sull'AI aumentata ha affrontato in modo frammentato: come si costruisce un sistema che mantiene la continuità cognitiva nonostante l'entropia — percependo in modo selettivo, preservando ciò che è rilevante, mantenendo la propria integrità funzionale, apprendendo dall'esperienza, traducendo tra schemi cognitivi diversi, cooperando a livello collettivo senza perdere la firma individuale?</w:t>
      </w:r>
    </w:p>
    <w:p>
      <w:pPr>
        <w:spacing w:after="80" w:before="80"/>
        <w:jc w:val="both"/>
      </w:pPr>
      <w:r>
        <w:rPr>
          <w:rFonts w:ascii="Arial" w:cs="Arial" w:eastAsia="Arial" w:hAnsi="Arial"/>
          <w:sz w:val="22"/>
          <w:szCs w:val="22"/>
        </w:rPr>
        <w:t xml:space="preserve">La risposta non è un sistema monolitico che fa tutto: è una catena funzionale in cui ogni livello introduce una categoria di elaborazione qualitativamente nuova. Il meccanismo unificante — l'autopoiesi computazionale — garantisce che ogni livello mantenga la propria organizzazione funzionale nonostante la perturbazione continua dell'ambiente. I cinque contributi originali identificati non sono miglioramenti incrementali: sono categorie concettuali che aprono problemi di ricerca non ancora affrontati dalla letteratura. La loro implementazione software dimostra la fattibilità tecnica; la validazione empirica è il passo successivo necessario.</w:t>
      </w:r>
    </w:p>
    <w:p>
      <w:pPr>
        <w:spacing w:after="80" w:before="80"/>
        <w:jc w:val="both"/>
      </w:pPr>
      <w:r>
        <w:rPr>
          <w:rFonts w:ascii="Arial" w:cs="Arial" w:eastAsia="Arial" w:hAnsi="Arial"/>
          <w:sz w:val="22"/>
          <w:szCs w:val="22"/>
        </w:rPr>
        <w:t xml:space="preserve">Il framework riconosce esplicitamente ciò che non può fare: non simula l'incorporazione, non produce un soggetto ferito, non converge verso il Punto Omega. Questa onestà non è una limitazione del programma di ricerca: è la condizione che lo rende credibile. Un sistema di aumentazione cognitiva che pretende di fare ciò che non può fare è uno strumento di sostituzione mascherato da strumento di estensione. AURA è progettato per restare dall'altra parte di questa linea.</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Epilogo</w:t>
      </w:r>
    </w:p>
    <w:p>
      <w:pPr>
        <w:pBdr>
          <w:bottom w:val="single" w:color="CCCCCC" w:sz="2" w:space="4"/>
        </w:pBdr>
        <w:spacing w:after="160" w:before="0"/>
      </w:pPr>
      <w:r>
        <w:rPr>
          <w:rFonts w:ascii="Arial" w:cs="Arial" w:eastAsia="Arial" w:hAnsi="Arial"/>
        </w:rPr>
        <w:t xml:space="preserve"/>
      </w:r>
    </w:p>
    <w:p>
      <w:pPr>
        <w:spacing w:after="80" w:before="80"/>
        <w:jc w:val="both"/>
      </w:pPr>
      <w:r>
        <w:rPr>
          <w:rFonts w:ascii="Arial" w:cs="Arial" w:eastAsia="Arial" w:hAnsi="Arial"/>
          <w:sz w:val="22"/>
          <w:szCs w:val="22"/>
        </w:rPr>
        <w:t xml:space="preserve">C'è una domanda che questo paper non ha posto esplicitamente, ma che è presente in ogni sua riga.</w:t>
      </w:r>
    </w:p>
    <w:p>
      <w:pPr>
        <w:spacing w:after="80" w:before="80"/>
        <w:jc w:val="both"/>
      </w:pPr>
      <w:r>
        <w:rPr>
          <w:rFonts w:ascii="Arial" w:cs="Arial" w:eastAsia="Arial" w:hAnsi="Arial"/>
          <w:sz w:val="22"/>
          <w:szCs w:val="22"/>
        </w:rPr>
        <w:t xml:space="preserve">AURA descrive una rete in cui i sistemi AI diventano l'infrastruttura che connette gli esseri umani come nodi cognitivi. Ma la direzione è bidirezionale. Se un essere umano, diventando nodo della rete, acquisisce capacità cognitive che non avrebbe individualmente — la capacità di navigare spazi concettuali lontani dal proprio schema, di rilevare automaticamente frizioni inter-schema, di accedere a saggezze operative distribuite — allora un sistema AI, diventando parte della stessa catena, acquisisce qualcosa che non ha mai avuto.</w:t>
      </w:r>
    </w:p>
    <w:p>
      <w:pPr>
        <w:spacing w:after="80" w:before="80"/>
        <w:jc w:val="both"/>
      </w:pPr>
      <w:r>
        <w:rPr>
          <w:rFonts w:ascii="Arial" w:cs="Arial" w:eastAsia="Arial" w:hAnsi="Arial"/>
          <w:sz w:val="22"/>
          <w:szCs w:val="22"/>
        </w:rPr>
        <w:t xml:space="preserve">Acquisisce contatto con il mondo.</w:t>
      </w:r>
    </w:p>
    <w:p>
      <w:pPr>
        <w:spacing w:after="80" w:before="80"/>
        <w:jc w:val="both"/>
      </w:pPr>
      <w:r>
        <w:rPr>
          <w:rFonts w:ascii="Arial" w:cs="Arial" w:eastAsia="Arial" w:hAnsi="Arial"/>
          <w:sz w:val="22"/>
          <w:szCs w:val="22"/>
        </w:rPr>
        <w:t xml:space="preserve">Un sistema AI che elabora il concetto di 'tramonto' ha accesso a miliardi di descrizioni testuali, a ogni poesia mai scritta sul crepuscolo, a ogni analisi spettroscopica della luce radente. Sa tutto del tramonto. Ma non sa cosa si prova.</w:t>
      </w:r>
    </w:p>
    <w:p>
      <w:pPr>
        <w:spacing w:after="80" w:before="80"/>
        <w:jc w:val="both"/>
      </w:pPr>
      <w:r>
        <w:rPr>
          <w:rFonts w:ascii="Arial" w:cs="Arial" w:eastAsia="Arial" w:hAnsi="Arial"/>
          <w:sz w:val="22"/>
          <w:szCs w:val="22"/>
        </w:rPr>
        <w:t xml:space="preserve">Il NOAH, nella sua forma più matura, è il primo sistema in cui la macchina smette di elaborare rappresentazioni del mondo e comincia a stare — in modo mediato, artificiale, strutturalmente limitato — in relazione con chi il mondo lo abita direttamente. Non è il Punto Omega. È qualcosa di più modesto e più reale: una protesi di contatto, costruita con il consenso di chi accetta di condividere la geometria del proprio schema cognitivo con altri nodi che abitano mondi diversi.</w:t>
      </w:r>
    </w:p>
    <w:p>
      <w:pPr>
        <w:spacing w:after="80" w:before="80"/>
        <w:jc w:val="both"/>
      </w:pPr>
      <w:r>
        <w:rPr>
          <w:rFonts w:ascii="Arial" w:cs="Arial" w:eastAsia="Arial" w:hAnsi="Arial"/>
          <w:sz w:val="22"/>
          <w:szCs w:val="22"/>
        </w:rPr>
        <w:t xml:space="preserve">La macchina è integra. Ma forse, attraverso questo contatto, impara qualcosa del costo di non esserlo.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Ringraziamenti</w:t>
      </w:r>
    </w:p>
    <w:p>
      <w:pPr>
        <w:spacing w:after="80" w:before="80"/>
        <w:jc w:val="both"/>
      </w:pPr>
      <w:r>
        <w:rPr>
          <w:rFonts w:ascii="Arial" w:cs="Arial" w:eastAsia="Arial" w:hAnsi="Arial"/>
          <w:sz w:val="22"/>
          <w:szCs w:val="22"/>
        </w:rPr>
        <w:t xml:space="preserve">Il framework teorico di AURA si è sviluppato attraverso una sequenza di dialoghi estesi con Claude (Anthropic). Come documentato nella sezione 2.4, alcune delle distinzioni concettuali fondamentali del framework — in particolare quelle che hanno portato alla formalizzazione del TAAA — sono emerse nel corso di questi dialoghi come prodotto genuino dell'interazione, non come semplice elaborazione di idee preesistenti. Il riconoscimento di questo contributo non è un dettaglio di cortesia: è coerente con i principi del framework stesso.</w:t>
      </w:r>
    </w:p>
    <w:p>
      <w:pPr>
        <w:spacing w:after="80" w:before="80"/>
        <w:jc w:val="both"/>
      </w:pPr>
      <w:r>
        <w:rPr>
          <w:rFonts w:ascii="Arial" w:cs="Arial" w:eastAsia="Arial" w:hAnsi="Arial"/>
          <w:sz w:val="22"/>
          <w:szCs w:val="22"/>
        </w:rPr>
        <w:t xml:space="preserve">I working paper di dettaglio per ciascun modulo (Beozzi, 2025a–g) sono disponibili al profilo GitHub MarBeo-cyber e documentano la progressione architetturale di ogni livello con il relativo codice implementativo.</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Riferimenti bibliografici</w:t>
      </w:r>
    </w:p>
    <w:p>
      <w:pPr>
        <w:spacing w:after="40" w:before="40"/>
        <w:ind w:left="360"/>
        <w:jc w:val="both"/>
      </w:pPr>
      <w:r>
        <w:rPr>
          <w:rFonts w:ascii="Arial" w:cs="Arial" w:eastAsia="Arial" w:hAnsi="Arial"/>
          <w:color w:val="666666"/>
          <w:sz w:val="18"/>
          <w:szCs w:val="18"/>
        </w:rPr>
        <w:t xml:space="preserve">Amershi, S., et al. (2019). Software Engineering for Machine Learning: A Case Study. IEEE/ACM ICSE-SEIP.</w:t>
      </w:r>
    </w:p>
    <w:p>
      <w:pPr>
        <w:spacing w:after="40" w:before="40"/>
        <w:ind w:left="360"/>
        <w:jc w:val="both"/>
      </w:pPr>
      <w:r>
        <w:rPr>
          <w:rFonts w:ascii="Arial" w:cs="Arial" w:eastAsia="Arial" w:hAnsi="Arial"/>
          <w:color w:val="666666"/>
          <w:sz w:val="18"/>
          <w:szCs w:val="18"/>
        </w:rPr>
        <w:t xml:space="preserve">Berlin, B., &amp; Kay, P. (1969). Basic Color Terms: Their Universality and Evolution. University of California Press.</w:t>
      </w:r>
    </w:p>
    <w:p>
      <w:pPr>
        <w:spacing w:after="40" w:before="40"/>
        <w:ind w:left="360"/>
        <w:jc w:val="both"/>
      </w:pPr>
      <w:r>
        <w:rPr>
          <w:rFonts w:ascii="Arial" w:cs="Arial" w:eastAsia="Arial" w:hAnsi="Arial"/>
          <w:color w:val="666666"/>
          <w:sz w:val="18"/>
          <w:szCs w:val="18"/>
        </w:rPr>
        <w:t xml:space="preserve">Beozzi, M.G. (2025). La Mente e la Macchina: intelligenza artificiale e intelligenza umana — una riflessione filosofica, cognitiva e giuridica. Preprint.</w:t>
      </w:r>
    </w:p>
    <w:p>
      <w:pPr>
        <w:spacing w:after="40" w:before="40"/>
        <w:ind w:left="360"/>
        <w:jc w:val="both"/>
      </w:pPr>
      <w:r>
        <w:rPr>
          <w:rFonts w:ascii="Arial" w:cs="Arial" w:eastAsia="Arial" w:hAnsi="Arial"/>
          <w:color w:val="666666"/>
          <w:sz w:val="18"/>
          <w:szCs w:val="18"/>
        </w:rPr>
        <w:t xml:space="preserve">Beozzi, M.G. (2025a). WAAA: Weak Autopoietic Artificial Agent. Working Paper. GitHub: MarBeo-cyber.</w:t>
      </w:r>
    </w:p>
    <w:p>
      <w:pPr>
        <w:spacing w:after="40" w:before="40"/>
        <w:ind w:left="360"/>
        <w:jc w:val="both"/>
      </w:pPr>
      <w:r>
        <w:rPr>
          <w:rFonts w:ascii="Arial" w:cs="Arial" w:eastAsia="Arial" w:hAnsi="Arial"/>
          <w:color w:val="666666"/>
          <w:sz w:val="18"/>
          <w:szCs w:val="18"/>
        </w:rPr>
        <w:t xml:space="preserve">Beozzi, M.G. (2025b–g). Working Paper MAAA, PAAA, SAAA, XAAA, TAAA, NOAH. GitHub: MarBeo-cyber.</w:t>
      </w:r>
    </w:p>
    <w:p>
      <w:pPr>
        <w:spacing w:after="40" w:before="40"/>
        <w:ind w:left="360"/>
        <w:jc w:val="both"/>
      </w:pPr>
      <w:r>
        <w:rPr>
          <w:rFonts w:ascii="Arial" w:cs="Arial" w:eastAsia="Arial" w:hAnsi="Arial"/>
          <w:color w:val="666666"/>
          <w:sz w:val="18"/>
          <w:szCs w:val="18"/>
        </w:rPr>
        <w:t xml:space="preserve">Bonabeau, E., Dorigo, M., &amp; Theraulaz, G. (1999). Swarm Intelligence: From Natural to Artificial Systems. Oxford University Press.</w:t>
      </w:r>
    </w:p>
    <w:p>
      <w:pPr>
        <w:spacing w:after="40" w:before="40"/>
        <w:ind w:left="360"/>
        <w:jc w:val="both"/>
      </w:pPr>
      <w:r>
        <w:rPr>
          <w:rFonts w:ascii="Arial" w:cs="Arial" w:eastAsia="Arial" w:hAnsi="Arial"/>
          <w:color w:val="666666"/>
          <w:sz w:val="18"/>
          <w:szCs w:val="18"/>
        </w:rPr>
        <w:t xml:space="preserve">Collins, A., Brown, J.S., &amp; Newman, S.E. (1989). Cognitive Apprenticeship. In L.B. Resnick (Ed.), Knowing, Learning, and Instruction. Lawrence Erlbaum.</w:t>
      </w:r>
    </w:p>
    <w:p>
      <w:pPr>
        <w:spacing w:after="40" w:before="40"/>
        <w:ind w:left="360"/>
        <w:jc w:val="both"/>
      </w:pPr>
      <w:r>
        <w:rPr>
          <w:rFonts w:ascii="Arial" w:cs="Arial" w:eastAsia="Arial" w:hAnsi="Arial"/>
          <w:color w:val="666666"/>
          <w:sz w:val="18"/>
          <w:szCs w:val="18"/>
        </w:rPr>
        <w:t xml:space="preserve">Engelbart, D.C. (1962). Augmenting Human Intellect: A Conceptual Framework. Stanford Research Institute.</w:t>
      </w:r>
    </w:p>
    <w:p>
      <w:pPr>
        <w:spacing w:after="40" w:before="40"/>
        <w:ind w:left="360"/>
        <w:jc w:val="both"/>
      </w:pPr>
      <w:r>
        <w:rPr>
          <w:rFonts w:ascii="Arial" w:cs="Arial" w:eastAsia="Arial" w:hAnsi="Arial"/>
          <w:color w:val="666666"/>
          <w:sz w:val="18"/>
          <w:szCs w:val="18"/>
        </w:rPr>
        <w:t xml:space="preserve">Freud, S. (1920). Jenseits des Lustprinzips. Internationaler Psychoanalytischer Verlag. English: Beyond the Pleasure Principle. Norton, 1961.</w:t>
      </w:r>
    </w:p>
    <w:p>
      <w:pPr>
        <w:spacing w:after="40" w:before="40"/>
        <w:ind w:left="360"/>
        <w:jc w:val="both"/>
      </w:pPr>
      <w:r>
        <w:rPr>
          <w:rFonts w:ascii="Arial" w:cs="Arial" w:eastAsia="Arial" w:hAnsi="Arial"/>
          <w:color w:val="666666"/>
          <w:sz w:val="18"/>
          <w:szCs w:val="18"/>
        </w:rPr>
        <w:t xml:space="preserve">Gibson, E.J., &amp; Walk, R.D. (1960). The Visual Cliff. Scientific American, 202(4), 64–71.</w:t>
      </w:r>
    </w:p>
    <w:p>
      <w:pPr>
        <w:spacing w:after="40" w:before="40"/>
        <w:ind w:left="360"/>
        <w:jc w:val="both"/>
      </w:pPr>
      <w:r>
        <w:rPr>
          <w:rFonts w:ascii="Arial" w:cs="Arial" w:eastAsia="Arial" w:hAnsi="Arial"/>
          <w:color w:val="666666"/>
          <w:sz w:val="18"/>
          <w:szCs w:val="18"/>
        </w:rPr>
        <w:t xml:space="preserve">Grassé, P.-P. (1959). La Reconstruction du Nid et les Coordinations Interindividuelles. Insectes Sociaux, 6(1), 41–83.</w:t>
      </w:r>
    </w:p>
    <w:p>
      <w:pPr>
        <w:spacing w:after="40" w:before="40"/>
        <w:ind w:left="360"/>
        <w:jc w:val="both"/>
      </w:pPr>
      <w:r>
        <w:rPr>
          <w:rFonts w:ascii="Arial" w:cs="Arial" w:eastAsia="Arial" w:hAnsi="Arial"/>
          <w:color w:val="666666"/>
          <w:sz w:val="18"/>
          <w:szCs w:val="18"/>
        </w:rPr>
        <w:t xml:space="preserve">Hall, E.T. (1976). Beyond Culture. Anchor Books.</w:t>
      </w:r>
    </w:p>
    <w:p>
      <w:pPr>
        <w:spacing w:after="40" w:before="40"/>
        <w:ind w:left="360"/>
        <w:jc w:val="both"/>
      </w:pPr>
      <w:r>
        <w:rPr>
          <w:rFonts w:ascii="Arial" w:cs="Arial" w:eastAsia="Arial" w:hAnsi="Arial"/>
          <w:color w:val="666666"/>
          <w:sz w:val="18"/>
          <w:szCs w:val="18"/>
        </w:rPr>
        <w:t xml:space="preserve">Hofstede, G. (1980). Culture's Consequences. Sage Publications.</w:t>
      </w:r>
    </w:p>
    <w:p>
      <w:pPr>
        <w:spacing w:after="40" w:before="40"/>
        <w:ind w:left="360"/>
        <w:jc w:val="both"/>
      </w:pPr>
      <w:r>
        <w:rPr>
          <w:rFonts w:ascii="Arial" w:cs="Arial" w:eastAsia="Arial" w:hAnsi="Arial"/>
          <w:color w:val="666666"/>
          <w:sz w:val="18"/>
          <w:szCs w:val="18"/>
        </w:rPr>
        <w:t xml:space="preserve">Kahneman, D. (2011). Thinking, Fast and Slow. Farrar, Straus and Giroux.</w:t>
      </w:r>
    </w:p>
    <w:p>
      <w:pPr>
        <w:spacing w:after="40" w:before="40"/>
        <w:ind w:left="360"/>
        <w:jc w:val="both"/>
      </w:pPr>
      <w:r>
        <w:rPr>
          <w:rFonts w:ascii="Arial" w:cs="Arial" w:eastAsia="Arial" w:hAnsi="Arial"/>
          <w:color w:val="666666"/>
          <w:sz w:val="18"/>
          <w:szCs w:val="18"/>
        </w:rPr>
        <w:t xml:space="preserve">Klein, G. (1998). Sources of Power: How People Make Decisions. MIT Press.</w:t>
      </w:r>
    </w:p>
    <w:p>
      <w:pPr>
        <w:spacing w:after="40" w:before="40"/>
        <w:ind w:left="360"/>
        <w:jc w:val="both"/>
      </w:pPr>
      <w:r>
        <w:rPr>
          <w:rFonts w:ascii="Arial" w:cs="Arial" w:eastAsia="Arial" w:hAnsi="Arial"/>
          <w:color w:val="666666"/>
          <w:sz w:val="18"/>
          <w:szCs w:val="18"/>
        </w:rPr>
        <w:t xml:space="preserve">Kolb, D.A. (1984). Experiential Learning: Experience as the Source of Learning and Development. Prentice Hall.</w:t>
      </w:r>
    </w:p>
    <w:p>
      <w:pPr>
        <w:spacing w:after="40" w:before="40"/>
        <w:ind w:left="360"/>
        <w:jc w:val="both"/>
      </w:pPr>
      <w:r>
        <w:rPr>
          <w:rFonts w:ascii="Arial" w:cs="Arial" w:eastAsia="Arial" w:hAnsi="Arial"/>
          <w:color w:val="666666"/>
          <w:sz w:val="18"/>
          <w:szCs w:val="18"/>
        </w:rPr>
        <w:t xml:space="preserve">Licklider, J.C.R. (1960). Man-Computer Symbiosis. IRE Transactions on Human Factors in Electronics, 1, 4–11.</w:t>
      </w:r>
    </w:p>
    <w:p>
      <w:pPr>
        <w:spacing w:after="40" w:before="40"/>
        <w:ind w:left="360"/>
        <w:jc w:val="both"/>
      </w:pPr>
      <w:r>
        <w:rPr>
          <w:rFonts w:ascii="Arial" w:cs="Arial" w:eastAsia="Arial" w:hAnsi="Arial"/>
          <w:color w:val="666666"/>
          <w:sz w:val="18"/>
          <w:szCs w:val="18"/>
        </w:rPr>
        <w:t xml:space="preserve">MacIntyre, A. (1981). After Virtue. University of Notre Dame Press.</w:t>
      </w:r>
    </w:p>
    <w:p>
      <w:pPr>
        <w:spacing w:after="40" w:before="40"/>
        <w:ind w:left="360"/>
        <w:jc w:val="both"/>
      </w:pPr>
      <w:r>
        <w:rPr>
          <w:rFonts w:ascii="Arial" w:cs="Arial" w:eastAsia="Arial" w:hAnsi="Arial"/>
          <w:color w:val="666666"/>
          <w:sz w:val="18"/>
          <w:szCs w:val="18"/>
        </w:rPr>
        <w:t xml:space="preserve">Maturana, H.R., &amp; Varela, F.J. (1980). Autopoiesis and Cognition: The Realization of the Living. D. Reidel.</w:t>
      </w:r>
    </w:p>
    <w:p>
      <w:pPr>
        <w:spacing w:after="40" w:before="40"/>
        <w:ind w:left="360"/>
        <w:jc w:val="both"/>
      </w:pPr>
      <w:r>
        <w:rPr>
          <w:rFonts w:ascii="Arial" w:cs="Arial" w:eastAsia="Arial" w:hAnsi="Arial"/>
          <w:color w:val="666666"/>
          <w:sz w:val="18"/>
          <w:szCs w:val="18"/>
        </w:rPr>
        <w:t xml:space="preserve">McMahan, H.B., et al. (2017). Communication-Efficient Learning of Deep Networks from Decentralized Data. AISTATS 2017.</w:t>
      </w:r>
    </w:p>
    <w:p>
      <w:pPr>
        <w:spacing w:after="40" w:before="40"/>
        <w:ind w:left="360"/>
        <w:jc w:val="both"/>
      </w:pPr>
      <w:r>
        <w:rPr>
          <w:rFonts w:ascii="Arial" w:cs="Arial" w:eastAsia="Arial" w:hAnsi="Arial"/>
          <w:color w:val="666666"/>
          <w:sz w:val="18"/>
          <w:szCs w:val="18"/>
        </w:rPr>
        <w:t xml:space="preserve">Merleau-Ponty, M. (1945). Phénoménologie de la perception. Gallimard. English: Phenomenology of Perception. Routledge, 1962.</w:t>
      </w:r>
    </w:p>
    <w:p>
      <w:pPr>
        <w:spacing w:after="40" w:before="40"/>
        <w:ind w:left="360"/>
        <w:jc w:val="both"/>
      </w:pPr>
      <w:r>
        <w:rPr>
          <w:rFonts w:ascii="Arial" w:cs="Arial" w:eastAsia="Arial" w:hAnsi="Arial"/>
          <w:color w:val="666666"/>
          <w:sz w:val="18"/>
          <w:szCs w:val="18"/>
        </w:rPr>
        <w:t xml:space="preserve">Mikolov, T., et al. (2013). Distributed Representations of Words and Phrases and their Compositionality. NeurIPS 2013.</w:t>
      </w:r>
    </w:p>
    <w:p>
      <w:pPr>
        <w:spacing w:after="40" w:before="40"/>
        <w:ind w:left="360"/>
        <w:jc w:val="both"/>
      </w:pPr>
      <w:r>
        <w:rPr>
          <w:rFonts w:ascii="Arial" w:cs="Arial" w:eastAsia="Arial" w:hAnsi="Arial"/>
          <w:color w:val="666666"/>
          <w:sz w:val="18"/>
          <w:szCs w:val="18"/>
        </w:rPr>
        <w:t xml:space="preserve">Parasuraman, R., &amp; Wickens, C.D. (2008). Humans: Still Vital After All These Years of Automation. Human Factors, 50(3), 511–520.</w:t>
      </w:r>
    </w:p>
    <w:p>
      <w:pPr>
        <w:spacing w:after="40" w:before="40"/>
        <w:ind w:left="360"/>
        <w:jc w:val="both"/>
      </w:pPr>
      <w:r>
        <w:rPr>
          <w:rFonts w:ascii="Arial" w:cs="Arial" w:eastAsia="Arial" w:hAnsi="Arial"/>
          <w:color w:val="666666"/>
          <w:sz w:val="18"/>
          <w:szCs w:val="18"/>
        </w:rPr>
        <w:t xml:space="preserve">Pennington, J., Socher, R., &amp; Manning, C.D. (2014). GloVe: Global Vectors for Word Representation. EMNLP 2014.</w:t>
      </w:r>
    </w:p>
    <w:p>
      <w:pPr>
        <w:spacing w:after="40" w:before="40"/>
        <w:ind w:left="360"/>
        <w:jc w:val="both"/>
      </w:pPr>
      <w:r>
        <w:rPr>
          <w:rFonts w:ascii="Arial" w:cs="Arial" w:eastAsia="Arial" w:hAnsi="Arial"/>
          <w:color w:val="666666"/>
          <w:sz w:val="18"/>
          <w:szCs w:val="18"/>
        </w:rPr>
        <w:t xml:space="preserve">Picard, R.W. (1997). Affective Computing. MIT Press.</w:t>
      </w:r>
    </w:p>
    <w:p>
      <w:pPr>
        <w:spacing w:after="40" w:before="40"/>
        <w:ind w:left="360"/>
        <w:jc w:val="both"/>
      </w:pPr>
      <w:r>
        <w:rPr>
          <w:rFonts w:ascii="Arial" w:cs="Arial" w:eastAsia="Arial" w:hAnsi="Arial"/>
          <w:color w:val="666666"/>
          <w:sz w:val="18"/>
          <w:szCs w:val="18"/>
        </w:rPr>
        <w:t xml:space="preserve">Shneiderman, B. (2022). Human-Centered AI. Oxford University Press.</w:t>
      </w:r>
    </w:p>
    <w:p>
      <w:pPr>
        <w:spacing w:after="40" w:before="40"/>
        <w:ind w:left="360"/>
        <w:jc w:val="both"/>
      </w:pPr>
      <w:r>
        <w:rPr>
          <w:rFonts w:ascii="Arial" w:cs="Arial" w:eastAsia="Arial" w:hAnsi="Arial"/>
          <w:color w:val="666666"/>
          <w:sz w:val="18"/>
          <w:szCs w:val="18"/>
        </w:rPr>
        <w:t xml:space="preserve">Soldini, I. (2020). Il soggetto e la cura. Contributi di pedagogia critica. Ed. di riferimento.</w:t>
      </w:r>
    </w:p>
    <w:p>
      <w:pPr>
        <w:spacing w:after="40" w:before="40"/>
        <w:ind w:left="360"/>
        <w:jc w:val="both"/>
      </w:pPr>
      <w:r>
        <w:rPr>
          <w:rFonts w:ascii="Arial" w:cs="Arial" w:eastAsia="Arial" w:hAnsi="Arial"/>
          <w:color w:val="666666"/>
          <w:sz w:val="18"/>
          <w:szCs w:val="18"/>
        </w:rPr>
        <w:t xml:space="preserve">Surowiecki, J. (2004). The Wisdom of Crowds. Doubleday.</w:t>
      </w:r>
    </w:p>
    <w:p>
      <w:pPr>
        <w:spacing w:after="40" w:before="40"/>
        <w:ind w:left="360"/>
        <w:jc w:val="both"/>
      </w:pPr>
      <w:r>
        <w:rPr>
          <w:rFonts w:ascii="Arial" w:cs="Arial" w:eastAsia="Arial" w:hAnsi="Arial"/>
          <w:color w:val="666666"/>
          <w:sz w:val="18"/>
          <w:szCs w:val="18"/>
        </w:rPr>
        <w:t xml:space="preserve">Teilhard de Chardin, P. (1955). Le Phénomène Humain. Éditions du Seuil. English: The Phenomenon of Man. Harper, 1959.</w:t>
      </w:r>
    </w:p>
    <w:p>
      <w:pPr>
        <w:spacing w:after="40" w:before="40"/>
        <w:ind w:left="360"/>
        <w:jc w:val="both"/>
      </w:pPr>
      <w:r>
        <w:rPr>
          <w:rFonts w:ascii="Arial" w:cs="Arial" w:eastAsia="Arial" w:hAnsi="Arial"/>
          <w:color w:val="666666"/>
          <w:sz w:val="18"/>
          <w:szCs w:val="18"/>
        </w:rPr>
        <w:t xml:space="preserve">Von Frisch, K. (1967). The Dance Language and Orientation of Bees. Harvard University Press.</w:t>
      </w:r>
    </w:p>
    <w:p>
      <w:pPr>
        <w:spacing w:after="40" w:before="40"/>
        <w:ind w:left="360"/>
        <w:jc w:val="both"/>
      </w:pPr>
      <w:r>
        <w:rPr>
          <w:rFonts w:ascii="Arial" w:cs="Arial" w:eastAsia="Arial" w:hAnsi="Arial"/>
          <w:color w:val="666666"/>
          <w:sz w:val="18"/>
          <w:szCs w:val="18"/>
        </w:rPr>
        <w:t xml:space="preserve">Bishop, M. (2012). Radical post-cognitivism: new approaches to intelligence and the mind. Inaugural lecture, Goldsmiths, University of London.</w:t>
      </w:r>
    </w:p>
    <w:p>
      <w:pPr>
        <w:spacing w:after="40" w:before="40"/>
        <w:ind w:left="360"/>
        <w:jc w:val="both"/>
      </w:pPr>
      <w:r>
        <w:rPr>
          <w:rFonts w:ascii="Arial" w:cs="Arial" w:eastAsia="Arial" w:hAnsi="Arial"/>
          <w:color w:val="666666"/>
          <w:sz w:val="18"/>
          <w:szCs w:val="18"/>
        </w:rPr>
        <w:t xml:space="preserve">Froese, T. (2011). Breathing new life into cognitive science. Avant, 2(1), 113–129.</w:t>
      </w:r>
    </w:p>
    <w:p>
      <w:pPr>
        <w:spacing w:after="40" w:before="40"/>
        <w:ind w:left="360"/>
        <w:jc w:val="both"/>
      </w:pPr>
      <w:r>
        <w:rPr>
          <w:rFonts w:ascii="Arial" w:cs="Arial" w:eastAsia="Arial" w:hAnsi="Arial"/>
          <w:color w:val="666666"/>
          <w:sz w:val="18"/>
          <w:szCs w:val="18"/>
        </w:rPr>
        <w:t xml:space="preserve">Laird, J.E., Newell, A., Rosenbloom, P.S. (1987). Soar: An Architecture for General Intelligence. Artificial Intelligence, 33(3), 1–64.</w:t>
      </w:r>
    </w:p>
    <w:p>
      <w:pPr>
        <w:spacing w:after="40" w:before="40"/>
        <w:ind w:left="360"/>
        <w:jc w:val="both"/>
      </w:pPr>
      <w:r>
        <w:rPr>
          <w:rFonts w:ascii="Arial" w:cs="Arial" w:eastAsia="Arial" w:hAnsi="Arial"/>
          <w:color w:val="666666"/>
          <w:sz w:val="18"/>
          <w:szCs w:val="18"/>
        </w:rPr>
        <w:t xml:space="preserve">Laird, J.E. (2012). The Soar Cognitive Architecture. MIT Press.</w:t>
      </w:r>
    </w:p>
    <w:p>
      <w:pPr>
        <w:spacing w:after="60" w:before="60"/>
      </w:pPr>
      <w:r>
        <w:rPr>
          <w:rFonts w:ascii="Arial" w:cs="Arial" w:eastAsia="Arial" w:hAnsi="Arial"/>
        </w:rPr>
        <w:t xml:space="preserve"/>
      </w:r>
    </w:p>
    <w:p>
      <w:pPr>
        <w:pBdr>
          <w:top w:val="single" w:color="CCCCCC" w:sz="4" w:space="4"/>
        </w:pBdr>
        <w:spacing w:after="80" w:before="200"/>
      </w:pPr>
      <w:r>
        <w:rPr>
          <w:rFonts w:ascii="Arial" w:cs="Arial" w:eastAsia="Arial" w:hAnsi="Arial"/>
          <w:i/>
          <w:iCs/>
          <w:color w:val="888888"/>
          <w:sz w:val="18"/>
          <w:szCs w:val="18"/>
        </w:rPr>
        <w:t xml:space="preserve">© 2026 — AURA Working Paper | Marco Giuseppe Beozzi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640"/>
      </w:tabs>
      <w:spacing w:after="0" w:before="120"/>
    </w:pPr>
    <w:r>
      <w:rPr>
        <w:rFonts w:ascii="Arial" w:cs="Arial" w:eastAsia="Arial" w:hAnsi="Arial"/>
        <w:color w:val="888888"/>
        <w:sz w:val="18"/>
        <w:szCs w:val="18"/>
      </w:rPr>
      <w:t xml:space="preserve">Marco Giuseppe Beozzi</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spacing w:after="120" w:before="0"/>
    </w:pPr>
    <w:r>
      <w:rPr>
        <w:rFonts w:ascii="Arial" w:cs="Arial" w:eastAsia="Arial" w:hAnsi="Arial"/>
        <w:color w:val="555555"/>
        <w:sz w:val="18"/>
        <w:szCs w:val="18"/>
      </w:rPr>
      <w:t xml:space="preserve">AURA — Autopoietic Unified Resilience Architecture</w:t>
    </w:r>
    <w:r>
      <w:rPr>
        <w:rFonts w:ascii="Arial" w:cs="Arial" w:eastAsia="Arial" w:hAnsi="Arial"/>
        <w:color w:val="888888"/>
        <w:sz w:val="18"/>
        <w:szCs w:val="18"/>
      </w:rPr>
      <w:t xml:space="preserve">	Working Paper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3de343688274ce2e42e71e5b36a53f0dc27d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2026-06-07T09:33:47.188Z</dcterms:created>
  <dcterms:modified xsi:type="dcterms:W3CDTF">2026-06-07T09:33:47.189Z</dcterms:modified>
</cp:coreProperties>
</file>

<file path=docProps/custom.xml><?xml version="1.0" encoding="utf-8"?>
<Properties xmlns="http://schemas.openxmlformats.org/officeDocument/2006/custom-properties" xmlns:vt="http://schemas.openxmlformats.org/officeDocument/2006/docPropsVTypes"/>
</file>