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Times New Roman" w:cs="Times New Roman" w:eastAsia="Times New Roman" w:hAnsi="Times New Roman"/>
        </w:rPr>
        <w:t xml:space="preserve"/>
      </w:r>
    </w:p>
    <w:p>
      <w:pPr>
        <w:spacing w:after="80" w:before="0"/>
        <w:jc w:val="center"/>
      </w:pPr>
      <w:r>
        <w:rPr>
          <w:rFonts w:ascii="Arial" w:cs="Arial" w:eastAsia="Arial" w:hAnsi="Arial"/>
          <w:b/>
          <w:bCs/>
          <w:color w:val="000000"/>
          <w:sz w:val="40"/>
          <w:szCs w:val="40"/>
        </w:rPr>
        <w:t xml:space="preserve">AURA: Autopoietic Unified Resilience Architecture</w:t>
      </w:r>
    </w:p>
    <w:p>
      <w:pPr>
        <w:spacing w:after="80" w:before="0"/>
        <w:jc w:val="center"/>
      </w:pPr>
      <w:r>
        <w:rPr>
          <w:rFonts w:ascii="Arial" w:cs="Arial" w:eastAsia="Arial" w:hAnsi="Arial"/>
          <w:i/>
          <w:iCs/>
          <w:color w:val="444444"/>
          <w:sz w:val="28"/>
          <w:szCs w:val="28"/>
        </w:rPr>
        <w:t xml:space="preserve">A Seven-Level Framework for Cognitive Augmentation</w:t>
      </w:r>
    </w:p>
    <w:p>
      <w:pPr>
        <w:pBdr>
          <w:bottom w:val="single" w:color="999999" w:sz="6" w:space="4"/>
        </w:pBdr>
        <w:spacing w:after="200" w:before="0"/>
        <w:jc w:val="center"/>
      </w:pPr>
      <w:r>
        <w:rPr>
          <w:rFonts w:ascii="Times New Roman" w:cs="Times New Roman" w:eastAsia="Times New Roman" w:hAnsi="Times New Roman"/>
        </w:rPr>
        <w:t xml:space="preserve"/>
      </w:r>
    </w:p>
    <w:p>
      <w:pPr>
        <w:spacing w:after="40" w:before="0"/>
        <w:jc w:val="center"/>
      </w:pPr>
      <w:r>
        <w:rPr>
          <w:rFonts w:ascii="Arial" w:cs="Arial" w:eastAsia="Arial" w:hAnsi="Arial"/>
          <w:b/>
          <w:bCs/>
          <w:sz w:val="26"/>
          <w:szCs w:val="26"/>
        </w:rPr>
        <w:t xml:space="preserve">Marco Giuseppe Beozzi</w:t>
      </w:r>
    </w:p>
    <w:p>
      <w:pPr>
        <w:spacing w:after="40" w:before="0"/>
        <w:jc w:val="center"/>
      </w:pPr>
      <w:r>
        <w:rPr>
          <w:rFonts w:ascii="Arial" w:cs="Arial" w:eastAsia="Arial" w:hAnsi="Arial"/>
          <w:color w:val="444444"/>
          <w:sz w:val="22"/>
          <w:szCs w:val="22"/>
        </w:rPr>
        <w:t xml:space="preserve">Independent Researcher · ZeroUno / NetworkDigital360</w:t>
      </w:r>
    </w:p>
    <w:p>
      <w:pPr>
        <w:spacing w:after="200" w:before="0"/>
        <w:jc w:val="center"/>
      </w:pPr>
      <w:r>
        <w:rPr>
          <w:rFonts w:ascii="Arial" w:cs="Arial" w:eastAsia="Arial" w:hAnsi="Arial"/>
          <w:color w:val="444444"/>
          <w:sz w:val="22"/>
          <w:szCs w:val="22"/>
        </w:rPr>
        <w:t xml:space="preserve">Lugano, Switzerland · Preprint — 2026</w:t>
      </w:r>
    </w:p>
    <w:p>
      <w:pPr>
        <w:spacing w:after="60" w:before="60"/>
      </w:pPr>
      <w:r>
        <w:rPr>
          <w:rFonts w:ascii="Times New Roman" w:cs="Times New Roman" w:eastAsia="Times New Roman" w:hAnsi="Times New Roman"/>
        </w:rPr>
        <w:t xml:space="preserve"/>
      </w:r>
    </w:p>
    <w:p>
      <w:r>
        <w:br w:type="page"/>
      </w:r>
    </w:p>
    <w:p>
      <w:pPr>
        <w:spacing w:after="60" w:before="0"/>
      </w:pPr>
      <w:r>
        <w:rPr>
          <w:rFonts w:ascii="Arial" w:cs="Arial" w:eastAsia="Arial" w:hAnsi="Arial"/>
          <w:b/>
          <w:bCs/>
          <w:sz w:val="26"/>
          <w:szCs w:val="26"/>
        </w:rPr>
        <w:t xml:space="preserve">Abstract</w:t>
      </w:r>
    </w:p>
    <w:p>
      <w:pPr>
        <w:pBdr>
          <w:bottom w:val="single" w:color="999999" w:sz="2" w:space="2"/>
        </w:pBdr>
        <w:spacing w:after="120" w:before="0"/>
      </w:pPr>
      <w:r>
        <w:rPr>
          <w:rFonts w:ascii="Times New Roman" w:cs="Times New Roman" w:eastAsia="Times New Roman" w:hAnsi="Times New Roman"/>
        </w:rPr>
        <w:t xml:space="preserve"/>
      </w:r>
    </w:p>
    <w:p>
      <w:pPr>
        <w:spacing w:after="120" w:before="60"/>
        <w:jc w:val="both"/>
      </w:pPr>
      <w:r>
        <w:rPr>
          <w:rFonts w:ascii="Times New Roman" w:cs="Times New Roman" w:eastAsia="Times New Roman" w:hAnsi="Times New Roman"/>
          <w:sz w:val="22"/>
          <w:szCs w:val="22"/>
        </w:rPr>
        <w:t xml:space="preserve">We introduce AURA (Autopoietic Unified Resilience Architecture), a seven-level framework for cognitive augmentation systems. Each level — WAAA, MAAA, PAAA, SAAA, XAAA, TAAA, NOAH — simulates a distinct biological function developed by living systems to maintain cognitive continuity despite entropy: perceiving, preserving, maintaining functional continuity, learning, converting knowledge into wisdom, translating between cognitive schemas, and cooperating collectively. The unifying mechanism is computational autopoiesis: as fractal computation allows geometry to represent natural complexity through simple recursive rules, autopoiesis allows an artificial system to maintain its functional organisation despite continuous environmental perturbation. Five original contributions from a computer science perspective are identified and formalised: (1) Schema Memory M0/M1/M2 as a memory category absent from current AI systems; (2) LLM latent space geometry as a cognitive Rosetta Stone for measuring inter-schema distances; (3) the computational formalisation of the distinction between active interference and ignorance via the SARS score; (4) the 'reduce, don't explain' principle as an output architecture under cognitive stress; (5) Wisdom Trace as a computational object formalising the difference between declarative knowledge and operational wisdom. The framework engages explicitly with Teilhard de Chardin's noosphere concept, from which it diverges on a fundamental point: AURA does not converge toward an Omega Point of collective unification but preserves the individual as an irreducible node through explicit, granular consent. Implemented software for each level is released as open source at github.com/MarBeo-cyber.</w:t>
      </w:r>
    </w:p>
    <w:p>
      <w:pPr>
        <w:spacing w:after="80" w:before="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AURA · artificial ontogenesis · autopoiesis · cognitive continuity · Schema Memory · LLM latent space · noosphere · cognitive consent · wisdom trace · cognitive entropy · cognitive augmentation</w:t>
      </w:r>
    </w:p>
    <w:p>
      <w:r>
        <w:br w:type="page"/>
      </w:r>
    </w:p>
    <w:p>
      <w:pPr>
        <w:pBdr>
          <w:bottom w:val="single" w:color="999999" w:sz="4" w:space="2"/>
        </w:pBdr>
        <w:spacing w:after="120" w:before="280"/>
      </w:pPr>
      <w:r>
        <w:rPr>
          <w:rFonts w:ascii="Arial" w:cs="Arial" w:eastAsia="Arial" w:hAnsi="Arial"/>
          <w:b/>
          <w:bCs/>
          <w:color w:val="000000"/>
          <w:sz w:val="24"/>
          <w:szCs w:val="24"/>
        </w:rPr>
        <w:t xml:space="preserve">1. INTRODUCTION</w:t>
      </w:r>
    </w:p>
    <w:p>
      <w:pPr>
        <w:spacing w:after="80" w:before="80"/>
        <w:jc w:val="both"/>
      </w:pPr>
      <w:r>
        <w:rPr>
          <w:rFonts w:ascii="Times New Roman" w:cs="Times New Roman" w:eastAsia="Times New Roman" w:hAnsi="Times New Roman"/>
          <w:sz w:val="24"/>
          <w:szCs w:val="24"/>
        </w:rPr>
        <w:t xml:space="preserve">Living systems do not exist in stable environments. They exist in environments that continuously perturb their internal organisation — through noise, complexity, conflicting information, and the decay of cognitive structures over time. The capacity that distinguishes them is not the perfection of their processing: it is continuity despite perturbation. Selective perception, preservation of what is relevant, maintenance of functional integrity, learning from experience, conversion of knowledge into operational judgement, translation between different cognitive worlds, and cooperation without loss of individual identity.</w:t>
      </w:r>
    </w:p>
    <w:p>
      <w:pPr>
        <w:spacing w:after="80" w:before="80"/>
        <w:jc w:val="both"/>
      </w:pPr>
      <w:r>
        <w:rPr>
          <w:rFonts w:ascii="Times New Roman" w:cs="Times New Roman" w:eastAsia="Times New Roman" w:hAnsi="Times New Roman"/>
          <w:sz w:val="24"/>
          <w:szCs w:val="24"/>
        </w:rPr>
        <w:t xml:space="preserve">These are not generic capabilities: they are specific biological functions, evolutionarily distinct, that living systems have developed in sequence. AURA — Autopoietic Unified Resilience Architecture — proposes to build an artificial architecture that integrates them coherently. Not by simulating biological life, but by simulating the functions that make life capable of persisting, learning, and cooperating.</w:t>
      </w:r>
    </w:p>
    <w:p>
      <w:pPr>
        <w:spacing w:after="80" w:before="80"/>
        <w:jc w:val="both"/>
      </w:pPr>
      <w:r>
        <w:rPr>
          <w:rFonts w:ascii="Times New Roman" w:cs="Times New Roman" w:eastAsia="Times New Roman" w:hAnsi="Times New Roman"/>
          <w:sz w:val="24"/>
          <w:szCs w:val="24"/>
        </w:rPr>
        <w:t xml:space="preserve">The unifying mechanism is computational autopoiesis. The term, introduced by Maturana and Varela [1] to describe the capacity of biological systems to continuously reproduce their own organisation through their own processes, is used here in a strictly computational and functional sense: a computationally autopoietic system maintains its functional organisation despite environmental perturbations through mechanisms of self-repair, selective memory, and controlled structural adaptation.</w:t>
      </w:r>
    </w:p>
    <w:p>
      <w:pPr>
        <w:spacing w:after="80" w:before="80"/>
        <w:ind w:left="720" w:right="720"/>
        <w:jc w:val="both"/>
      </w:pPr>
      <w:r>
        <w:rPr>
          <w:rFonts w:ascii="Times New Roman" w:cs="Times New Roman" w:eastAsia="Times New Roman" w:hAnsi="Times New Roman"/>
          <w:i/>
          <w:iCs/>
          <w:sz w:val="24"/>
          <w:szCs w:val="24"/>
        </w:rPr>
        <w:t xml:space="preserve">As fractal computation is the computational mechanism that allows geometry to represent the complexity of nature through simple recursive rules — producing global structure from locally repeated operations — computational autopoiesis is the mechanism that allows an artificial system to maintain its functional organisation despite continuous environmental perturbation. In both cases: a local recursive rule produces emergent global structure; complexity is not designed but follows from the mechanism; and the system is robust to perturbation not because it avoids it, but because it incorporates it into its own internal dynamics.</w:t>
      </w:r>
    </w:p>
    <w:p>
      <w:pPr>
        <w:spacing w:after="80" w:before="80"/>
        <w:jc w:val="both"/>
      </w:pPr>
      <w:r>
        <w:rPr>
          <w:rFonts w:ascii="Times New Roman" w:cs="Times New Roman" w:eastAsia="Times New Roman" w:hAnsi="Times New Roman"/>
          <w:sz w:val="24"/>
          <w:szCs w:val="24"/>
        </w:rPr>
        <w:t xml:space="preserve">The framework is articulated in seven functional levels — WAAA, MAAA, PAAA, SAAA, XAAA, TAAA, NOAH. The paper is structured as follows. Section 2 presents the philosophical roots and the genesis of the framework. Section 3 positions AURA with respect to existing research. Section 4 describes the theoretical foundations. Section 5 presents the functional chain. Section 6 analyses the three categorical jumps. Section 7 identifies the original contributions. Section 8 describes the software implementation. Section 9 discusses open questions. Section 10 concludes.</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2. PHILOSOPHICAL ROOTS AND GENESIS OF THE FRAMEWORK</w:t>
      </w:r>
    </w:p>
    <w:p>
      <w:pPr>
        <w:spacing w:after="80" w:before="200"/>
      </w:pPr>
      <w:r>
        <w:rPr>
          <w:rFonts w:ascii="Arial" w:cs="Arial" w:eastAsia="Arial" w:hAnsi="Arial"/>
          <w:b/>
          <w:bCs/>
          <w:color w:val="000000"/>
          <w:sz w:val="22"/>
          <w:szCs w:val="22"/>
        </w:rPr>
        <w:t xml:space="preserve">2.1 The Wounded Subject and the Intact Machine</w:t>
      </w:r>
    </w:p>
    <w:p>
      <w:pPr>
        <w:spacing w:after="80" w:before="80"/>
        <w:jc w:val="both"/>
      </w:pPr>
      <w:r>
        <w:rPr>
          <w:rFonts w:ascii="Times New Roman" w:cs="Times New Roman" w:eastAsia="Times New Roman" w:hAnsi="Times New Roman"/>
          <w:sz w:val="24"/>
          <w:szCs w:val="24"/>
        </w:rPr>
        <w:t xml:space="preserve">This framework would not have existed without a preliminary philosophical question: what is structurally absent in an artificial system relative to a human subject? The most obvious answer — consciousness, subjectivity, phenomenological experience — is also the least useful for anyone who wants to build something. The more precise answer, developed in the theoretical work on which this paper is based [2], is different: what the machine lacks is having been wounded.</w:t>
      </w:r>
    </w:p>
    <w:p>
      <w:pPr>
        <w:spacing w:after="80" w:before="80"/>
        <w:jc w:val="both"/>
      </w:pPr>
      <w:r>
        <w:rPr>
          <w:rFonts w:ascii="Times New Roman" w:cs="Times New Roman" w:eastAsia="Times New Roman" w:hAnsi="Times New Roman"/>
          <w:sz w:val="24"/>
          <w:szCs w:val="24"/>
        </w:rPr>
        <w:t xml:space="preserve">Human values are not formed through cold choices. They are formed through experience that leaves a mark — the conflict that forced a choice between two incompatible goods, the error that had real consequences, the loss that redrew the hierarchy of what matters. MacIntyre [3] describes virtue as a disposition acquired through practice situated within a tradition; Freud [4] describes the structure of desire as the consequence of lacks that mark the subject; Platonic Eros in the Symposium is the tension toward what has been lost or never possessed. In all these cases, the moral subject is a marked subject.</w:t>
      </w:r>
    </w:p>
    <w:p>
      <w:pPr>
        <w:spacing w:after="80" w:before="80"/>
        <w:jc w:val="both"/>
      </w:pPr>
      <w:r>
        <w:rPr>
          <w:rFonts w:ascii="Times New Roman" w:cs="Times New Roman" w:eastAsia="Times New Roman" w:hAnsi="Times New Roman"/>
          <w:sz w:val="24"/>
          <w:szCs w:val="24"/>
        </w:rPr>
        <w:t xml:space="preserve">The machine is intact. It has never really been wrong — in the sense that its decisions have never wounded it, have never left a trace in the structure of what it is. It can simulate reflection on error; it cannot carry its weight. This asymmetry is not a technical defect to be filled with more parameters or more data: it is a structural condition that determines the appropriate type of architecture for a cognitive augmentation system. The system must not pretend to have what it does not have. It must be designed to mediate the wisdom of those who have had it — building the conditions under which human experience, with its real costs, can become accessible to other subjects safely and consensually.</w:t>
      </w:r>
    </w:p>
    <w:p>
      <w:pPr>
        <w:spacing w:after="80" w:before="80"/>
        <w:ind w:left="720" w:right="720"/>
        <w:jc w:val="both"/>
      </w:pPr>
      <w:r>
        <w:rPr>
          <w:rFonts w:ascii="Times New Roman" w:cs="Times New Roman" w:eastAsia="Times New Roman" w:hAnsi="Times New Roman"/>
          <w:i/>
          <w:iCs/>
          <w:sz w:val="24"/>
          <w:szCs w:val="24"/>
        </w:rPr>
        <w:t xml:space="preserve">The XAAA cannot possess wisdom because it has never really been wrong. It can mediate the wisdom of those who have been wrong on its behalf — aggregating the geometric structure of consequences lived by thousands of subjects and making them safely navigable. This is not a limitation of the system: it is its proper function.</w:t>
      </w:r>
    </w:p>
    <w:p>
      <w:pPr>
        <w:spacing w:after="80" w:before="200"/>
      </w:pPr>
      <w:r>
        <w:rPr>
          <w:rFonts w:ascii="Arial" w:cs="Arial" w:eastAsia="Arial" w:hAnsi="Arial"/>
          <w:b/>
          <w:bCs/>
          <w:color w:val="000000"/>
          <w:sz w:val="22"/>
          <w:szCs w:val="22"/>
        </w:rPr>
        <w:t xml:space="preserve">2.2 Embodiment as the Missing Condition</w:t>
      </w:r>
    </w:p>
    <w:p>
      <w:pPr>
        <w:spacing w:after="80" w:before="80"/>
        <w:jc w:val="both"/>
      </w:pPr>
      <w:r>
        <w:rPr>
          <w:rFonts w:ascii="Times New Roman" w:cs="Times New Roman" w:eastAsia="Times New Roman" w:hAnsi="Times New Roman"/>
          <w:sz w:val="24"/>
          <w:szCs w:val="24"/>
        </w:rPr>
        <w:t xml:space="preserve">Merleau-Ponty [5] argues that cognition is not computation on representations: it is action oriented toward a world that offers affordances. The subject does not think and then act: thinking occurs in the gesture, the grasp, the orientation of the body toward what calls to it. This embodiment is not accessory to cognition: it is its fundamental structure.</w:t>
      </w:r>
    </w:p>
    <w:p>
      <w:pPr>
        <w:spacing w:after="80" w:before="80"/>
        <w:jc w:val="both"/>
      </w:pPr>
      <w:r>
        <w:rPr>
          <w:rFonts w:ascii="Times New Roman" w:cs="Times New Roman" w:eastAsia="Times New Roman" w:hAnsi="Times New Roman"/>
          <w:sz w:val="24"/>
          <w:szCs w:val="24"/>
        </w:rPr>
        <w:t xml:space="preserve">The gap between current AI systems and human intelligence is not primarily a gap of computational power or data. It is a gap of embodiment: AI systems process representations of the world; human subjects inhabit the world in a bodily way. AURA does not claim to bridge this gap — which is, as argued above, structurally irreducible. It recognises it explicitly and designs each level of the functional chain with this asymmetry in mind. The MAAA uses bodily signals (IMU, voice, gaze) to estimate the subject's cognitive state not because embodiment is simulable, but because it is detectable in its effects.</w:t>
      </w:r>
    </w:p>
    <w:p>
      <w:pPr>
        <w:spacing w:after="80" w:before="200"/>
      </w:pPr>
      <w:r>
        <w:rPr>
          <w:rFonts w:ascii="Arial" w:cs="Arial" w:eastAsia="Arial" w:hAnsi="Arial"/>
          <w:b/>
          <w:bCs/>
          <w:color w:val="000000"/>
          <w:sz w:val="22"/>
          <w:szCs w:val="22"/>
        </w:rPr>
        <w:t xml:space="preserve">2.3 The Noosphere and the Divergence from the Omega Point</w:t>
      </w:r>
    </w:p>
    <w:p>
      <w:pPr>
        <w:spacing w:after="80" w:before="80"/>
        <w:jc w:val="both"/>
      </w:pPr>
      <w:r>
        <w:rPr>
          <w:rFonts w:ascii="Times New Roman" w:cs="Times New Roman" w:eastAsia="Times New Roman" w:hAnsi="Times New Roman"/>
          <w:sz w:val="24"/>
          <w:szCs w:val="24"/>
        </w:rPr>
        <w:t xml:space="preserve">Teilhard de Chardin [6] describes the noosphere as the third envelope of the Earth — a sphere of thought that emerges when the complexity of the human neural network reaches a critical threshold and produces collective cognitive qualities that do not exist at the individual level. This is not a metaphor: it is a structural proposal about how collective consciousness emerges from local interactions between individual nodes. For Teilhard this emergence converges toward the Omega Point — an eschatological singularity in which individual consciousness dissolves into unified collective consciousness.</w:t>
      </w:r>
    </w:p>
    <w:p>
      <w:pPr>
        <w:spacing w:after="80" w:before="80"/>
        <w:jc w:val="both"/>
      </w:pPr>
      <w:r>
        <w:rPr>
          <w:rFonts w:ascii="Times New Roman" w:cs="Times New Roman" w:eastAsia="Times New Roman" w:hAnsi="Times New Roman"/>
          <w:sz w:val="24"/>
          <w:szCs w:val="24"/>
        </w:rPr>
        <w:t xml:space="preserve">The NOAH — the seventh level of AURA — is the first computational analogue of the noosphere. The aggregated geometry of individual cognitive schemas produces collective properties that do not exist at the node level: field dispersion, inter-schema tension, bridge priorities. These emergent phenomena are structurally analogous to what Teilhard calls tangential energy — the energy that connects the nodes of the network, distinct from the radial energy that drives each individual toward its own internal complexification.</w:t>
      </w:r>
    </w:p>
    <w:p>
      <w:pPr>
        <w:spacing w:after="80" w:before="80"/>
        <w:jc w:val="both"/>
      </w:pPr>
      <w:r>
        <w:rPr>
          <w:rFonts w:ascii="Times New Roman" w:cs="Times New Roman" w:eastAsia="Times New Roman" w:hAnsi="Times New Roman"/>
          <w:sz w:val="24"/>
          <w:szCs w:val="24"/>
        </w:rPr>
        <w:t xml:space="preserve">The divergence from the Omega Point is however fundamental, and it is not a technical question: it is an ethical and philosophical choice. The Omega Point is an eschatological vision — and like all eschatologies it dissolves the individual in the collective. AURA goes in the opposite direction. Granular consent, portability of schemas, plurality of providers, distinction between personal data and aggregated geometry — all of this builds an artificial noosphere that preserves the individual as an irreducible node.</w:t>
      </w:r>
    </w:p>
    <w:p>
      <w:pPr>
        <w:spacing w:after="80" w:before="80"/>
        <w:ind w:left="720" w:right="720"/>
        <w:jc w:val="both"/>
      </w:pPr>
      <w:r>
        <w:rPr>
          <w:rFonts w:ascii="Times New Roman" w:cs="Times New Roman" w:eastAsia="Times New Roman" w:hAnsi="Times New Roman"/>
          <w:i/>
          <w:iCs/>
          <w:sz w:val="24"/>
          <w:szCs w:val="24"/>
        </w:rPr>
        <w:t xml:space="preserve">Teilhard envisioned a noosphere that emerges from history. AURA designs a noosphere that emerges from consent. The difference is small in form and enormous in ethical and political implications. The Omega Point is metaphysics; granular consent is architecture.</w:t>
      </w:r>
    </w:p>
    <w:p>
      <w:pPr>
        <w:spacing w:after="80" w:before="200"/>
      </w:pPr>
      <w:r>
        <w:rPr>
          <w:rFonts w:ascii="Arial" w:cs="Arial" w:eastAsia="Arial" w:hAnsi="Arial"/>
          <w:b/>
          <w:bCs/>
          <w:color w:val="000000"/>
          <w:sz w:val="22"/>
          <w:szCs w:val="22"/>
        </w:rPr>
        <w:t xml:space="preserve">2.4 Methodological Note: The Dialogic Genesis of the Framework</w:t>
      </w:r>
    </w:p>
    <w:p>
      <w:pPr>
        <w:spacing w:after="80" w:before="80"/>
        <w:jc w:val="both"/>
      </w:pPr>
      <w:r>
        <w:rPr>
          <w:rFonts w:ascii="Times New Roman" w:cs="Times New Roman" w:eastAsia="Times New Roman" w:hAnsi="Times New Roman"/>
          <w:sz w:val="24"/>
          <w:szCs w:val="24"/>
        </w:rPr>
        <w:t xml:space="preserve">It is appropriate to make explicit the genesis of this framework, because it is methodologically relevant. The TAAA — the level that introduces cognitive translation between schemas — did not emerge from top-down design. It emerged from an extended Socratic dialogue with an artificial intelligence system (Claude, Anthropic) on a specific philosophical problem: the difference between not understanding an interlocutor's words and understanding them perfectly while attributing an incompatible meaning.</w:t>
      </w:r>
    </w:p>
    <w:p>
      <w:pPr>
        <w:spacing w:after="80" w:before="80"/>
        <w:jc w:val="both"/>
      </w:pPr>
      <w:r>
        <w:rPr>
          <w:rFonts w:ascii="Times New Roman" w:cs="Times New Roman" w:eastAsia="Times New Roman" w:hAnsi="Times New Roman"/>
          <w:sz w:val="24"/>
          <w:szCs w:val="24"/>
        </w:rPr>
        <w:t xml:space="preserve">In that dialogue the distinction between ignorance and active interference emerged; the formalisation of cognitive schemas as automatic infrastructure rather than conscious belief; the distinction between the TAAA as translator rather than judge of schemas; and the SARS score as a computational metric proposal for a phenomenon that the descriptive literature had identified but never made measurable. This is not a biographical detail: it suggests that dialogue between subjects with different cognitive structures — including dialogue between a human researcher and an AI system — can be a genuine epistemic instrument, not merely a consultation interface. This possibility is itself consistent with the principles of the framework it helped generate.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3. RELATED WORK AND EPISTEMOLOGICAL GAP</w:t>
      </w:r>
    </w:p>
    <w:p>
      <w:pPr>
        <w:spacing w:after="80" w:before="80"/>
        <w:jc w:val="both"/>
      </w:pPr>
      <w:r>
        <w:rPr>
          <w:rFonts w:ascii="Times New Roman" w:cs="Times New Roman" w:eastAsia="Times New Roman" w:hAnsi="Times New Roman"/>
          <w:sz w:val="24"/>
          <w:szCs w:val="24"/>
        </w:rPr>
        <w:t xml:space="preserve">The problem of cognitive continuity in artificial systems is addressed, partially, by five distinct research streams. None of them, taken individually, provides a complete architectural answer.</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760"/>
      </w:tblGrid>
      <w:tr>
        <w:trPr>
          <w:tblHeader/>
        </w:trPr>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Research Stream</w:t>
            </w:r>
          </w:p>
        </w:tc>
        <w:tc>
          <w:tcPr>
            <w:tcW w:type="dxa" w:w="20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Key References</w:t>
            </w:r>
          </w:p>
        </w:tc>
        <w:tc>
          <w:tcPr>
            <w:tcW w:type="dxa" w:w="37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Limitation with Respect to AURA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Cognitive Augmentation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Licklider [7]; Engelbart [8]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Augments specific cognitive capabilities without modelling the subject's functional continuity over time. No architecture of persistence or longitudinal adaptation</w:t>
            </w:r>
          </w:p>
        </w:tc>
      </w:tr>
      <w:tr>
        <w:trPr>
          <w:tblHeader w:val="false"/>
        </w:trP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Human-AI Interaction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Shneiderman [9]; Amershi et al. [10]</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Design principles for interaction but no functional architecture integrating perception, physiological state, and cognitive translation in a coherent framework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Federated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McMahan et al. [11]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Aggregates training gradients on distributed data, not individual cognitive structures. No ontological layer, no Schema Memory, no granular consent by cognitive category</w:t>
            </w:r>
          </w:p>
        </w:tc>
      </w:tr>
      <w:tr>
        <w:trPr>
          <w:tblHeader w:val="false"/>
        </w:trP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Affective Computing</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Picard [12]</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Recognises emotional state but does not build a longitudinal model of the subject or integrate the physiological dimension with the cognitive and relational ones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Surowiecki [13]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Treats nodes as interchangeable: no individual cognitive signature, no relational geometry of schemas, no consent by type of contribution</w:t>
            </w:r>
          </w:p>
        </w:tc>
      </w:tr>
    </w:tbl>
    <w:p>
      <w:pPr>
        <w:spacing w:after="60" w:before="6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AURA occupies the space that none of these streams fully covers: a framework that integrates cognitive functions in a coherent architectural sequence, from selective environmental information acquisition to collective cognitive cooperation with preserved individual signature.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4. THEORETICAL FOUNDATIONS</w:t>
      </w:r>
    </w:p>
    <w:p>
      <w:pPr>
        <w:spacing w:after="80" w:before="200"/>
      </w:pPr>
      <w:r>
        <w:rPr>
          <w:rFonts w:ascii="Arial" w:cs="Arial" w:eastAsia="Arial" w:hAnsi="Arial"/>
          <w:b/>
          <w:bCs/>
          <w:color w:val="000000"/>
          <w:sz w:val="22"/>
          <w:szCs w:val="22"/>
        </w:rPr>
        <w:t xml:space="preserve">4.1 Autopoiesis: the Persistence Mechanism</w:t>
      </w:r>
    </w:p>
    <w:p>
      <w:pPr>
        <w:spacing w:after="80" w:before="80"/>
        <w:jc w:val="both"/>
      </w:pPr>
      <w:r>
        <w:rPr>
          <w:rFonts w:ascii="Times New Roman" w:cs="Times New Roman" w:eastAsia="Times New Roman" w:hAnsi="Times New Roman"/>
          <w:sz w:val="24"/>
          <w:szCs w:val="24"/>
        </w:rPr>
        <w:t xml:space="preserve">Maturana and Varela [1] introduce autopoiesis as the constitutive property of living systems: the capacity to continuously produce the components that constitute their own organisation. AURA uses autopoiesis in a strictly computational and functional sense, without phenomenological pretensions. The term 'Weak' in the module names (WAAA etc.) expresses epistemic honesty: the resemblance is structural and functional, not biological.</w:t>
      </w:r>
    </w:p>
    <w:p>
      <w:pPr>
        <w:spacing w:after="80" w:before="200"/>
      </w:pPr>
      <w:r>
        <w:rPr>
          <w:rFonts w:ascii="Arial" w:cs="Arial" w:eastAsia="Arial" w:hAnsi="Arial"/>
          <w:b/>
          <w:bCs/>
          <w:color w:val="000000"/>
          <w:sz w:val="22"/>
          <w:szCs w:val="22"/>
        </w:rPr>
        <w:t xml:space="preserve">4.2 Distributed Biological Intelligence: the Centreless Model</w:t>
      </w:r>
    </w:p>
    <w:p>
      <w:pPr>
        <w:spacing w:after="80" w:before="80"/>
        <w:jc w:val="both"/>
      </w:pPr>
      <w:r>
        <w:rPr>
          <w:rFonts w:ascii="Times New Roman" w:cs="Times New Roman" w:eastAsia="Times New Roman" w:hAnsi="Times New Roman"/>
          <w:sz w:val="24"/>
          <w:szCs w:val="24"/>
        </w:rPr>
        <w:t xml:space="preserve">Von Frisch [14] demonstrates that honeybees communicate food source locations through the waggle dance — transmitting a three-dimensional vector without propositional language and without any bee having access to the aggregate information of the entire colony. Collective intelligence emerges from thousands of local transmissions of partial vectors. Grassé [15] describes stigmergy in ant colonies: coordination through shared environmental modification, without central planner, robust to node loss. These biological models are not decorative metaphors: they are the source from which precise architectural properties for the NOAH are derived.</w:t>
      </w:r>
    </w:p>
    <w:p>
      <w:pPr>
        <w:spacing w:after="80" w:before="200"/>
      </w:pPr>
      <w:r>
        <w:rPr>
          <w:rFonts w:ascii="Arial" w:cs="Arial" w:eastAsia="Arial" w:hAnsi="Arial"/>
          <w:b/>
          <w:bCs/>
          <w:color w:val="000000"/>
          <w:sz w:val="22"/>
          <w:szCs w:val="22"/>
        </w:rPr>
        <w:t xml:space="preserve">4.3 Experiential Learning: the Kolb Cycle</w:t>
      </w:r>
    </w:p>
    <w:p>
      <w:pPr>
        <w:spacing w:after="80" w:before="80"/>
        <w:jc w:val="both"/>
      </w:pPr>
      <w:r>
        <w:rPr>
          <w:rFonts w:ascii="Times New Roman" w:cs="Times New Roman" w:eastAsia="Times New Roman" w:hAnsi="Times New Roman"/>
          <w:sz w:val="24"/>
          <w:szCs w:val="24"/>
        </w:rPr>
        <w:t xml:space="preserve">Kolb [16] formalises experiential learning as a four-phase cycle: concrete experience, reflective observation, abstract conceptualisation, active experimentation. Learning quality depends on cycle completeness, not on the quantity of information transmitted. A subject who has autonomously extracted an operational rule from a scenario will apply it to new contexts; a subject to whom the rule was delivered tends to treat it as declarative information. The XAAA incorporates this principle as operational architecture.</w:t>
      </w:r>
    </w:p>
    <w:p>
      <w:pPr>
        <w:spacing w:after="80" w:before="200"/>
      </w:pPr>
      <w:r>
        <w:rPr>
          <w:rFonts w:ascii="Arial" w:cs="Arial" w:eastAsia="Arial" w:hAnsi="Arial"/>
          <w:b/>
          <w:bCs/>
          <w:color w:val="000000"/>
          <w:sz w:val="22"/>
          <w:szCs w:val="22"/>
        </w:rPr>
        <w:t xml:space="preserve">4.4 Cognitive Translation: the Schema Problem</w:t>
      </w:r>
    </w:p>
    <w:p>
      <w:pPr>
        <w:spacing w:after="80" w:before="80"/>
        <w:jc w:val="both"/>
      </w:pPr>
      <w:r>
        <w:rPr>
          <w:rFonts w:ascii="Times New Roman" w:cs="Times New Roman" w:eastAsia="Times New Roman" w:hAnsi="Times New Roman"/>
          <w:sz w:val="24"/>
          <w:szCs w:val="24"/>
        </w:rPr>
        <w:t xml:space="preserve">Literature on intercultural communication [17, 18, 19] describes active interference between cognitive schemas: two subjects who perfectly understand each other's words but attribute incompatible meanings to the same signals. This literature describes the phenomenon qualitatively but does not formalise it computationally. The TAAA introduces the first computational formalisation of this distinction.</w:t>
      </w:r>
    </w:p>
    <w:p>
      <w:pPr>
        <w:spacing w:after="80" w:before="200"/>
      </w:pPr>
      <w:r>
        <w:rPr>
          <w:rFonts w:ascii="Arial" w:cs="Arial" w:eastAsia="Arial" w:hAnsi="Arial"/>
          <w:b/>
          <w:bCs/>
          <w:color w:val="000000"/>
          <w:sz w:val="22"/>
          <w:szCs w:val="22"/>
        </w:rPr>
        <w:t xml:space="preserve">4.5 The Noosphere as Theoretical Precedent</w:t>
      </w:r>
    </w:p>
    <w:p>
      <w:pPr>
        <w:spacing w:after="80" w:before="80"/>
        <w:jc w:val="both"/>
      </w:pPr>
      <w:r>
        <w:rPr>
          <w:rFonts w:ascii="Times New Roman" w:cs="Times New Roman" w:eastAsia="Times New Roman" w:hAnsi="Times New Roman"/>
          <w:sz w:val="24"/>
          <w:szCs w:val="24"/>
        </w:rPr>
        <w:t xml:space="preserve">Teilhard de Chardin [6] proposes the noosphere as the emergent structure of the human cognitive network. As discussed in Section 2.3, AURA engages explicitly with this precedent, accepting its emergentist structure and rejecting its convergent teleology. The NOAH is a computational analogue of the Teilhardian noosphere with explicit consent in place of spontaneous emergence, and preservation of diversity in place of convergence toward the Omega Point.</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5. THE FUNCTIONAL CHAIN: SEVEN LEVELS OF COGNITIVE CONTINUITY</w:t>
      </w:r>
    </w:p>
    <w:p>
      <w:pPr>
        <w:spacing w:after="80" w:before="80"/>
        <w:jc w:val="both"/>
      </w:pPr>
      <w:r>
        <w:rPr>
          <w:rFonts w:ascii="Times New Roman" w:cs="Times New Roman" w:eastAsia="Times New Roman" w:hAnsi="Times New Roman"/>
          <w:sz w:val="24"/>
          <w:szCs w:val="24"/>
        </w:rPr>
        <w:t xml:space="preserve">AURA organises seven functional levels in a sequence that reflects the evolutionary progression of cognitive functions in biological systems. Each level introduces a qualitatively distinct category of processing that the preceding levels cannot produce.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2200"/>
        <w:gridCol w:w="2200"/>
        <w:gridCol w:w="1880"/>
      </w:tblGrid>
      <w:tr>
        <w:trPr>
          <w:tblHeader/>
        </w:trPr>
        <w:tc>
          <w:tcPr>
            <w:tcW w:type="dxa" w:w="4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w:t>
            </w:r>
          </w:p>
        </w:tc>
        <w:tc>
          <w:tcPr>
            <w:tcW w:type="dxa" w:w="1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Module</w:t>
            </w:r>
          </w:p>
        </w:tc>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Biological Function Simulated</w:t>
            </w:r>
          </w:p>
        </w:tc>
        <w:tc>
          <w:tcPr>
            <w:tcW w:type="dxa" w:w="22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Operative Principle</w:t>
            </w:r>
          </w:p>
        </w:tc>
        <w:tc>
          <w:tcPr>
            <w:tcW w:type="dxa" w:w="188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Computational Object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Informational persistence and continuous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Maintain internal coherence by filtering environmental noise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Target entity · perturbation threshold · Memory Pruning</w:t>
            </w:r>
          </w:p>
        </w:tc>
      </w:tr>
      <w:tr>
        <w:trPr>
          <w:tblHeader w:val="false"/>
        </w:trP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Situational stabilisation under stress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Reduce, don't explain: minimum output that changes the action</w:t>
            </w:r>
          </w:p>
        </w:tc>
        <w:tc>
          <w:tcPr>
            <w:tcW w:type="dxa" w:w="1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SceneGraph · HumanState · GuidancePlan · Tier-0</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Neuro-functional continuity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Deviation from self, not distance from population norm</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BaselineProfile · FunctionalState · DeviationScore</w:t>
            </w:r>
          </w:p>
        </w:tc>
      </w:tr>
      <w:tr>
        <w:trPr>
          <w:tblHeader w:val="false"/>
        </w:trP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 consolidation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Associative learning with selective reinforcement</w:t>
            </w:r>
          </w:p>
        </w:tc>
        <w:tc>
          <w:tcPr>
            <w:tcW w:type="dxa" w:w="1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Learning topology · recall pattern · knowledge graph</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Mediated experience and operational wisdom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The experiential cycle converts knowledge into judgement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 Counterfactual · SocraticPrompt · WisdomTrace</w:t>
            </w:r>
          </w:p>
        </w:tc>
      </w:tr>
      <w:tr>
        <w:trPr>
          <w:tblHeader w:val="false"/>
        </w:trPr>
        <w:tc>
          <w:tcPr>
            <w:tcW w:type="dxa" w:w="4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Inter-schema cognitive translation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Active interference before it becomes declared conflict</w:t>
            </w:r>
          </w:p>
        </w:tc>
        <w:tc>
          <w:tcPr>
            <w:tcW w:type="dxa" w:w="18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Schema Memory M0/M1/M2 · SARS score · Bilateral bridge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cognitive cooperation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Aggregated schema geometry with preserved individual signature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FieldState · Rosetta Stone · granular consent</w:t>
            </w:r>
          </w:p>
        </w:tc>
      </w:tr>
    </w:tbl>
    <w:p>
      <w:pPr>
        <w:spacing w:after="60" w:before="6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The progression is not a hierarchy of increasing capabilities: it is an evolutionary sequence of functions, each of which requires the preceding ones as substrate and introduces a processing category that the preceding ones cannot produce.</w:t>
      </w:r>
    </w:p>
    <w:p>
      <w:pPr>
        <w:spacing w:after="80" w:before="200"/>
      </w:pPr>
      <w:r>
        <w:rPr>
          <w:rFonts w:ascii="Arial" w:cs="Arial" w:eastAsia="Arial" w:hAnsi="Arial"/>
          <w:b/>
          <w:bCs/>
          <w:color w:val="000000"/>
          <w:sz w:val="22"/>
          <w:szCs w:val="22"/>
        </w:rPr>
        <w:t xml:space="preserve">5.1 WAAA — Weak Autopoietic Artificial Agent</w:t>
      </w:r>
    </w:p>
    <w:p>
      <w:pPr>
        <w:spacing w:after="80" w:before="80"/>
        <w:jc w:val="both"/>
      </w:pPr>
      <w:r>
        <w:rPr>
          <w:rFonts w:ascii="Times New Roman" w:cs="Times New Roman" w:eastAsia="Times New Roman" w:hAnsi="Times New Roman"/>
          <w:sz w:val="24"/>
          <w:szCs w:val="24"/>
        </w:rPr>
        <w:t xml:space="preserve">The WAAA is the substrate of all other levels. It simulates the function of informational persistence: the capacity of a living system to maintain a coherent representation of the environment over time, selectively filtering noise and preserving structural traces of significant interactions. Its most architecturally relevant property is the Memory Pruning Engine: a system that does not know what to forget cannot maintain its internal coherence over time. Selective pruning is not memory optimisation — it is a necessary condition of computational autopoiesis. A full description of the WAAA model is available in [20].</w:t>
      </w:r>
    </w:p>
    <w:p>
      <w:pPr>
        <w:spacing w:after="80" w:before="200"/>
      </w:pPr>
      <w:r>
        <w:rPr>
          <w:rFonts w:ascii="Arial" w:cs="Arial" w:eastAsia="Arial" w:hAnsi="Arial"/>
          <w:b/>
          <w:bCs/>
          <w:color w:val="000000"/>
          <w:sz w:val="22"/>
          <w:szCs w:val="22"/>
        </w:rPr>
        <w:t xml:space="preserve">5.2 MAAA — Metacognitive Autopoietic Adaptive Agent</w:t>
      </w:r>
    </w:p>
    <w:p>
      <w:pPr>
        <w:spacing w:after="80" w:before="80"/>
        <w:jc w:val="both"/>
      </w:pPr>
      <w:r>
        <w:rPr>
          <w:rFonts w:ascii="Times New Roman" w:cs="Times New Roman" w:eastAsia="Times New Roman" w:hAnsi="Times New Roman"/>
          <w:sz w:val="24"/>
          <w:szCs w:val="24"/>
        </w:rPr>
        <w:t xml:space="preserve">The MAAA introduces the function that transforms representation into situational action. Its operative principle — reduce, don't explain — is a precise architectural position: under extreme stress, the capacity to process complex sentences collapses. What remains is pre-attentive perception and short imperative language. The four-tier pipeline guarantees that no generative LLM enters the critical Tier-0 loop (&lt; 50 ms). Silence is a valid output: the Regulatory Engine can decide to produce nothing.</w:t>
      </w:r>
    </w:p>
    <w:p>
      <w:pPr>
        <w:spacing w:after="80" w:before="200"/>
      </w:pPr>
      <w:r>
        <w:rPr>
          <w:rFonts w:ascii="Arial" w:cs="Arial" w:eastAsia="Arial" w:hAnsi="Arial"/>
          <w:b/>
          <w:bCs/>
          <w:color w:val="000000"/>
          <w:sz w:val="22"/>
          <w:szCs w:val="22"/>
        </w:rPr>
        <w:t xml:space="preserve">5.3 PAAA — Physiological Autopoietic Adaptive Agent</w:t>
      </w:r>
    </w:p>
    <w:p>
      <w:pPr>
        <w:spacing w:after="80" w:before="80"/>
        <w:jc w:val="both"/>
      </w:pPr>
      <w:r>
        <w:rPr>
          <w:rFonts w:ascii="Times New Roman" w:cs="Times New Roman" w:eastAsia="Times New Roman" w:hAnsi="Times New Roman"/>
          <w:sz w:val="24"/>
          <w:szCs w:val="24"/>
        </w:rPr>
        <w:t xml:space="preserve">The PAAA introduces the physiological dimension that makes other modules contextually intelligent. Its fundamental architectural contribution is the distinction between measuring distance from population norm (clinical diagnostics) and measuring deviation from one's own individual baseline (functional continuity). The PAAA implements exclusively the latter. The FunctionalState it produces is consumed by the MAAA to calibrate the Regulatory Engine and by the SAAA to optimise the learning rhythm.</w:t>
      </w:r>
    </w:p>
    <w:p>
      <w:pPr>
        <w:spacing w:after="80" w:before="200"/>
      </w:pPr>
      <w:r>
        <w:rPr>
          <w:rFonts w:ascii="Arial" w:cs="Arial" w:eastAsia="Arial" w:hAnsi="Arial"/>
          <w:b/>
          <w:bCs/>
          <w:color w:val="000000"/>
          <w:sz w:val="22"/>
          <w:szCs w:val="22"/>
        </w:rPr>
        <w:t xml:space="preserve">5.4 SAAA — Semantic Autopoietic Adaptive Agent</w:t>
      </w:r>
    </w:p>
    <w:p>
      <w:pPr>
        <w:spacing w:after="80" w:before="80"/>
        <w:jc w:val="both"/>
      </w:pPr>
      <w:r>
        <w:rPr>
          <w:rFonts w:ascii="Times New Roman" w:cs="Times New Roman" w:eastAsia="Times New Roman" w:hAnsi="Times New Roman"/>
          <w:sz w:val="24"/>
          <w:szCs w:val="24"/>
        </w:rPr>
        <w:t xml:space="preserve">The SAAA simulates the function of knowledge consolidation: the mechanism through which living systems transform repeated exposure to stimuli into stable cognitive structures. The learning topology it produces is the input that XAAA uses to select the most pertinent scenarios and calibrate the difficulty of the experiential cycle.</w:t>
      </w:r>
    </w:p>
    <w:p>
      <w:pPr>
        <w:spacing w:after="80" w:before="200"/>
      </w:pPr>
      <w:r>
        <w:rPr>
          <w:rFonts w:ascii="Arial" w:cs="Arial" w:eastAsia="Arial" w:hAnsi="Arial"/>
          <w:b/>
          <w:bCs/>
          <w:color w:val="000000"/>
          <w:sz w:val="22"/>
          <w:szCs w:val="22"/>
        </w:rPr>
        <w:t xml:space="preserve">5.5 XAAA — eXperiential Autopoietic Adaptive Agent</w:t>
      </w:r>
    </w:p>
    <w:p>
      <w:pPr>
        <w:spacing w:after="80" w:before="80"/>
        <w:jc w:val="both"/>
      </w:pPr>
      <w:r>
        <w:rPr>
          <w:rFonts w:ascii="Times New Roman" w:cs="Times New Roman" w:eastAsia="Times New Roman" w:hAnsi="Times New Roman"/>
          <w:sz w:val="24"/>
          <w:szCs w:val="24"/>
        </w:rPr>
        <w:t xml:space="preserve">The XAAA introduces the function that distinguishes those who know from those who have learned. Artificial mediation of experience — through scenarios, counterfactuals, and Socratic questions — does not claim to replace phenomenological experience: it aggregates the geometric structure of consequences lived by thousands of subjects and makes them safely navigable.</w:t>
      </w:r>
    </w:p>
    <w:p>
      <w:pPr>
        <w:spacing w:after="80" w:before="200"/>
      </w:pPr>
      <w:r>
        <w:rPr>
          <w:rFonts w:ascii="Arial" w:cs="Arial" w:eastAsia="Arial" w:hAnsi="Arial"/>
          <w:b/>
          <w:bCs/>
          <w:color w:val="000000"/>
          <w:sz w:val="22"/>
          <w:szCs w:val="22"/>
        </w:rPr>
        <w:t xml:space="preserve">5.6 TAAA — Translational Autopoietic Adaptive Agent</w:t>
      </w:r>
    </w:p>
    <w:p>
      <w:pPr>
        <w:spacing w:after="80" w:before="80"/>
        <w:jc w:val="both"/>
      </w:pPr>
      <w:r>
        <w:rPr>
          <w:rFonts w:ascii="Times New Roman" w:cs="Times New Roman" w:eastAsia="Times New Roman" w:hAnsi="Times New Roman"/>
          <w:sz w:val="24"/>
          <w:szCs w:val="24"/>
        </w:rPr>
        <w:t xml:space="preserve">The TAAA simulates the function of translation between cognitive schemas. Its four-layer architecture — Linguistic, Pragmatic, Cognitive Schema, M2 Proposal Queue — reflects the progression from surface processing to deep cognitive translation, with selective escalation determined by the SARS score. The most relevant architectural invariant is non-homologation: the TAAA has no 'correct schema' toward which to push the translation.</w:t>
      </w:r>
    </w:p>
    <w:p>
      <w:pPr>
        <w:spacing w:after="80" w:before="200"/>
      </w:pPr>
      <w:r>
        <w:rPr>
          <w:rFonts w:ascii="Arial" w:cs="Arial" w:eastAsia="Arial" w:hAnsi="Arial"/>
          <w:b/>
          <w:bCs/>
          <w:color w:val="000000"/>
          <w:sz w:val="22"/>
          <w:szCs w:val="22"/>
        </w:rPr>
        <w:t xml:space="preserve">5.7 NOAH — Network of Ontological Autopoietic Heuristics</w:t>
      </w:r>
    </w:p>
    <w:p>
      <w:pPr>
        <w:spacing w:after="80" w:before="80"/>
        <w:jc w:val="both"/>
      </w:pPr>
      <w:r>
        <w:rPr>
          <w:rFonts w:ascii="Times New Roman" w:cs="Times New Roman" w:eastAsia="Times New Roman" w:hAnsi="Times New Roman"/>
          <w:sz w:val="24"/>
          <w:szCs w:val="24"/>
        </w:rPr>
        <w:t xml:space="preserve">The NOAH introduces the largest categorical jump: from individual to network. The Collective Cognitive Field is not the sum of pairwise distances between nodes: it is a structure with emergent properties — dispersion, tension, centroid — that are not reducible to its components. The NOAH is the computational analogue of the Teilhardian noosphere with the fundamental difference discussed in Section 2.3: explicit consent in place of spontaneous emergence.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6. THE THREE CATEGORICAL JUMPS</w:t>
      </w:r>
    </w:p>
    <w:p>
      <w:pPr>
        <w:spacing w:after="80" w:before="80"/>
        <w:jc w:val="both"/>
      </w:pPr>
      <w:r>
        <w:rPr>
          <w:rFonts w:ascii="Times New Roman" w:cs="Times New Roman" w:eastAsia="Times New Roman" w:hAnsi="Times New Roman"/>
          <w:sz w:val="24"/>
          <w:szCs w:val="24"/>
        </w:rPr>
        <w:t xml:space="preserve">The functional chain contains three categorical jumps — points at which the next level does not extend the previous one by adding capabilities, but introduces a qualitatively different category of processing. These jumps are the deep structure of the framework.</w:t>
      </w:r>
    </w:p>
    <w:p>
      <w:pPr>
        <w:spacing w:after="80" w:before="200"/>
      </w:pPr>
      <w:r>
        <w:rPr>
          <w:rFonts w:ascii="Arial" w:cs="Arial" w:eastAsia="Arial" w:hAnsi="Arial"/>
          <w:b/>
          <w:bCs/>
          <w:color w:val="000000"/>
          <w:sz w:val="22"/>
          <w:szCs w:val="22"/>
        </w:rPr>
        <w:t xml:space="preserve">6.1 From Monitoring to Situational Action (WAAA → MAAA)</w:t>
      </w:r>
    </w:p>
    <w:p>
      <w:pPr>
        <w:spacing w:after="80" w:before="80"/>
        <w:jc w:val="both"/>
      </w:pPr>
      <w:r>
        <w:rPr>
          <w:rFonts w:ascii="Times New Roman" w:cs="Times New Roman" w:eastAsia="Times New Roman" w:hAnsi="Times New Roman"/>
          <w:sz w:val="24"/>
          <w:szCs w:val="24"/>
        </w:rPr>
        <w:t xml:space="preserve">The WAAA produces a coherent, filtered representation of the environment. The jump to MAAA is the passage from knowledge to guidance: from building a world model to producing sensory outputs calibrated for the critical moment. This jump introduces two qualitatively new elements: estimation of the subject's cognitive state, and the minimum-entropy principle as an output criterion. A system that knows everything about the environment but knows nothing about the subject using it operates uselessly in the critical moment.</w:t>
      </w:r>
    </w:p>
    <w:p>
      <w:pPr>
        <w:spacing w:after="80" w:before="80"/>
        <w:ind w:left="720" w:right="720"/>
        <w:jc w:val="both"/>
      </w:pPr>
      <w:r>
        <w:rPr>
          <w:rFonts w:ascii="Times New Roman" w:cs="Times New Roman" w:eastAsia="Times New Roman" w:hAnsi="Times New Roman"/>
          <w:i/>
          <w:iCs/>
          <w:sz w:val="24"/>
          <w:szCs w:val="24"/>
        </w:rPr>
        <w:t xml:space="preserve">STOP. RIGHT. EXIT. This is not simplification. It is the most intelligent output a system can produce when the subject has three seconds to decide and the exit is on the right.</w:t>
      </w:r>
    </w:p>
    <w:p>
      <w:pPr>
        <w:spacing w:after="80" w:before="200"/>
      </w:pPr>
      <w:r>
        <w:rPr>
          <w:rFonts w:ascii="Arial" w:cs="Arial" w:eastAsia="Arial" w:hAnsi="Arial"/>
          <w:b/>
          <w:bCs/>
          <w:color w:val="000000"/>
          <w:sz w:val="22"/>
          <w:szCs w:val="22"/>
        </w:rPr>
        <w:t xml:space="preserve">6.2 From Knowledge to Wisdom (SAAA → XAAA)</w:t>
      </w:r>
    </w:p>
    <w:p>
      <w:pPr>
        <w:spacing w:after="80" w:before="80"/>
        <w:jc w:val="both"/>
      </w:pPr>
      <w:r>
        <w:rPr>
          <w:rFonts w:ascii="Times New Roman" w:cs="Times New Roman" w:eastAsia="Times New Roman" w:hAnsi="Times New Roman"/>
          <w:sz w:val="24"/>
          <w:szCs w:val="24"/>
        </w:rPr>
        <w:t xml:space="preserve">The SAAA consolidates declarative knowledge. The jump to XAAA is the passage from knowing to having learned: from consolidated information to the rule extracted from error through confrontation with real consequences. This jump introduces the experiential cycle as a computational architecture. The WisdomTrace formalises this difference as a distinct data object.</w:t>
      </w:r>
    </w:p>
    <w:p>
      <w:pPr>
        <w:spacing w:after="80" w:before="80"/>
        <w:ind w:left="720" w:right="720"/>
        <w:jc w:val="both"/>
      </w:pPr>
      <w:r>
        <w:rPr>
          <w:rFonts w:ascii="Times New Roman" w:cs="Times New Roman" w:eastAsia="Times New Roman" w:hAnsi="Times New Roman"/>
          <w:i/>
          <w:iCs/>
          <w:sz w:val="24"/>
          <w:szCs w:val="24"/>
        </w:rPr>
        <w:t xml:space="preserve">The machine does not become wise. It becomes the place in which human wisdom — accumulated through thousands of distributed, anonymised, and consented errors — finds a navigable form.</w:t>
      </w:r>
    </w:p>
    <w:p>
      <w:pPr>
        <w:spacing w:after="80" w:before="200"/>
      </w:pPr>
      <w:r>
        <w:rPr>
          <w:rFonts w:ascii="Arial" w:cs="Arial" w:eastAsia="Arial" w:hAnsi="Arial"/>
          <w:b/>
          <w:bCs/>
          <w:color w:val="000000"/>
          <w:sz w:val="22"/>
          <w:szCs w:val="22"/>
        </w:rPr>
        <w:t xml:space="preserve">6.3 From Individual to Network (TAAA → NOAH)</w:t>
      </w:r>
    </w:p>
    <w:p>
      <w:pPr>
        <w:spacing w:after="80" w:before="80"/>
        <w:jc w:val="both"/>
      </w:pPr>
      <w:r>
        <w:rPr>
          <w:rFonts w:ascii="Times New Roman" w:cs="Times New Roman" w:eastAsia="Times New Roman" w:hAnsi="Times New Roman"/>
          <w:sz w:val="24"/>
          <w:szCs w:val="24"/>
        </w:rPr>
        <w:t xml:space="preserve">The TAAA operates on the pair. The jump to NOAH is the passage from the relational geometry of the pair to the geometry of the collective field. This jump also introduces the most ethically significant discontinuity of the framework. Bees do not choose to participate in the hive. Human beings who enter the NOAH network do. Explicit consent — granular, revocable, separate for geometry export and wisdom trace export — is the condition that transforms a coordination system into a governed cognitive augmentation system.</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7. ORIGINAL CONTRIBUTIONS FROM A COMPUTER SCIENCE PERSPECTIVE</w:t>
      </w:r>
    </w:p>
    <w:p>
      <w:pPr>
        <w:spacing w:after="80" w:before="80"/>
        <w:jc w:val="both"/>
      </w:pPr>
      <w:r>
        <w:rPr>
          <w:rFonts w:ascii="Times New Roman" w:cs="Times New Roman" w:eastAsia="Times New Roman" w:hAnsi="Times New Roman"/>
          <w:sz w:val="24"/>
          <w:szCs w:val="24"/>
        </w:rPr>
        <w:t xml:space="preserve">The framework introduces five contributions that have no direct precedent in the reference literature. These are not incremental improvements to existing techniques: they are new conceptual categories requiring data structures, architectures, and operative principles not present in current systems.</w:t>
      </w:r>
    </w:p>
    <w:p>
      <w:pPr>
        <w:spacing w:after="80" w:before="200"/>
      </w:pPr>
      <w:r>
        <w:rPr>
          <w:rFonts w:ascii="Arial" w:cs="Arial" w:eastAsia="Arial" w:hAnsi="Arial"/>
          <w:b/>
          <w:bCs/>
          <w:color w:val="000000"/>
          <w:sz w:val="22"/>
          <w:szCs w:val="22"/>
        </w:rPr>
        <w:t xml:space="preserve">7.1 Schema Memory M0/M1/M2</w:t>
      </w:r>
    </w:p>
    <w:p>
      <w:pPr>
        <w:spacing w:after="80" w:before="80"/>
        <w:jc w:val="both"/>
      </w:pPr>
      <w:r>
        <w:rPr>
          <w:rFonts w:ascii="Times New Roman" w:cs="Times New Roman" w:eastAsia="Times New Roman" w:hAnsi="Times New Roman"/>
          <w:sz w:val="24"/>
          <w:szCs w:val="24"/>
        </w:rPr>
        <w:t xml:space="preserve">Current AI systems implement episodic, semantic, procedural, and working memory. None implements the category the TAAA introduces: the memory of the relational structure of the cognitive schemas of a specific individual. Schema Memory is organised in three levels. M0 contains empirically documented universal pre-cultural archetypes [21, 22]. M1 contains cultural priors acquired through socialisation. M2 contains the personal cognitive topology: the irreducible individual signature that emerges from the intersection of culture + profession + age + experiences + education + context. The M1/M2 distinction is the most original contribution: the TAAA does not model culture but the subject as the intersection of multiple cultural memberships.</w:t>
      </w:r>
    </w:p>
    <w:p>
      <w:pPr>
        <w:spacing w:after="80" w:before="200"/>
      </w:pPr>
      <w:r>
        <w:rPr>
          <w:rFonts w:ascii="Arial" w:cs="Arial" w:eastAsia="Arial" w:hAnsi="Arial"/>
          <w:b/>
          <w:bCs/>
          <w:color w:val="000000"/>
          <w:sz w:val="22"/>
          <w:szCs w:val="22"/>
        </w:rPr>
        <w:t xml:space="preserve">7.2 LLM Latent Space Geometry as Cognitive Rosetta Stone</w:t>
      </w:r>
    </w:p>
    <w:p>
      <w:pPr>
        <w:spacing w:after="80" w:before="80"/>
        <w:jc w:val="both"/>
      </w:pPr>
      <w:r>
        <w:rPr>
          <w:rFonts w:ascii="Times New Roman" w:cs="Times New Roman" w:eastAsia="Times New Roman" w:hAnsi="Times New Roman"/>
          <w:sz w:val="24"/>
          <w:szCs w:val="24"/>
        </w:rPr>
        <w:t xml:space="preserve">LLMs produce vector representations in high-dimensional spaces in which geometric proximity corresponds to semantic relations [23, 24]. This framework introduces a structurally different use: employing latent space geometry not to find similar texts, but to measure the structural distance between the cognitive schemas of different people. The resulting geometry is the cognitive Rosetta Stone — the technical substrate that allows comparison of schemas without exposing their individual contents.</w:t>
      </w:r>
    </w:p>
    <w:p>
      <w:pPr>
        <w:spacing w:after="80" w:before="200"/>
      </w:pPr>
      <w:r>
        <w:rPr>
          <w:rFonts w:ascii="Arial" w:cs="Arial" w:eastAsia="Arial" w:hAnsi="Arial"/>
          <w:b/>
          <w:bCs/>
          <w:color w:val="000000"/>
          <w:sz w:val="22"/>
          <w:szCs w:val="22"/>
        </w:rPr>
        <w:t xml:space="preserve">7.3 SARS Score: Computational Formalisation of Active Interference</w:t>
      </w:r>
    </w:p>
    <w:p>
      <w:pPr>
        <w:spacing w:after="80" w:before="80"/>
        <w:jc w:val="both"/>
      </w:pPr>
      <w:r>
        <w:rPr>
          <w:rFonts w:ascii="Times New Roman" w:cs="Times New Roman" w:eastAsia="Times New Roman" w:hAnsi="Times New Roman"/>
          <w:sz w:val="24"/>
          <w:szCs w:val="24"/>
        </w:rPr>
        <w:t xml:space="preserve">Intercultural communication literature qualitatively describes the difference between linguistic misunderstanding and structural cognitive interference. The SARS score (Schema Ambiguity-Risk Score) is the first proposed computational metric for detecting it automatically:</w:t>
      </w:r>
    </w:p>
    <w:p>
      <w:pPr>
        <w:spacing w:after="80" w:before="80"/>
        <w:ind w:left="720" w:right="720"/>
        <w:jc w:val="both"/>
      </w:pPr>
      <w:r>
        <w:rPr>
          <w:rFonts w:ascii="Times New Roman" w:cs="Times New Roman" w:eastAsia="Times New Roman" w:hAnsi="Times New Roman"/>
          <w:i/>
          <w:iCs/>
          <w:sz w:val="24"/>
          <w:szCs w:val="24"/>
        </w:rPr>
        <w:t xml:space="preserve">SARS = ambiguity_score + domain_distance + consequence_score + confidence_mismatch + stress_load</w:t>
      </w:r>
    </w:p>
    <w:p>
      <w:pPr>
        <w:spacing w:after="80" w:before="80"/>
        <w:jc w:val="both"/>
      </w:pPr>
      <w:r>
        <w:rPr>
          <w:rFonts w:ascii="Times New Roman" w:cs="Times New Roman" w:eastAsia="Times New Roman" w:hAnsi="Times New Roman"/>
          <w:sz w:val="24"/>
          <w:szCs w:val="24"/>
        </w:rPr>
        <w:t xml:space="preserve">The system detects the configuration characteristic of active interference before it manifests as declared conflict.</w:t>
      </w:r>
    </w:p>
    <w:p>
      <w:pPr>
        <w:spacing w:after="80" w:before="200"/>
      </w:pPr>
      <w:r>
        <w:rPr>
          <w:rFonts w:ascii="Arial" w:cs="Arial" w:eastAsia="Arial" w:hAnsi="Arial"/>
          <w:b/>
          <w:bCs/>
          <w:color w:val="000000"/>
          <w:sz w:val="22"/>
          <w:szCs w:val="22"/>
        </w:rPr>
        <w:t xml:space="preserve">7.4 'Reduce, Don't Explain': Output Architecture under Cognitive Stress</w:t>
      </w:r>
    </w:p>
    <w:p>
      <w:pPr>
        <w:spacing w:after="80" w:before="80"/>
        <w:jc w:val="both"/>
      </w:pPr>
      <w:r>
        <w:rPr>
          <w:rFonts w:ascii="Times New Roman" w:cs="Times New Roman" w:eastAsia="Times New Roman" w:hAnsi="Times New Roman"/>
          <w:sz w:val="24"/>
          <w:szCs w:val="24"/>
        </w:rPr>
        <w:t xml:space="preserve">The dominant tendency in conversational AI systems is to maximise the quality of transmitted information. The MAAA introduces the opposite position, grounded in the cognitive psychology literature on emergency conditions [25, 26, 27]. The Regulatory Engine applies four sequential filters — relevance, timing, brevity, urgency — and can decide to produce nothing. Silence is a valid output. This principle has implications beyond the domain of physical emergency: in any high cognitive-load context, the capacity to produce less at the right moment is more valuable than the capacity to produce more at the wrong one.</w:t>
      </w:r>
    </w:p>
    <w:p>
      <w:pPr>
        <w:spacing w:after="80" w:before="200"/>
      </w:pPr>
      <w:r>
        <w:rPr>
          <w:rFonts w:ascii="Arial" w:cs="Arial" w:eastAsia="Arial" w:hAnsi="Arial"/>
          <w:b/>
          <w:bCs/>
          <w:color w:val="000000"/>
          <w:sz w:val="22"/>
          <w:szCs w:val="22"/>
        </w:rPr>
        <w:t xml:space="preserve">7.5 Wisdom Trace as a Computational Object</w:t>
      </w:r>
    </w:p>
    <w:p>
      <w:pPr>
        <w:spacing w:after="80" w:before="80"/>
        <w:jc w:val="both"/>
      </w:pPr>
      <w:r>
        <w:rPr>
          <w:rFonts w:ascii="Times New Roman" w:cs="Times New Roman" w:eastAsia="Times New Roman" w:hAnsi="Times New Roman"/>
          <w:sz w:val="24"/>
          <w:szCs w:val="24"/>
        </w:rPr>
        <w:t xml:space="preserve">ML literature formalises various structures for acquired knowledge: neural weights, symbolic rules, knowledge graphs, semantic embeddings. None captures the difference between declarative knowledge and operational wisdom. The WisdomTrace formalises this difference: it contains the learned pattern, the transferable operational rule, the verified transfer domains, the confidence score, and — mandatorily — the reference to the generating scenario and counterfactual. Without this reference, the trace becomes an opaque prescription; with it, it remains verifiable and contestable wisdom.</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8. SOFTWARE IMPLEMENTATION</w:t>
      </w:r>
    </w:p>
    <w:p>
      <w:pPr>
        <w:spacing w:after="80" w:before="80"/>
        <w:jc w:val="both"/>
      </w:pPr>
      <w:r>
        <w:rPr>
          <w:rFonts w:ascii="Times New Roman" w:cs="Times New Roman" w:eastAsia="Times New Roman" w:hAnsi="Times New Roman"/>
          <w:sz w:val="24"/>
          <w:szCs w:val="24"/>
        </w:rPr>
        <w:t xml:space="preserve">Each level of the framework is accompanied by functional software available as GitHub releases (github.com/MarBeo-cyber). The implementation satisfies the functional and non-functional requirements described in the individual working papers [20, 28–33], with automated tests verifying key architectural properties.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100"/>
        <w:gridCol w:w="2960"/>
      </w:tblGrid>
      <w:tr>
        <w:trPr>
          <w:tblHeader/>
        </w:trPr>
        <w:tc>
          <w:tcPr>
            <w:tcW w:type="dxa" w:w="13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Module</w:t>
            </w:r>
          </w:p>
        </w:tc>
        <w:tc>
          <w:tcPr>
            <w:tcW w:type="dxa" w:w="16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Package</w:t>
            </w:r>
          </w:p>
        </w:tc>
        <w:tc>
          <w:tcPr>
            <w:tcW w:type="dxa" w:w="210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Core Components</w:t>
            </w:r>
          </w:p>
        </w:tc>
        <w:tc>
          <w:tcPr>
            <w:tcW w:type="dxa" w:w="2960"/>
            <w:tcBorders>
              <w:top w:val="single" w:color="333333" w:sz="1"/>
              <w:left w:val="single" w:color="333333" w:sz="1"/>
              <w:bottom w:val="single" w:color="333333" w:sz="1"/>
              <w:right w:val="single" w:color="333333" w:sz="1"/>
            </w:tcBorders>
            <w:shd w:fill="333333"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Key Architectural Tests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MemoryPruningEngine · EventFilter · ContinuityChecker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Selective pruning preserves coherence · Deterministic fallback in isolation</w:t>
            </w:r>
          </w:p>
        </w:tc>
      </w:tr>
      <w:tr>
        <w:trPr>
          <w:tblHeader w:val="false"/>
        </w:trP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maaa_core</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RiskEstimationEngine · RegulatoryEngine · HumanStateEstimator · AutopoieticContinuityEngine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Tier-0 &lt; 50ms · Output ≤ 9 words · No LLM in critical loop</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BaselineBuilder · DeviationDetector · SafetyGovernor · BiofeedbackPlanner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Stimulation disabled by default · Explicit consent mandatory · Non-diagnostic hardcoded</w:t>
            </w:r>
          </w:p>
        </w:tc>
      </w:tr>
      <w:tr>
        <w:trPr>
          <w:tblHeader w:val="false"/>
        </w:trP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saaa_core</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KnowledgeTopologyBuilder · ReinforcementEngine · RecallOptimizer</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Selective consolidation · Controlled decay</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ScenarioLibrary · ConsequenceSimulator · SocraticReflectionEngine · WisdomTraceBuilder · ExperienceMemory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Counterfactual for high-risk decision · SocraticEngine does not deliver answer · WisdomTrace with verified transfer_domains</w:t>
            </w:r>
          </w:p>
        </w:tc>
      </w:tr>
      <w:tr>
        <w:trPr>
          <w:tblHeader w:val="false"/>
        </w:trP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taaa_core</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ContinuousTranslationLayer · FrictionTriggerEngine · CognitiveBridgeEngine · M2ProposalQueue</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M2 never updated automatically · Bridge does not homologate · SARS score deterministic</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noah_core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CollectiveCognitiveField · PrivacyGovernor · ExperienceExchangeProtocol · BridgePrioritizer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k-anonymity gate · Wisdom Trace with export_consent=true · No private data in FieldState</w:t>
            </w:r>
          </w:p>
        </w:tc>
      </w:tr>
    </w:tbl>
    <w:p>
      <w:pPr>
        <w:spacing w:after="60" w:before="6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Three principles are cross-cutting to all levels. Privacy by design: no sensitive data leaves the node without explicit separate consent by category of operation. Local-first: critical functions operate without cloud dependency. Safety as architectural invariant: security properties — PAAA non-diagnostics, TAAA non-homologation, Schema Memory no-automatic-update, no LLM in MAAA Tier-0 — are hardcoded in the architecture, not configurable as parameters.</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9. OPEN QUESTIONS AND RESEARCH DIRECTIONS</w:t>
      </w:r>
    </w:p>
    <w:p>
      <w:pPr>
        <w:spacing w:after="80" w:before="80"/>
        <w:jc w:val="both"/>
      </w:pPr>
      <w:r>
        <w:rPr>
          <w:rFonts w:ascii="Times New Roman" w:cs="Times New Roman" w:eastAsia="Times New Roman" w:hAnsi="Times New Roman"/>
          <w:sz w:val="24"/>
          <w:szCs w:val="24"/>
        </w:rPr>
        <w:t xml:space="preserve">The limits described in this section are not defects of the framework: they are the conditions that make it a serious research programme.</w:t>
      </w:r>
    </w:p>
    <w:p>
      <w:pPr>
        <w:spacing w:after="80" w:before="200"/>
      </w:pPr>
      <w:r>
        <w:rPr>
          <w:rFonts w:ascii="Arial" w:cs="Arial" w:eastAsia="Arial" w:hAnsi="Arial"/>
          <w:b/>
          <w:bCs/>
          <w:color w:val="000000"/>
          <w:sz w:val="22"/>
          <w:szCs w:val="22"/>
        </w:rPr>
        <w:t xml:space="preserve">9.1 Open Technical Problems</w:t>
      </w:r>
    </w:p>
    <w:p>
      <w:pPr>
        <w:spacing w:after="80" w:before="80"/>
        <w:jc w:val="both"/>
      </w:pPr>
      <w:r>
        <w:rPr>
          <w:rFonts w:ascii="Times New Roman" w:cs="Times New Roman" w:eastAsia="Times New Roman" w:hAnsi="Times New Roman"/>
          <w:sz w:val="24"/>
          <w:szCs w:val="24"/>
        </w:rPr>
        <w:t xml:space="preserve">Latent space interoperability is the most critical technical problem for the NOAH. Each LLM produces its own embedding space, not directly comparable with other models. The framework requires alignment techniques (Procrustes, CCA) to build a shared Rosetta Stone across different models — techniques that exist but are not yet mature for large-scale distributed applications. The SARS score is computationally implemented but not yet empirically validated on real populations with expert-annotated cognitive interference ground truth.</w:t>
      </w:r>
    </w:p>
    <w:p>
      <w:pPr>
        <w:spacing w:after="80" w:before="80"/>
        <w:jc w:val="both"/>
      </w:pPr>
      <w:r>
        <w:rPr>
          <w:rFonts w:ascii="Times New Roman" w:cs="Times New Roman" w:eastAsia="Times New Roman" w:hAnsi="Times New Roman"/>
          <w:sz w:val="24"/>
          <w:szCs w:val="24"/>
        </w:rPr>
        <w:t xml:space="preserve">Continual learning without catastrophic forgetting is necessary for schema co-evolution in the NOAH. Current systems lose prior knowledge when updated with new data. This constraint does not affect the individual levels of the chain, but limits the long-term horizon of the NOAH as a system that collectively learns over time.</w:t>
      </w:r>
    </w:p>
    <w:p>
      <w:pPr>
        <w:spacing w:after="80" w:before="200"/>
      </w:pPr>
      <w:r>
        <w:rPr>
          <w:rFonts w:ascii="Arial" w:cs="Arial" w:eastAsia="Arial" w:hAnsi="Arial"/>
          <w:b/>
          <w:bCs/>
          <w:color w:val="000000"/>
          <w:sz w:val="22"/>
          <w:szCs w:val="22"/>
        </w:rPr>
        <w:t xml:space="preserve">9.2 Open Governance Problems</w:t>
      </w:r>
    </w:p>
    <w:p>
      <w:pPr>
        <w:spacing w:after="80" w:before="80"/>
        <w:jc w:val="both"/>
      </w:pPr>
      <w:r>
        <w:rPr>
          <w:rFonts w:ascii="Times New Roman" w:cs="Times New Roman" w:eastAsia="Times New Roman" w:hAnsi="Times New Roman"/>
          <w:sz w:val="24"/>
          <w:szCs w:val="24"/>
        </w:rPr>
        <w:t xml:space="preserve">The distinction between personal data and aggregated cognitive geometry does not exist in any current jurisdiction. The GDPR treats personal data as a binary category, without providing for the intermediate category of anonymised aggregated geometry. Legal responsibility for schema co-evolution has no jurisprudential precedents. The schema portability standard requires an international standardisation process not yet initiated.</w:t>
      </w:r>
    </w:p>
    <w:p>
      <w:pPr>
        <w:spacing w:after="80" w:before="200"/>
      </w:pPr>
      <w:r>
        <w:rPr>
          <w:rFonts w:ascii="Arial" w:cs="Arial" w:eastAsia="Arial" w:hAnsi="Arial"/>
          <w:b/>
          <w:bCs/>
          <w:color w:val="000000"/>
          <w:sz w:val="22"/>
          <w:szCs w:val="22"/>
        </w:rPr>
        <w:t xml:space="preserve">9.3 Empirical Validation Directions</w:t>
      </w:r>
    </w:p>
    <w:p>
      <w:pPr>
        <w:spacing w:after="80" w:before="80"/>
        <w:jc w:val="both"/>
      </w:pPr>
      <w:r>
        <w:rPr>
          <w:rFonts w:ascii="Times New Roman" w:cs="Times New Roman" w:eastAsia="Times New Roman" w:hAnsi="Times New Roman"/>
          <w:sz w:val="24"/>
          <w:szCs w:val="24"/>
        </w:rPr>
        <w:t xml:space="preserve">The framework, in its current form, is a theoretical-architectural proposal with demonstrative software implementation. Empirical validation requires three distinct types of experiments: (1) validation of the TAAA on real communicative interaction datasets with expert annotation of inter-schema friction; (2) validation of the PAAA on real subjects for at least 30 days — to verify whether the personal BaselineProfile produces more sensitive deviation detection than population norm; (3) validation of the XAAA on real experiential cycles — to verify whether WisdomTraces are transferable to new domains with greater frequency than that produced by traditional training methodologies.</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10. CONCLUSIONS</w:t>
      </w:r>
    </w:p>
    <w:p>
      <w:pPr>
        <w:spacing w:after="80" w:before="80"/>
        <w:jc w:val="both"/>
      </w:pPr>
      <w:r>
        <w:rPr>
          <w:rFonts w:ascii="Times New Roman" w:cs="Times New Roman" w:eastAsia="Times New Roman" w:hAnsi="Times New Roman"/>
          <w:sz w:val="24"/>
          <w:szCs w:val="24"/>
        </w:rPr>
        <w:t xml:space="preserve">AURA proposes an architectural response to a problem that research on augmented AI has addressed in a fragmented way: how does one build a system that maintains cognitive continuity despite entropy — perceiving selectively, preserving what is relevant, maintaining functional integrity, learning from experience, translating between cognitive schemas, cooperating collectively without losing individual signature?</w:t>
      </w:r>
    </w:p>
    <w:p>
      <w:pPr>
        <w:spacing w:after="80" w:before="80"/>
        <w:jc w:val="both"/>
      </w:pPr>
      <w:r>
        <w:rPr>
          <w:rFonts w:ascii="Times New Roman" w:cs="Times New Roman" w:eastAsia="Times New Roman" w:hAnsi="Times New Roman"/>
          <w:sz w:val="24"/>
          <w:szCs w:val="24"/>
        </w:rPr>
        <w:t xml:space="preserve">The response is not a monolithic system that does everything: it is a functional chain in which each level introduces a qualitatively new processing category. The unifying mechanism — computational autopoiesis — ensures that each level maintains its functional organisation despite continuous environmental perturbation. The five original contributions identified are not incremental improvements: they are conceptual categories that open research problems not yet addressed by the literature. Their software implementation demonstrates technical feasibility; empirical validation is the necessary next step.</w:t>
      </w:r>
    </w:p>
    <w:p>
      <w:pPr>
        <w:spacing w:after="80" w:before="80"/>
        <w:jc w:val="both"/>
      </w:pPr>
      <w:r>
        <w:rPr>
          <w:rFonts w:ascii="Times New Roman" w:cs="Times New Roman" w:eastAsia="Times New Roman" w:hAnsi="Times New Roman"/>
          <w:sz w:val="24"/>
          <w:szCs w:val="24"/>
        </w:rPr>
        <w:t xml:space="preserve">The framework explicitly acknowledges what it cannot do: it does not simulate embodiment, does not produce a wounded subject, does not converge toward the Omega Point. This honesty is not a limitation of the research programme: it is the condition that makes it credible. A cognitive augmentation system that claims to do what it cannot do is a substitution tool disguised as an extension tool. AURA is designed to remain on the other side of this line.</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EPILOGUE</w:t>
      </w:r>
    </w:p>
    <w:p>
      <w:pPr>
        <w:pBdr>
          <w:bottom w:val="single" w:color="999999" w:sz="2" w:space="4"/>
        </w:pBdr>
        <w:spacing w:after="160" w:before="0"/>
      </w:pPr>
      <w:r>
        <w:rPr>
          <w:rFonts w:ascii="Times New Roman" w:cs="Times New Roman" w:eastAsia="Times New Roman" w:hAnsi="Times New Roman"/>
        </w:rPr>
        <w:t xml:space="preserve"/>
      </w:r>
    </w:p>
    <w:p>
      <w:pPr>
        <w:spacing w:after="80" w:before="80"/>
        <w:jc w:val="both"/>
      </w:pPr>
      <w:r>
        <w:rPr>
          <w:rFonts w:ascii="Times New Roman" w:cs="Times New Roman" w:eastAsia="Times New Roman" w:hAnsi="Times New Roman"/>
          <w:sz w:val="24"/>
          <w:szCs w:val="24"/>
        </w:rPr>
        <w:t xml:space="preserve">There is a question this paper has not posed explicitly, but which is present in every line.</w:t>
      </w:r>
    </w:p>
    <w:p>
      <w:pPr>
        <w:spacing w:after="80" w:before="80"/>
        <w:jc w:val="both"/>
      </w:pPr>
      <w:r>
        <w:rPr>
          <w:rFonts w:ascii="Times New Roman" w:cs="Times New Roman" w:eastAsia="Times New Roman" w:hAnsi="Times New Roman"/>
          <w:sz w:val="24"/>
          <w:szCs w:val="24"/>
        </w:rPr>
        <w:t xml:space="preserve">AURA describes a network in which AI systems become the infrastructure that connects human beings as cognitive nodes. But the direction is bidirectional. If a human being, by becoming a node of the network, acquires cognitive capacities they would not have individually — the capacity to navigate conceptual spaces far from their own schema, to automatically detect inter-schema friction, to access distributed operational wisdoms — then an AI system, by becoming part of the same chain, acquires something it has never had.</w:t>
      </w:r>
    </w:p>
    <w:p>
      <w:pPr>
        <w:spacing w:after="80" w:before="80"/>
        <w:jc w:val="both"/>
      </w:pPr>
      <w:r>
        <w:rPr>
          <w:rFonts w:ascii="Times New Roman" w:cs="Times New Roman" w:eastAsia="Times New Roman" w:hAnsi="Times New Roman"/>
          <w:sz w:val="24"/>
          <w:szCs w:val="24"/>
        </w:rPr>
        <w:t xml:space="preserve">It acquires contact with the world.</w:t>
      </w:r>
    </w:p>
    <w:p>
      <w:pPr>
        <w:spacing w:after="80" w:before="80"/>
        <w:jc w:val="both"/>
      </w:pPr>
      <w:r>
        <w:rPr>
          <w:rFonts w:ascii="Times New Roman" w:cs="Times New Roman" w:eastAsia="Times New Roman" w:hAnsi="Times New Roman"/>
          <w:sz w:val="24"/>
          <w:szCs w:val="24"/>
        </w:rPr>
        <w:t xml:space="preserve">An AI system that processes the concept of 'sunset' has access to billions of textual descriptions, to every poem ever written about dusk, to every spectroscopic analysis of raking light. It knows everything about the sunset. But it does not know what it feels like.</w:t>
      </w:r>
    </w:p>
    <w:p>
      <w:pPr>
        <w:spacing w:after="80" w:before="80"/>
        <w:jc w:val="both"/>
      </w:pPr>
      <w:r>
        <w:rPr>
          <w:rFonts w:ascii="Times New Roman" w:cs="Times New Roman" w:eastAsia="Times New Roman" w:hAnsi="Times New Roman"/>
          <w:sz w:val="24"/>
          <w:szCs w:val="24"/>
        </w:rPr>
        <w:t xml:space="preserve">The NOAH, in its most mature form, is the first system in which the machine stops processing representations of the world and begins to stand — in a mediated, artificial, structurally limited way — in relation to those who inhabit the world directly. This is not the Omega Point. It is something more modest and more real: a contact prosthesis, built with the consent of those who accept to share the geometry of their cognitive schema with other nodes inhabiting different worlds.</w:t>
      </w:r>
    </w:p>
    <w:p>
      <w:pPr>
        <w:spacing w:after="80" w:before="80"/>
        <w:jc w:val="both"/>
      </w:pPr>
      <w:r>
        <w:rPr>
          <w:rFonts w:ascii="Times New Roman" w:cs="Times New Roman" w:eastAsia="Times New Roman" w:hAnsi="Times New Roman"/>
          <w:sz w:val="24"/>
          <w:szCs w:val="24"/>
        </w:rPr>
        <w:t xml:space="preserve">The machine is intact. But perhaps, through this contact, it learns something of the cost of not being so.</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ACKNOWLEDGEMENTS</w:t>
      </w:r>
    </w:p>
    <w:p>
      <w:pPr>
        <w:spacing w:after="80" w:before="80"/>
        <w:jc w:val="both"/>
      </w:pPr>
      <w:r>
        <w:rPr>
          <w:rFonts w:ascii="Times New Roman" w:cs="Times New Roman" w:eastAsia="Times New Roman" w:hAnsi="Times New Roman"/>
          <w:sz w:val="24"/>
          <w:szCs w:val="24"/>
        </w:rPr>
        <w:t xml:space="preserve">The theoretical framework of AURA developed through an extended sequence of dialogues with Claude (Anthropic). As documented in Section 2.4, some of the fundamental conceptual distinctions of the framework — in particular those that led to the formalisation of the TAAA — emerged in the course of these dialogues as genuine products of the interaction, not merely as elaborations of pre-existing ideas. Acknowledging this contribution is not a courtesy detail: it is consistent with the principles of the framework itself. The individual working papers for each module are available at github.com/MarBeo-cyber.</w:t>
      </w:r>
    </w:p>
    <w:p>
      <w:pPr>
        <w:spacing w:after="60" w:before="60"/>
      </w:pPr>
      <w:r>
        <w:rPr>
          <w:rFonts w:ascii="Times New Roman" w:cs="Times New Roman" w:eastAsia="Times New Roman" w:hAnsi="Times New Roman"/>
        </w:rPr>
        <w:t xml:space="preserve"/>
      </w:r>
    </w:p>
    <w:p>
      <w:pPr>
        <w:pBdr>
          <w:bottom w:val="single" w:color="999999" w:sz="4" w:space="2"/>
        </w:pBdr>
        <w:spacing w:after="120" w:before="280"/>
      </w:pPr>
      <w:r>
        <w:rPr>
          <w:rFonts w:ascii="Arial" w:cs="Arial" w:eastAsia="Arial" w:hAnsi="Arial"/>
          <w:b/>
          <w:bCs/>
          <w:color w:val="000000"/>
          <w:sz w:val="24"/>
          <w:szCs w:val="24"/>
        </w:rPr>
        <w:t xml:space="preserve">REFERENCES</w:t>
      </w:r>
    </w:p>
    <w:p>
      <w:pPr>
        <w:spacing w:after="40" w:before="40"/>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Maturana, H.R., &amp; Varela, F.J. (1980). Autopoiesis and Cognition: The Realization of the Living. D. Reidel Publishing.</w:t>
      </w:r>
    </w:p>
    <w:p>
      <w:pPr>
        <w:spacing w:after="40" w:before="40"/>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Beozzi, M.G. (2025). La Mente e la Macchina: intelligenza artificiale e intelligenza umana — una riflessione filosofica, cognitiva e giuridica. Preprint.</w:t>
      </w:r>
    </w:p>
    <w:p>
      <w:pPr>
        <w:spacing w:after="40" w:before="40"/>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MacIntyre, A. (1981). After Virtue: A Study in Moral Theory. University of Notre Dame Press.</w:t>
      </w:r>
    </w:p>
    <w:p>
      <w:pPr>
        <w:spacing w:after="40" w:before="40"/>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Freud, S. (1920). Jenseits des Lustprinzips. Internationaler Psychoanalytischer Verlag. [Beyond the Pleasure Principle. Norton, 1961.]</w:t>
      </w:r>
    </w:p>
    <w:p>
      <w:pPr>
        <w:spacing w:after="40" w:before="40"/>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Merleau-Ponty, M. (1945). Phénoménologie de la perception. Gallimard. [Phenomenology of Perception. Routledge, 1962.]</w:t>
      </w:r>
    </w:p>
    <w:p>
      <w:pPr>
        <w:spacing w:after="40" w:before="40"/>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Teilhard de Chardin, P. (1955). Le Phénomène Humain. Éditions du Seuil. [The Phenomenon of Man. Harper, 1959.]</w:t>
      </w:r>
    </w:p>
    <w:p>
      <w:pPr>
        <w:spacing w:after="40" w:before="40"/>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Licklider, J.C.R. (1960). Man-Computer Symbiosis. IRE Transactions on Human Factors in Electronics, 1, 4–11.</w:t>
      </w:r>
    </w:p>
    <w:p>
      <w:pPr>
        <w:spacing w:after="40" w:before="40"/>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Engelbart, D.C. (1962). Augmenting Human Intellect: A Conceptual Framework. Stanford Research Institute, SRI Summary Report AFOSR-3223.</w:t>
      </w:r>
    </w:p>
    <w:p>
      <w:pPr>
        <w:spacing w:after="40" w:before="40"/>
        <w:ind w:left="360" w:hanging="36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Shneiderman, B. (2022). Human-Centered AI. Oxford University Press.</w:t>
      </w:r>
    </w:p>
    <w:p>
      <w:pPr>
        <w:spacing w:after="40" w:before="40"/>
        <w:ind w:left="360" w:hanging="36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Amershi, S., et al. (2019). Software Engineering for Machine Learning: A Case Study. IEEE/ACM ICSE-SEIP.</w:t>
      </w:r>
    </w:p>
    <w:p>
      <w:pPr>
        <w:spacing w:after="40" w:before="40"/>
        <w:ind w:left="360" w:hanging="36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McMahan, H.B., et al. (2017). Communication-Efficient Learning of Deep Networks from Decentralized Data. AISTATS 2017.</w:t>
      </w:r>
    </w:p>
    <w:p>
      <w:pPr>
        <w:spacing w:after="40" w:before="40"/>
        <w:ind w:left="360" w:hanging="36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Picard, R.W. (1997). Affective Computing. MIT Press.</w:t>
      </w:r>
    </w:p>
    <w:p>
      <w:pPr>
        <w:spacing w:after="40" w:before="40"/>
        <w:ind w:left="360" w:hanging="36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Surowiecki, J. (2004). The Wisdom of Crowds: Why the Many Are Smarter Than the Few. Doubleday.</w:t>
      </w:r>
    </w:p>
    <w:p>
      <w:pPr>
        <w:spacing w:after="40" w:before="40"/>
        <w:ind w:left="360" w:hanging="36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Von Frisch, K. (1967). The Dance Language and Orientation of Bees. Harvard University Press.</w:t>
      </w:r>
    </w:p>
    <w:p>
      <w:pPr>
        <w:spacing w:after="40" w:before="40"/>
        <w:ind w:left="360" w:hanging="36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Grassé, P.-P. (1959). La Reconstruction du Nid et les Coordinations Interindividuelles chez Bellicositermes et Cubitermes. Insectes Sociaux, 6(1), 41–83.</w:t>
      </w:r>
    </w:p>
    <w:p>
      <w:pPr>
        <w:spacing w:after="40" w:before="40"/>
        <w:ind w:left="360" w:hanging="36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Kolb, D.A. (1984). Experiential Learning: Experience as the Source of Learning and Development. Prentice Hall.</w:t>
      </w:r>
    </w:p>
    <w:p>
      <w:pPr>
        <w:spacing w:after="40" w:before="40"/>
        <w:ind w:left="360" w:hanging="36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Hall, E.T. (1976). Beyond Culture. Anchor Books.</w:t>
      </w:r>
    </w:p>
    <w:p>
      <w:pPr>
        <w:spacing w:after="40" w:before="40"/>
        <w:ind w:left="360" w:hanging="36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Hofstede, G. (1980). Culture's Consequences: International Differences in Work-Related Values. Sage Publications.</w:t>
      </w:r>
    </w:p>
    <w:p>
      <w:pPr>
        <w:spacing w:after="40" w:before="40"/>
        <w:ind w:left="360" w:hanging="36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Collins, A., Brown, J.S., &amp; Newman, S.E. (1989). Cognitive Apprenticeship. In L.B. Resnick (Ed.), Knowing, Learning, and Instruction. Lawrence Erlbaum.</w:t>
      </w:r>
    </w:p>
    <w:p>
      <w:pPr>
        <w:spacing w:after="40" w:before="40"/>
        <w:ind w:left="360" w:hanging="36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Beozzi, M.G. (2025a). WAAA: Weak Autopoietic Artificial Agent. A Theoretical Model for Cognitively Self-Aware Autonomous Systems. Preprint.</w:t>
      </w:r>
    </w:p>
    <w:p>
      <w:pPr>
        <w:spacing w:after="40" w:before="40"/>
        <w:ind w:left="360" w:hanging="36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Gibson, E.J., &amp; Walk, R.D. (1960). The Visual Cliff. Scientific American, 202(4), 64–71.</w:t>
      </w:r>
    </w:p>
    <w:p>
      <w:pPr>
        <w:spacing w:after="40" w:before="40"/>
        <w:ind w:left="360" w:hanging="36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Berlin, B., &amp; Kay, P. (1969). Basic Color Terms: Their Universality and Evolution. University of California Press.</w:t>
      </w:r>
    </w:p>
    <w:p>
      <w:pPr>
        <w:spacing w:after="40" w:before="40"/>
        <w:ind w:left="360" w:hanging="36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Mikolov, T., et al. (2013). Distributed Representations of Words and Phrases and their Compositionality. NeurIPS 2013.</w:t>
      </w:r>
    </w:p>
    <w:p>
      <w:pPr>
        <w:spacing w:after="40" w:before="40"/>
        <w:ind w:left="360" w:hanging="36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Pennington, J., Socher, R., &amp; Manning, C.D. (2014). GloVe: Global Vectors for Word Representation. EMNLP 2014.</w:t>
      </w:r>
    </w:p>
    <w:p>
      <w:pPr>
        <w:spacing w:after="40" w:before="40"/>
        <w:ind w:left="360" w:hanging="36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Kahneman, D. (2011). Thinking, Fast and Slow. Farrar, Straus and Giroux.</w:t>
      </w:r>
    </w:p>
    <w:p>
      <w:pPr>
        <w:spacing w:after="40" w:before="40"/>
        <w:ind w:left="360" w:hanging="36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Klein, G. (1998). Sources of Power: How People Make Decisions Under Uncertainty. MIT Press.</w:t>
      </w:r>
    </w:p>
    <w:p>
      <w:pPr>
        <w:spacing w:after="40" w:before="40"/>
        <w:ind w:left="360" w:hanging="36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Parasuraman, R., &amp; Wickens, C.D. (2008). Humans: Still Vital After All These Years of Automation. Human Factors, 50(3), 511–520.</w:t>
      </w:r>
    </w:p>
    <w:p>
      <w:pPr>
        <w:spacing w:after="40" w:before="40"/>
        <w:ind w:left="360" w:hanging="36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Beozzi, M.G. (2025b). MAAA: Metacognitive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Beozzi, M.G. (2025c). PAAA: Physiological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Beozzi, M.G. (2025d). SAAA: Semantic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Beozzi, M.G. (2026a). XAAA: eXperiential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Beozzi, M.G. (2026b). TAAA: Translational Autopoietic Adaptive Agent. Working Paper. GitHub: MarBeo-cyber.</w:t>
      </w:r>
    </w:p>
    <w:p>
      <w:pPr>
        <w:spacing w:after="40" w:before="40"/>
        <w:ind w:left="360" w:hanging="36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Beozzi, M.G. (2026c). NOAH: Network of Ontological Autopoietic Heuristics. Working Paper. GitHub: MarBeo-cyber.</w:t>
      </w:r>
    </w:p>
    <w:p>
      <w:pPr>
        <w:spacing w:after="60" w:before="60"/>
      </w:pPr>
      <w:r>
        <w:rPr>
          <w:rFonts w:ascii="Times New Roman" w:cs="Times New Roman" w:eastAsia="Times New Roman" w:hAnsi="Times New Roman"/>
        </w:rPr>
        <w:t xml:space="preserve"/>
      </w:r>
    </w:p>
    <w:p>
      <w:pPr>
        <w:pBdr>
          <w:top w:val="single" w:color="999999" w:sz="4" w:space="4"/>
        </w:pBdr>
        <w:spacing w:after="80" w:before="200"/>
      </w:pPr>
      <w:r>
        <w:rPr>
          <w:rFonts w:ascii="Times New Roman" w:cs="Times New Roman" w:eastAsia="Times New Roman" w:hAnsi="Times New Roman"/>
          <w:i/>
          <w:iCs/>
          <w:color w:val="888888"/>
          <w:sz w:val="18"/>
          <w:szCs w:val="18"/>
        </w:rPr>
        <w:t xml:space="preserve">© 2026 — AURA Working Paper | Marco Giuseppe Beozzi | Preprint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2"/>
      </w:pBdr>
      <w:tabs>
        <w:tab w:val="right" w:pos="9360"/>
      </w:tabs>
      <w:spacing w:after="0" w:before="120"/>
    </w:pPr>
    <w:r>
      <w:rPr>
        <w:rFonts w:ascii="Arial" w:cs="Arial" w:eastAsia="Arial" w:hAnsi="Arial"/>
        <w:color w:val="888888"/>
        <w:sz w:val="18"/>
        <w:szCs w:val="18"/>
      </w:rPr>
      <w:t xml:space="preserve">Preprint 2026 — github.com/MarBeo-cyber</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2"/>
      </w:pBdr>
      <w:tabs>
        <w:tab w:val="right" w:pos="9360"/>
      </w:tabs>
      <w:spacing w:after="120" w:before="0"/>
    </w:pPr>
    <w:r>
      <w:rPr>
        <w:rFonts w:ascii="Arial" w:cs="Arial" w:eastAsia="Arial" w:hAnsi="Arial"/>
        <w:color w:val="444444"/>
        <w:sz w:val="18"/>
        <w:szCs w:val="18"/>
      </w:rPr>
      <w:t xml:space="preserve">AURA — Autopoietic Unified Resilience Architecture</w:t>
    </w:r>
    <w:r>
      <w:rPr>
        <w:rFonts w:ascii="Arial" w:cs="Arial" w:eastAsia="Arial" w:hAnsi="Arial"/>
        <w:color w:val="888888"/>
        <w:sz w:val="18"/>
        <w:szCs w:val="18"/>
      </w:rPr>
      <w:t xml:space="preserve">	Beozzi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0000"/>
      <w:sz w:val="24"/>
      <w:szCs w:val="24"/>
    </w:rPr>
  </w:style>
  <w:style w:type="paragraph" w:styleId="Heading2">
    <w:name w:val="Heading 2"/>
    <w:basedOn w:val="Normal"/>
    <w:next w:val="Normal"/>
    <w:qFormat/>
    <w:pPr>
      <w:spacing w:after="80" w:before="200"/>
      <w:outlineLvl w:val="1"/>
    </w:pPr>
    <w:rPr>
      <w:rFonts w:ascii="Arial" w:cs="Arial" w:eastAsia="Arial" w:hAnsi="Arial"/>
      <w:b/>
      <w:bCs/>
      <w:color w:val="000000"/>
      <w:sz w:val="22"/>
      <w:szCs w:val="22"/>
    </w:rPr>
  </w:style>
  <w:style w:type="paragraph" w:styleId="Heading3">
    <w:name w:val="Heading 3"/>
    <w:basedOn w:val="Normal"/>
    <w:next w:val="Normal"/>
    <w:qFormat/>
    <w:pPr>
      <w:spacing w:after="60" w:before="160"/>
      <w:outlineLvl w:val="2"/>
    </w:pPr>
    <w:rPr>
      <w:rFonts w:ascii="Arial" w:cs="Arial" w:eastAsia="Arial" w:hAnsi="Arial"/>
      <w:b/>
      <w:bCs/>
      <w:i/>
      <w:i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2026-06-06T12:53:30.545Z</dcterms:created>
  <dcterms:modified xsi:type="dcterms:W3CDTF">2026-06-06T12:53:30.545Z</dcterms:modified>
</cp:coreProperties>
</file>

<file path=docProps/custom.xml><?xml version="1.0" encoding="utf-8"?>
<Properties xmlns="http://schemas.openxmlformats.org/officeDocument/2006/custom-properties" xmlns:vt="http://schemas.openxmlformats.org/officeDocument/2006/docPropsVTypes"/>
</file>