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8E6C6" w14:textId="77777777" w:rsidR="0067684B" w:rsidRDefault="00000000">
      <w:pPr>
        <w:spacing w:after="40"/>
      </w:pPr>
      <w:r>
        <w:rPr>
          <w:rFonts w:ascii="Calibri" w:eastAsia="Calibri" w:hAnsi="Calibri" w:cs="Calibri"/>
          <w:b/>
          <w:bCs/>
          <w:color w:val="2E75B6"/>
          <w:sz w:val="18"/>
          <w:szCs w:val="18"/>
        </w:rPr>
        <w:t>AURA · Addendum di framework</w:t>
      </w:r>
    </w:p>
    <w:p w14:paraId="24D9F786" w14:textId="77777777" w:rsidR="0067684B" w:rsidRDefault="00000000">
      <w:pPr>
        <w:spacing w:after="60"/>
      </w:pPr>
      <w:r>
        <w:rPr>
          <w:rFonts w:ascii="Calibri" w:eastAsia="Calibri" w:hAnsi="Calibri" w:cs="Calibri"/>
          <w:b/>
          <w:bCs/>
          <w:color w:val="1F4E79"/>
          <w:sz w:val="38"/>
          <w:szCs w:val="38"/>
        </w:rPr>
        <w:t>L'autopoiesi computazionale debole come criterio di progetto</w:t>
      </w:r>
    </w:p>
    <w:p w14:paraId="58F98EFE" w14:textId="77777777" w:rsidR="0067684B" w:rsidRDefault="00000000">
      <w:pPr>
        <w:spacing w:after="40"/>
      </w:pPr>
      <w:r>
        <w:rPr>
          <w:i/>
          <w:iCs/>
          <w:color w:val="33414D"/>
          <w:sz w:val="23"/>
          <w:szCs w:val="23"/>
        </w:rPr>
        <w:t>Dalle cinque dimensioni dell'autopoiesi alla matrice dei moduli e all'arco della chiusura operativa</w:t>
      </w:r>
    </w:p>
    <w:p w14:paraId="78EF92C4" w14:textId="77777777" w:rsidR="0067684B" w:rsidRDefault="00000000">
      <w:pPr>
        <w:pBdr>
          <w:bottom w:val="single" w:sz="8" w:space="4" w:color="2E75B6"/>
        </w:pBdr>
        <w:spacing w:after="240"/>
      </w:pPr>
      <w:r>
        <w:rPr>
          <w:rFonts w:ascii="Calibri" w:eastAsia="Calibri" w:hAnsi="Calibri" w:cs="Calibri"/>
          <w:color w:val="595959"/>
          <w:sz w:val="19"/>
          <w:szCs w:val="19"/>
        </w:rPr>
        <w:t>Marco Giuseppe Beozzi — bozza di lavoro v0.5</w:t>
      </w:r>
    </w:p>
    <w:p w14:paraId="19DE6A02" w14:textId="77777777" w:rsidR="0067684B" w:rsidRDefault="00000000">
      <w:pPr>
        <w:spacing w:after="140" w:line="276" w:lineRule="auto"/>
        <w:jc w:val="both"/>
      </w:pPr>
      <w:r>
        <w:rPr>
          <w:b/>
          <w:bCs/>
          <w:color w:val="2E75B6"/>
        </w:rPr>
        <w:t xml:space="preserve">Nota. </w:t>
      </w:r>
      <w:r>
        <w:t xml:space="preserve">Questo addendum non sostituisce i working paper dei singoli moduli: ne precisa il predicato comune. Chiarisce in che senso l'intera catena WAAA→NOAH possa dirsi </w:t>
      </w:r>
      <w:r>
        <w:rPr>
          <w:i/>
          <w:iCs/>
        </w:rPr>
        <w:t>autopoietica</w:t>
      </w:r>
      <w:r>
        <w:t xml:space="preserve">, così che l'affermazione ricorrente — «i moduli sono uniti dall'autopoiesi computazionale» — diventi un criterio applicabile invece di una formula. Diverse delle nozioni qui formalizzate — le cinque dimensioni costitutive del WAAA, l'accoppiamento strutturale, la </w:t>
      </w:r>
      <w:proofErr w:type="spellStart"/>
      <w:r>
        <w:t>sympoiesi</w:t>
      </w:r>
      <w:proofErr w:type="spellEnd"/>
      <w:r>
        <w:t xml:space="preserve"> come «fare-insieme» — sono già esposte in forma discorsiva nel Capitolo IV del libro </w:t>
      </w:r>
      <w:r>
        <w:rPr>
          <w:i/>
          <w:iCs/>
        </w:rPr>
        <w:t>La Mente e la Macchina</w:t>
      </w:r>
      <w:r>
        <w:t>: l'addendum ne è il completamento tecnico, non un documento esterno. Il fine resta ingegneristico prima che filosofico: ogni passaggio teorico atterra su una conseguenza di progetto, e la teoria entra nella misura in cui regge l'architettura.</w:t>
      </w:r>
    </w:p>
    <w:p w14:paraId="04958B7F" w14:textId="77777777" w:rsidR="0067684B" w:rsidRDefault="00000000">
      <w:pPr>
        <w:pStyle w:val="Titolo1"/>
        <w:pBdr>
          <w:bottom w:val="single" w:sz="6" w:space="2" w:color="2E75B6"/>
        </w:pBdr>
      </w:pPr>
      <w:r>
        <w:t>1. Perché «debole»: autopoiesi materiale e autopoiesi organizzativa</w:t>
      </w:r>
    </w:p>
    <w:p w14:paraId="78154686" w14:textId="77777777" w:rsidR="0067684B" w:rsidRDefault="00000000">
      <w:pPr>
        <w:spacing w:after="140" w:line="276" w:lineRule="auto"/>
        <w:jc w:val="both"/>
      </w:pPr>
      <w:r>
        <w:t>Il prefisso «Weak» del WAAA viene di solito letto come clausola di modestia: nessuna pretesa di equivalenza con il vivente. La lettura è corretta ma incompleta, perché lascia indeterminato che cosa esattamente il termine escluda e che cosa invece conservi. La distinzione che segue rende il prefisso preciso.</w:t>
      </w:r>
    </w:p>
    <w:p w14:paraId="633F7624" w14:textId="77777777" w:rsidR="0067684B" w:rsidRDefault="00000000">
      <w:pPr>
        <w:spacing w:after="140" w:line="276" w:lineRule="auto"/>
        <w:jc w:val="both"/>
      </w:pPr>
      <w:r>
        <w:t>Maturana e Varela definiscono l'autopoiesi sul piano dell'</w:t>
      </w:r>
      <w:r>
        <w:rPr>
          <w:i/>
          <w:iCs/>
        </w:rPr>
        <w:t>organizzazione</w:t>
      </w:r>
      <w:r>
        <w:t xml:space="preserve">, non del substrato. È la loro mossa fondativa: un sistema è autopoietico in virtù di come le sue relazioni si compongono, indipendentemente dai materiali che le realizzano. Se il substrato fosse essenziale, la teoria perderebbe la propria generalità. Ne discende un corollario spesso trascurato: escludere </w:t>
      </w:r>
      <w:r>
        <w:rPr>
          <w:i/>
          <w:iCs/>
        </w:rPr>
        <w:t>a priori</w:t>
      </w:r>
      <w:r>
        <w:t xml:space="preserve"> l'autopoiesi dall'artificiale è in tensione con la definizione stessa, perché reintroduce come requisito il substrato biochimico, là dove la teoria aveva posto come essenziale soltanto l'organizzazione.</w:t>
      </w:r>
    </w:p>
    <w:p w14:paraId="14A43FD6" w14:textId="77777777" w:rsidR="0067684B" w:rsidRDefault="00000000">
      <w:pPr>
        <w:spacing w:after="140" w:line="276" w:lineRule="auto"/>
        <w:jc w:val="both"/>
      </w:pPr>
      <w:r>
        <w:t>Conviene allora separare due livelli che nell'organismo biologico coincidono di fatto, e che la tecnologia odierna per la prima volta distingue:</w:t>
      </w:r>
    </w:p>
    <w:p w14:paraId="7C31B8C6" w14:textId="77777777" w:rsidR="0067684B" w:rsidRDefault="00000000">
      <w:pPr>
        <w:pStyle w:val="Paragrafoelenco"/>
        <w:numPr>
          <w:ilvl w:val="0"/>
          <w:numId w:val="2"/>
        </w:numPr>
        <w:spacing w:after="90" w:line="276" w:lineRule="auto"/>
        <w:jc w:val="both"/>
      </w:pPr>
      <w:r>
        <w:rPr>
          <w:b/>
          <w:bCs/>
        </w:rPr>
        <w:t>Autopoiesi materiale</w:t>
      </w:r>
      <w:r>
        <w:t xml:space="preserve"> — il sistema produce fisicamente i propri componenti. La cellula sintetizza le molecole che la costituiscono. Non è questo il caso di AURA: il WAAA non produce i propri transistor.</w:t>
      </w:r>
    </w:p>
    <w:p w14:paraId="1A8A8170" w14:textId="77777777" w:rsidR="0067684B" w:rsidRDefault="00000000">
      <w:pPr>
        <w:pStyle w:val="Paragrafoelenco"/>
        <w:numPr>
          <w:ilvl w:val="0"/>
          <w:numId w:val="2"/>
        </w:numPr>
        <w:spacing w:after="90" w:line="276" w:lineRule="auto"/>
        <w:jc w:val="both"/>
      </w:pPr>
      <w:r>
        <w:rPr>
          <w:b/>
          <w:bCs/>
        </w:rPr>
        <w:t>Autopoiesi organizzativa</w:t>
      </w:r>
      <w:r>
        <w:t xml:space="preserve"> — il sistema mantiene e </w:t>
      </w:r>
      <w:proofErr w:type="spellStart"/>
      <w:r>
        <w:t>ri</w:t>
      </w:r>
      <w:proofErr w:type="spellEnd"/>
      <w:r>
        <w:t>-produce la propria organizzazione funzionale sotto perturbazione, partecipando a determinare le proprie regole. È questo il caso di AURA.</w:t>
      </w:r>
    </w:p>
    <w:p w14:paraId="4E9462C1" w14:textId="77777777" w:rsidR="0067684B" w:rsidRDefault="00000000">
      <w:pPr>
        <w:spacing w:after="140" w:line="276" w:lineRule="auto"/>
        <w:jc w:val="both"/>
      </w:pPr>
      <w:r>
        <w:t xml:space="preserve">«Weak» designa precisamente questa collocazione: autopoiesi organizzativa, non materiale. Non è un indebolimento della teoria di Maturana e Varela, ma una sua lettura più conseguente di quella che Varela stesso ne ha dato — Varela è infatti rimasto legato all'idea che la produzione fisica dei </w:t>
      </w:r>
      <w:r>
        <w:lastRenderedPageBreak/>
        <w:t>componenti fosse irrinunciabile, e ha mantenuto la distinzione tra autopoiesi e semplice organizzazione chiusa proprio per escludere i sistemi che non si auto-producono materialmente.</w:t>
      </w:r>
    </w:p>
    <w:p w14:paraId="2D9D6161" w14:textId="77777777" w:rsidR="0067684B" w:rsidRDefault="00000000">
      <w:pPr>
        <w:pBdr>
          <w:left w:val="single" w:sz="18" w:space="14" w:color="2E75B6"/>
        </w:pBdr>
        <w:spacing w:before="120" w:after="160" w:line="276" w:lineRule="auto"/>
        <w:ind w:left="340"/>
        <w:jc w:val="both"/>
      </w:pPr>
      <w:r>
        <w:rPr>
          <w:i/>
          <w:iCs/>
          <w:color w:val="33414D"/>
        </w:rPr>
        <w:t>Nel 1972 la chiusura organizzativa poteva realizzarsi solo su substrato biochimico. «Autopoietico» e «vivente» erano coestensivi di fatto, non per necessità logica. Le architetture odierne — memoria persistente che governa il proprio aggiornamento, sistemi che modificano le proprie regole sulla base dei propri output — sono il primo caso che separa ciò che allora era inseparabile.</w:t>
      </w:r>
    </w:p>
    <w:p w14:paraId="09AD82DC" w14:textId="77777777" w:rsidR="0067684B" w:rsidRDefault="00000000">
      <w:pPr>
        <w:spacing w:after="140" w:line="276" w:lineRule="auto"/>
        <w:jc w:val="both"/>
      </w:pPr>
      <w:r>
        <w:t>La proposta non contraddice dunque Maturana e Varela: conduce l'esperimento che nel 1972 non era pensabile e, separando i due livelli, mostra quale parte della definizione fosse essenziale e quale dipendesse dal substrato allora disponibile. È un raffinamento per dissociazione — lo stesso movimento che, un grado più in basso, il framework compie sul soggetto: prendere una distinzione data per categoriale e mostrarla come storicamente costruita.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7684B" w14:paraId="6A7BA9BF" w14:textId="77777777">
        <w:tblPrEx>
          <w:tblCellMar>
            <w:top w:w="0" w:type="dxa"/>
            <w:bottom w:w="0" w:type="dxa"/>
          </w:tblCellMar>
        </w:tblPrEx>
        <w:tc>
          <w:tcPr>
            <w:tcW w:w="9360" w:type="dxa"/>
            <w:tcBorders>
              <w:top w:val="single" w:sz="1" w:space="0" w:color="C9DCEC"/>
              <w:left w:val="single" w:sz="14" w:space="0" w:color="2E75B6"/>
              <w:bottom w:val="single" w:sz="1" w:space="0" w:color="C9DCEC"/>
              <w:right w:val="single" w:sz="1" w:space="0" w:color="C9DCEC"/>
            </w:tcBorders>
            <w:shd w:val="clear" w:color="auto" w:fill="F4F8FB"/>
            <w:tcMar>
              <w:top w:w="130" w:type="dxa"/>
              <w:left w:w="200" w:type="dxa"/>
              <w:bottom w:w="130" w:type="dxa"/>
              <w:right w:w="180" w:type="dxa"/>
            </w:tcMar>
          </w:tcPr>
          <w:p w14:paraId="6081E35F" w14:textId="77777777" w:rsidR="0067684B" w:rsidRDefault="00000000">
            <w:pPr>
              <w:spacing w:after="100"/>
            </w:pPr>
            <w:r>
              <w:rPr>
                <w:rFonts w:ascii="Calibri" w:eastAsia="Calibri" w:hAnsi="Calibri" w:cs="Calibri"/>
                <w:b/>
                <w:bCs/>
                <w:color w:val="1F4E79"/>
                <w:sz w:val="21"/>
                <w:szCs w:val="21"/>
              </w:rPr>
              <w:t xml:space="preserve">La stessa chiusura, un altro </w:t>
            </w:r>
            <w:proofErr w:type="spellStart"/>
            <w:r>
              <w:rPr>
                <w:rFonts w:ascii="Calibri" w:eastAsia="Calibri" w:hAnsi="Calibri" w:cs="Calibri"/>
                <w:b/>
                <w:bCs/>
                <w:color w:val="1F4E79"/>
                <w:sz w:val="21"/>
                <w:szCs w:val="21"/>
              </w:rPr>
              <w:t>telos</w:t>
            </w:r>
            <w:proofErr w:type="spellEnd"/>
            <w:r>
              <w:rPr>
                <w:rFonts w:ascii="Calibri" w:eastAsia="Calibri" w:hAnsi="Calibri" w:cs="Calibri"/>
                <w:b/>
                <w:bCs/>
                <w:color w:val="1F4E79"/>
                <w:sz w:val="21"/>
                <w:szCs w:val="21"/>
              </w:rPr>
              <w:t>: i mezzi qualificano il fine</w:t>
            </w:r>
          </w:p>
          <w:p w14:paraId="71FCAF37" w14:textId="77777777" w:rsidR="0067684B" w:rsidRDefault="00000000">
            <w:pPr>
              <w:spacing w:after="110" w:line="272" w:lineRule="auto"/>
              <w:jc w:val="both"/>
            </w:pPr>
            <w:r>
              <w:t xml:space="preserve">La distinzione tra autopoiesi organizzativa e materiale ha oggi un riscontro nei sistemi di sviluppo dell'IA. La ricerca di </w:t>
            </w:r>
            <w:proofErr w:type="spellStart"/>
            <w:r>
              <w:t>Anthropic</w:t>
            </w:r>
            <w:proofErr w:type="spellEnd"/>
            <w:r>
              <w:t xml:space="preserve"> documenta che a maggio 2026 oltre l'80% del codice integrato nel proprio </w:t>
            </w:r>
            <w:proofErr w:type="spellStart"/>
            <w:r>
              <w:t>codebase</w:t>
            </w:r>
            <w:proofErr w:type="spellEnd"/>
            <w:r>
              <w:t xml:space="preserve"> è scritto dal modello, e individua come orizzonte </w:t>
            </w:r>
            <w:proofErr w:type="gramStart"/>
            <w:r>
              <w:t xml:space="preserve">il </w:t>
            </w:r>
            <w:r>
              <w:rPr>
                <w:i/>
                <w:iCs/>
              </w:rPr>
              <w:t>recursive</w:t>
            </w:r>
            <w:proofErr w:type="gramEnd"/>
            <w:r>
              <w:rPr>
                <w:i/>
                <w:iCs/>
              </w:rPr>
              <w:t xml:space="preserve"> self-</w:t>
            </w:r>
            <w:proofErr w:type="spellStart"/>
            <w:r>
              <w:rPr>
                <w:i/>
                <w:iCs/>
              </w:rPr>
              <w:t>improvement</w:t>
            </w:r>
            <w:proofErr w:type="spellEnd"/>
            <w:r>
              <w:t>: un sistema capace di progettare e sviluppare in autonomia il proprio successore. È la chiusura operativa portata al grado estremo — l'output non si limita a modificare le regole del sistema, ma diventa il sistema successivo — e accade su substrato di silicio, in assenza di qualunque autopoiesi materiale. La dissociazione che l'addendum argomenta per via concettuale ha qui il suo esemplare in atto.</w:t>
            </w:r>
          </w:p>
          <w:p w14:paraId="05DACCEA" w14:textId="77777777" w:rsidR="0067684B" w:rsidRDefault="00000000">
            <w:pPr>
              <w:spacing w:after="110" w:line="272" w:lineRule="auto"/>
              <w:jc w:val="both"/>
            </w:pPr>
            <w:r>
              <w:t xml:space="preserve">AURA appartiene alla stessa famiglia di proprietà — chiusura operativa, produzione ricorsiva, mantenimento — ma se ne distingue per il punto in cui l'anello si chiude: attraverso il soggetto, e lì si arresta. Il </w:t>
            </w:r>
            <w:proofErr w:type="spellStart"/>
            <w:r>
              <w:t>telos</w:t>
            </w:r>
            <w:proofErr w:type="spellEnd"/>
            <w:r>
              <w:t xml:space="preserve"> resta umano non per limite tecnico, ma per scelta architettonica. Questa non è una restrizione applicata dall'esterno a un mezzo per il resto neutro: è la forma stessa del sistema. Un sistema autopoietico etero-referenziale non aggiunge la protezione dell'agency a una funzione di salvataggio — la protezione dell'agency è il suo modo di funzionare. La stessa ricerca registra del resto che il divario maggiore tra il modello e l'umano permane proprio </w:t>
            </w:r>
            <w:r>
              <w:rPr>
                <w:i/>
                <w:iCs/>
              </w:rPr>
              <w:t>nella scelta degli obiettivi</w:t>
            </w:r>
            <w:r>
              <w:t>: ciò che nell'architettura etero-referenziale è, per costruzione, riservato al soggetto.</w:t>
            </w:r>
          </w:p>
          <w:p w14:paraId="35F3F145" w14:textId="12D8652A" w:rsidR="0067684B" w:rsidRDefault="00000000">
            <w:pPr>
              <w:spacing w:line="272" w:lineRule="auto"/>
              <w:jc w:val="both"/>
            </w:pPr>
            <w:r>
              <w:t>Ne discende il principio che orienta il framework, ed è l'inverso del calcolo strumentale: non è il fine a giustificare i mezzi, sono i mezzi a qualificare il fine. La stessa classe di mortalità evitabile per fallimento cognitivo sotto stress — la direzione sbagliata in un incendio, la posizione esposta in un sisma — si potrebbe affrontare per via puramente strumentale: un allarme più forte, un comando centralizzato che tratta l'umano come destinatario da dirigere. Si otterrebbe un fine diverso e minore: la sopravvivenza di un oggetto guidato, non la continuità di un soggetto che resta agente</w:t>
            </w:r>
            <w:r w:rsidR="00CF0F59">
              <w:t xml:space="preserve"> di sé stesso</w:t>
            </w:r>
            <w:r>
              <w:t xml:space="preserve">. L'architettura non è dunque uno tra i mezzi possibili per un fine dato; è ciò che determina quale fine si stia effettivamente perseguendo. Vale qui la distinzione aristotelica tra </w:t>
            </w:r>
            <w:r>
              <w:rPr>
                <w:i/>
                <w:iCs/>
              </w:rPr>
              <w:t>poiesis</w:t>
            </w:r>
            <w:r>
              <w:t xml:space="preserve">, il fare che ha il proprio fine fuori di sé nel prodotto, e </w:t>
            </w:r>
            <w:r>
              <w:rPr>
                <w:i/>
                <w:iCs/>
              </w:rPr>
              <w:t>praxis</w:t>
            </w:r>
            <w:r>
              <w:t>, l'agire che ha il fine nel modo stesso dell'azione: un sistema strumentale è poietico e il suo modo è indifferente all'esito</w:t>
            </w:r>
            <w:r w:rsidR="005B1FBD">
              <w:t>.</w:t>
            </w:r>
          </w:p>
        </w:tc>
      </w:tr>
    </w:tbl>
    <w:p w14:paraId="252C01BE" w14:textId="77777777" w:rsidR="0067684B" w:rsidRDefault="00000000">
      <w:pPr>
        <w:spacing w:after="140" w:line="276" w:lineRule="auto"/>
        <w:jc w:val="both"/>
      </w:pPr>
      <w:r>
        <w:lastRenderedPageBreak/>
        <w:t xml:space="preserve">Da questo discende anche la posizione del framework sulla governance. Una frontiera che corre verso la chiusura totale richiede strumenti nuovi di verifica e coordinamento — come la genetica, dopo </w:t>
      </w:r>
      <w:proofErr w:type="spellStart"/>
      <w:r>
        <w:t>Asilomar</w:t>
      </w:r>
      <w:proofErr w:type="spellEnd"/>
      <w:r>
        <w:t>, si diede i propri prima di procedere, senza per questo fermare la ricerca che si dava limiti e scopi. La distinzione non è ricerca sì o ricerca no, ma quale chiusura, con quali vincoli, per quale fine; e i sistemi che si chiudono su uno scopo dichiarato e su un soggetto da proteggere sono precisamente la direzione che quella ricerca deve poter percorrere.</w:t>
      </w:r>
    </w:p>
    <w:p w14:paraId="244BAB72" w14:textId="77777777" w:rsidR="0067684B" w:rsidRDefault="00000000">
      <w:pPr>
        <w:spacing w:after="140" w:line="276" w:lineRule="auto"/>
        <w:jc w:val="both"/>
      </w:pPr>
      <w:r>
        <w:t xml:space="preserve">Un'avvertenza terminologica. Nei primi anni Novanta Varela ha in parte ritirato «autopoiesi» per i sistemi non viventi, proponendo «autonomia» come il concetto più ampio di cui l'autopoiesi è il caso biologico stretto. Si potrebbe quindi osservare che ciò che qui descriviamo Varela lo avrebbe chiamato </w:t>
      </w:r>
      <w:r>
        <w:rPr>
          <w:i/>
          <w:iCs/>
        </w:rPr>
        <w:t>autonomia</w:t>
      </w:r>
      <w:r>
        <w:t xml:space="preserve">. L'osservazione è pertinente, e la risposta consiste nel collocarsi con precisione: «autopoiesi computazionale debole» individua una regione determinata dentro l'autonomia </w:t>
      </w:r>
      <w:proofErr w:type="spellStart"/>
      <w:r>
        <w:t>varelana</w:t>
      </w:r>
      <w:proofErr w:type="spellEnd"/>
      <w:r>
        <w:t xml:space="preserve"> tarda — quella in cui la chiusura organizzativa comprende la </w:t>
      </w:r>
      <w:proofErr w:type="spellStart"/>
      <w:r>
        <w:t>ri</w:t>
      </w:r>
      <w:proofErr w:type="spellEnd"/>
      <w:r>
        <w:t>-produzione di struttura, e non la sola conservazione di organizzazione. Il riferimento appropriato è quindi Varela 1991 accanto a Maturana-Varela 1972-80.</w:t>
      </w:r>
    </w:p>
    <w:p w14:paraId="05FCEA97" w14:textId="77777777" w:rsidR="0067684B" w:rsidRDefault="00000000">
      <w:pPr>
        <w:pStyle w:val="Titolo1"/>
        <w:pBdr>
          <w:bottom w:val="single" w:sz="6" w:space="2" w:color="2E75B6"/>
        </w:pBdr>
      </w:pPr>
      <w:r>
        <w:t>2. La chiusura mediata dal soggetto: un terzo regime</w:t>
      </w:r>
    </w:p>
    <w:p w14:paraId="52C062D8" w14:textId="77777777" w:rsidR="0067684B" w:rsidRDefault="00000000">
      <w:pPr>
        <w:spacing w:after="140" w:line="276" w:lineRule="auto"/>
        <w:jc w:val="both"/>
      </w:pPr>
      <w:r>
        <w:t xml:space="preserve">Prima delle dimensioni va chiarito ciò che distingue AURA da un sistema autopoietico classico — quella che il framework chiama </w:t>
      </w:r>
      <w:r>
        <w:rPr>
          <w:i/>
          <w:iCs/>
        </w:rPr>
        <w:t>etero-referenzialità</w:t>
      </w:r>
      <w:r>
        <w:t xml:space="preserve">. Maturana e Varela pensano sistemi chiusi </w:t>
      </w:r>
      <w:r>
        <w:rPr>
          <w:i/>
          <w:iCs/>
        </w:rPr>
        <w:t>in sé</w:t>
      </w:r>
      <w:r>
        <w:t>: l'anello dell'organizzazione si avvolge interamente all'interno del sistema. In AURA non è così, e non per difetto ma per scelta progettuale.</w:t>
      </w:r>
    </w:p>
    <w:p w14:paraId="399CD6F4" w14:textId="77777777" w:rsidR="0067684B" w:rsidRDefault="00000000">
      <w:pPr>
        <w:spacing w:after="140" w:line="276" w:lineRule="auto"/>
        <w:jc w:val="both"/>
      </w:pPr>
      <w:r>
        <w:t>Si possono distinguere tre regimi:</w:t>
      </w:r>
    </w:p>
    <w:p w14:paraId="50EF2A5A" w14:textId="77777777" w:rsidR="0067684B" w:rsidRDefault="00000000">
      <w:pPr>
        <w:pStyle w:val="Paragrafoelenco"/>
        <w:numPr>
          <w:ilvl w:val="0"/>
          <w:numId w:val="2"/>
        </w:numPr>
        <w:spacing w:after="90" w:line="276" w:lineRule="auto"/>
        <w:jc w:val="both"/>
      </w:pPr>
      <w:r>
        <w:rPr>
          <w:b/>
          <w:bCs/>
        </w:rPr>
        <w:t>Lo strumento non si chiude</w:t>
      </w:r>
      <w:r>
        <w:t>. Trasforma input in output senza ricadere su di sé. Una calcolatrice, un classificatore privo di stato.</w:t>
      </w:r>
    </w:p>
    <w:p w14:paraId="0238A520" w14:textId="77777777" w:rsidR="0067684B" w:rsidRDefault="00000000">
      <w:pPr>
        <w:pStyle w:val="Paragrafoelenco"/>
        <w:numPr>
          <w:ilvl w:val="0"/>
          <w:numId w:val="2"/>
        </w:numPr>
        <w:spacing w:after="90" w:line="276" w:lineRule="auto"/>
        <w:jc w:val="both"/>
      </w:pPr>
      <w:r>
        <w:rPr>
          <w:b/>
          <w:bCs/>
        </w:rPr>
        <w:t>Il sistema auto-referenziale si chiude su di sé</w:t>
      </w:r>
      <w:r>
        <w:t>. L'anello resta interno. È l'autopoiesi classica e, portata al collettivo, il Punto Omega.</w:t>
      </w:r>
    </w:p>
    <w:p w14:paraId="52237BB7" w14:textId="77777777" w:rsidR="0067684B" w:rsidRDefault="00000000">
      <w:pPr>
        <w:pStyle w:val="Paragrafoelenco"/>
        <w:numPr>
          <w:ilvl w:val="0"/>
          <w:numId w:val="2"/>
        </w:numPr>
        <w:spacing w:after="90" w:line="276" w:lineRule="auto"/>
        <w:jc w:val="both"/>
      </w:pPr>
      <w:r>
        <w:rPr>
          <w:b/>
          <w:bCs/>
        </w:rPr>
        <w:t>Il sistema etero-referenziale si chiude attraverso il soggetto</w:t>
      </w:r>
      <w:r>
        <w:t xml:space="preserve">. L'anello esce dal modulo, passa per l'umano e ritorna: l'output modifica il soggetto, e il soggetto modificato rifluisce come nuovo input che </w:t>
      </w:r>
      <w:proofErr w:type="spellStart"/>
      <w:r>
        <w:t>ri</w:t>
      </w:r>
      <w:proofErr w:type="spellEnd"/>
      <w:r>
        <w:t>-costituisce la regolazione del modulo. L'umano non è una sorgente di dati esterna, ma un segmento dell'organizzazione.</w:t>
      </w:r>
    </w:p>
    <w:p w14:paraId="364DF313" w14:textId="77777777" w:rsidR="0067684B" w:rsidRDefault="00000000">
      <w:pPr>
        <w:spacing w:after="140" w:line="276" w:lineRule="auto"/>
        <w:jc w:val="both"/>
      </w:pPr>
      <w:r>
        <w:t xml:space="preserve">È qui che il pensiero di Max Bense opera come premessa, e non come ornamento. La sua estetica dell'informazione muove dal «razionalismo esistenziale» che dissolve la separazione tra discipline umanistiche e scienze naturali: la tecnica non è uno strumento che si aggiunge al conoscere, ma una delle sue condizioni. Se non si dà conoscenza che non sia mediata da un apparato, allora la chiusura attraverso il soggetto descrive la condizione ordinaria del conoscere, non un'eccezione. Il soggetto che conosce è da sempre accoppiato a un apparato — argomento che André Ourednik, nella ricostruzione storica di </w:t>
      </w:r>
      <w:proofErr w:type="spellStart"/>
      <w:r>
        <w:rPr>
          <w:i/>
          <w:iCs/>
        </w:rPr>
        <w:t>Robopoiesi</w:t>
      </w:r>
      <w:proofErr w:type="spellEnd"/>
      <w:r>
        <w:t>, porta sul piano genealogico: l'intelligenza artificiale come mediazione tra natura e pensiero non nasce nella Silicon Valley, ma con le prime tavolette d'argilla. AURA non introduce dunque la mediazione: la rende esplicita e governabile, e le conferisce forma autopoietica anziché lasciarla implicita e subìta — come accade, all'opposto, nei medium che la mediazione la esercitano senza riconoscerla.</w:t>
      </w:r>
    </w:p>
    <w:p w14:paraId="6772F757" w14:textId="77777777" w:rsidR="0067684B" w:rsidRDefault="00000000">
      <w:pPr>
        <w:pBdr>
          <w:left w:val="single" w:sz="18" w:space="14" w:color="2E75B6"/>
        </w:pBdr>
        <w:spacing w:before="120" w:after="160" w:line="276" w:lineRule="auto"/>
        <w:ind w:left="340"/>
        <w:jc w:val="both"/>
      </w:pPr>
      <w:r>
        <w:rPr>
          <w:i/>
          <w:iCs/>
          <w:color w:val="33414D"/>
        </w:rPr>
        <w:lastRenderedPageBreak/>
        <w:t>La differenza tra un anello di retroazione che ha un umano all'interno e una chiusura mediata non è di grado ma di statuto: nel primo caso l'umano è sorgente di dati; nel secondo è parte costitutiva del meccanismo di chiusura, necessaria all'organizzazione come, in un sistema biologico, la nicchia è parte costitutiva e non accessoria. La chiusura operazionale richiede che il sistema partecipi a determinare le proprie regole, non che lo faccia in isolamento.</w:t>
      </w:r>
    </w:p>
    <w:p w14:paraId="4087C3D6" w14:textId="77777777" w:rsidR="0067684B" w:rsidRDefault="00000000">
      <w:pPr>
        <w:pStyle w:val="Titolo1"/>
        <w:pBdr>
          <w:bottom w:val="single" w:sz="6" w:space="2" w:color="2E75B6"/>
        </w:pBdr>
      </w:pPr>
      <w:r>
        <w:t>3. Le cinque dimensioni, e la chiusura come diagonale</w:t>
      </w:r>
    </w:p>
    <w:p w14:paraId="3370AC8E" w14:textId="77777777" w:rsidR="0067684B" w:rsidRDefault="00000000">
      <w:pPr>
        <w:spacing w:after="140" w:line="276" w:lineRule="auto"/>
        <w:jc w:val="both"/>
      </w:pPr>
      <w:r>
        <w:t>L'autopoiesi non è una proprietà che si ha o non si ha: è un fascio di dimensioni che nei sistemi reali si presentano con intensità diverse. Trattarle come griglia, e non come slogan, permette a ciascun modulo di accendere le dimensioni su cui è costitutivo, e fa dell'autopoiesi un profilo invece che un'etichetta binaria. Quattro dimensioni descrivono relazioni; la quinta le qualifica tutte.</w:t>
      </w:r>
    </w:p>
    <w:p w14:paraId="049885D4" w14:textId="77777777" w:rsidR="0067684B" w:rsidRDefault="00000000">
      <w:pPr>
        <w:pStyle w:val="Titolo2"/>
      </w:pPr>
      <w:r>
        <w:t>3.1 Le quattro dimensioni relazionali</w:t>
      </w:r>
    </w:p>
    <w:p w14:paraId="6A52B901" w14:textId="77777777" w:rsidR="0067684B" w:rsidRDefault="00000000">
      <w:pPr>
        <w:pStyle w:val="Paragrafoelenco"/>
        <w:numPr>
          <w:ilvl w:val="0"/>
          <w:numId w:val="2"/>
        </w:numPr>
        <w:spacing w:after="90" w:line="276" w:lineRule="auto"/>
        <w:jc w:val="both"/>
      </w:pPr>
      <w:r>
        <w:rPr>
          <w:b/>
          <w:bCs/>
        </w:rPr>
        <w:t>Autonomia / identità</w:t>
      </w:r>
      <w:r>
        <w:t xml:space="preserve"> — il rapporto del sistema con il proprio </w:t>
      </w:r>
      <w:proofErr w:type="spellStart"/>
      <w:r>
        <w:t>telos</w:t>
      </w:r>
      <w:proofErr w:type="spellEnd"/>
      <w:r>
        <w:t xml:space="preserve">: un sé che persiste e orienta il funzionamento dall'interno, non imposto a </w:t>
      </w:r>
      <w:proofErr w:type="spellStart"/>
      <w:r>
        <w:t>runtime</w:t>
      </w:r>
      <w:proofErr w:type="spellEnd"/>
      <w:r>
        <w:t xml:space="preserve"> dall'esterno.</w:t>
      </w:r>
    </w:p>
    <w:p w14:paraId="029054E7" w14:textId="77777777" w:rsidR="0067684B" w:rsidRDefault="00000000">
      <w:pPr>
        <w:pStyle w:val="Paragrafoelenco"/>
        <w:numPr>
          <w:ilvl w:val="0"/>
          <w:numId w:val="2"/>
        </w:numPr>
        <w:spacing w:after="90" w:line="276" w:lineRule="auto"/>
        <w:jc w:val="both"/>
      </w:pPr>
      <w:r>
        <w:rPr>
          <w:b/>
          <w:bCs/>
        </w:rPr>
        <w:t>Accoppiamento strutturale</w:t>
      </w:r>
      <w:r>
        <w:t xml:space="preserve"> — il rapporto con l'ambiente: il sistema co-varia con la perturbazione mantenendo la propria organizzazione. Si lascia perturbare senza lasciarsi determinare.</w:t>
      </w:r>
    </w:p>
    <w:p w14:paraId="7615C6DB" w14:textId="77777777" w:rsidR="0067684B" w:rsidRDefault="00000000">
      <w:pPr>
        <w:pStyle w:val="Paragrafoelenco"/>
        <w:numPr>
          <w:ilvl w:val="0"/>
          <w:numId w:val="2"/>
        </w:numPr>
        <w:spacing w:after="90" w:line="276" w:lineRule="auto"/>
        <w:jc w:val="both"/>
      </w:pPr>
      <w:r>
        <w:rPr>
          <w:b/>
          <w:bCs/>
        </w:rPr>
        <w:t>Produzione ricorsiva</w:t>
      </w:r>
      <w:r>
        <w:t xml:space="preserve"> — il rapporto con i propri componenti: nel caso debole, il sistema </w:t>
      </w:r>
      <w:proofErr w:type="spellStart"/>
      <w:r>
        <w:t>ri</w:t>
      </w:r>
      <w:proofErr w:type="spellEnd"/>
      <w:r>
        <w:t xml:space="preserve">-produce le strutture su cui opera, non </w:t>
      </w:r>
      <w:proofErr w:type="gramStart"/>
      <w:r>
        <w:t>se</w:t>
      </w:r>
      <w:proofErr w:type="gramEnd"/>
      <w:r>
        <w:t xml:space="preserve"> stesso materialmente.</w:t>
      </w:r>
    </w:p>
    <w:p w14:paraId="3C7AAE75" w14:textId="77777777" w:rsidR="0067684B" w:rsidRDefault="00000000">
      <w:pPr>
        <w:pStyle w:val="Paragrafoelenco"/>
        <w:numPr>
          <w:ilvl w:val="0"/>
          <w:numId w:val="2"/>
        </w:numPr>
        <w:spacing w:after="90" w:line="276" w:lineRule="auto"/>
        <w:jc w:val="both"/>
      </w:pPr>
      <w:r>
        <w:rPr>
          <w:b/>
          <w:bCs/>
        </w:rPr>
        <w:t>Mantenimento sotto perturbazione</w:t>
      </w:r>
      <w:r>
        <w:t xml:space="preserve"> — il rapporto con il guasto: degradare senza collassare. È la dimensione più immediatamente verificabile (recovery graduato, degradazione </w:t>
      </w:r>
      <w:proofErr w:type="spellStart"/>
      <w:r>
        <w:rPr>
          <w:i/>
          <w:iCs/>
        </w:rPr>
        <w:t>graceful</w:t>
      </w:r>
      <w:proofErr w:type="spellEnd"/>
      <w:r>
        <w:t>).</w:t>
      </w:r>
    </w:p>
    <w:p w14:paraId="49838277" w14:textId="77777777" w:rsidR="0067684B" w:rsidRDefault="00000000">
      <w:pPr>
        <w:pStyle w:val="Titolo2"/>
      </w:pPr>
      <w:r>
        <w:t>3.2 La chiusura operativa come dimensione diagonale</w:t>
      </w:r>
    </w:p>
    <w:p w14:paraId="5530DF67" w14:textId="77777777" w:rsidR="0067684B" w:rsidRDefault="00000000">
      <w:pPr>
        <w:spacing w:after="140" w:line="276" w:lineRule="auto"/>
        <w:jc w:val="both"/>
      </w:pPr>
      <w:r>
        <w:t xml:space="preserve">La chiusura operativa — la mano che disegna la mano che la disegna — non è una quinta relazione accanto alle altre. È la relazione che si avvolge su </w:t>
      </w:r>
      <w:proofErr w:type="gramStart"/>
      <w:r>
        <w:t>se</w:t>
      </w:r>
      <w:proofErr w:type="gramEnd"/>
      <w:r>
        <w:t xml:space="preserve"> stessa, ciò che fa di un fascio di relazioni un </w:t>
      </w:r>
      <w:r>
        <w:rPr>
          <w:i/>
          <w:iCs/>
        </w:rPr>
        <w:t>sé</w:t>
      </w:r>
      <w:r>
        <w:t xml:space="preserve">. Per questo non va collocata come quinta colonna allineata, ma come la </w:t>
      </w:r>
      <w:r>
        <w:rPr>
          <w:b/>
          <w:bCs/>
        </w:rPr>
        <w:t>diagonale</w:t>
      </w:r>
      <w:r>
        <w:t xml:space="preserve"> della matrice: la dimensione che misura quanto le altre quattro rientrano su </w:t>
      </w:r>
      <w:proofErr w:type="gramStart"/>
      <w:r>
        <w:t>se</w:t>
      </w:r>
      <w:proofErr w:type="gramEnd"/>
      <w:r>
        <w:t xml:space="preserve"> stesse costituendo il sistema.</w:t>
      </w:r>
    </w:p>
    <w:p w14:paraId="4EF759E5" w14:textId="77777777" w:rsidR="0067684B" w:rsidRDefault="00000000">
      <w:pPr>
        <w:spacing w:after="140" w:line="276" w:lineRule="auto"/>
        <w:jc w:val="both"/>
      </w:pPr>
      <w:r>
        <w:t xml:space="preserve">Ne segue un criterio severo nella forma corretta: non una soglia da varcare una volta, ma un grado che qualifica tutto il resto. Un modulo può presentare accoppiamento alto e chiusura bassa — si lascia perturbare, ma la perturbazione non lo </w:t>
      </w:r>
      <w:proofErr w:type="spellStart"/>
      <w:r>
        <w:t>ri</w:t>
      </w:r>
      <w:proofErr w:type="spellEnd"/>
      <w:r>
        <w:t>-costituisce: è un termostato, che reagisce soltanto. Lo stesso accoppiamento con chiusura alta — quando la perturbazione modifica le regole con cui il sistema si accoppierà la volta successiva — è autopoiesi. La chiusura è il fattore che stabilisce se le altre quattro dimensioni siano vive o meccaniche. È inoltre la linea che separa l'autopoietico dalla memoria-cache: una cache si aggiorna secondo una regola fissa ed esterna; un sistema autopoietico mantiene il criterio con cui decide come aggiornarsi, e quel criterio è parte di ciò che esso protegge.</w:t>
      </w:r>
    </w:p>
    <w:p w14:paraId="02407A1D" w14:textId="77777777" w:rsidR="0067684B" w:rsidRDefault="00000000">
      <w:pPr>
        <w:pStyle w:val="Titolo1"/>
        <w:pBdr>
          <w:bottom w:val="single" w:sz="6" w:space="2" w:color="2E75B6"/>
        </w:pBdr>
      </w:pPr>
      <w:r>
        <w:t>4. La matrice dei moduli</w:t>
      </w:r>
    </w:p>
    <w:p w14:paraId="7E996ECB" w14:textId="77777777" w:rsidR="0067684B" w:rsidRDefault="00000000">
      <w:pPr>
        <w:spacing w:after="140" w:line="276" w:lineRule="auto"/>
        <w:jc w:val="both"/>
      </w:pPr>
      <w:r>
        <w:lastRenderedPageBreak/>
        <w:t>Per ogni modulo, l'intensità di ciascuna dimensione relazionale e il regime di chiusura operativa. Legenda intensità: ● costitutiva (senza di essa il modulo non sarebbe quel modulo) · ◑ presente · ○ debole o prestata. Regime di chiusura: in-sé · mediata (dal soggetto) · collettiva (</w:t>
      </w:r>
      <w:proofErr w:type="spellStart"/>
      <w:r>
        <w:t>sympoietica</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0"/>
        <w:gridCol w:w="1380"/>
        <w:gridCol w:w="1680"/>
        <w:gridCol w:w="1500"/>
        <w:gridCol w:w="1500"/>
        <w:gridCol w:w="1920"/>
      </w:tblGrid>
      <w:tr w:rsidR="0067684B" w14:paraId="55C79E9C" w14:textId="77777777">
        <w:tblPrEx>
          <w:tblCellMar>
            <w:top w:w="0" w:type="dxa"/>
            <w:bottom w:w="0" w:type="dxa"/>
          </w:tblCellMar>
        </w:tblPrEx>
        <w:trPr>
          <w:tblHeader/>
        </w:trPr>
        <w:tc>
          <w:tcPr>
            <w:tcW w:w="138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5F3C4DCB" w14:textId="77777777" w:rsidR="0067684B" w:rsidRDefault="00000000">
            <w:pPr>
              <w:spacing w:line="256" w:lineRule="auto"/>
            </w:pPr>
            <w:r>
              <w:rPr>
                <w:rFonts w:ascii="Calibri" w:eastAsia="Calibri" w:hAnsi="Calibri" w:cs="Calibri"/>
                <w:b/>
                <w:bCs/>
                <w:color w:val="FFFFFF"/>
                <w:sz w:val="19"/>
                <w:szCs w:val="19"/>
              </w:rPr>
              <w:t>Modulo</w:t>
            </w:r>
          </w:p>
        </w:tc>
        <w:tc>
          <w:tcPr>
            <w:tcW w:w="138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278152D1" w14:textId="77777777" w:rsidR="0067684B" w:rsidRDefault="00000000">
            <w:pPr>
              <w:spacing w:line="256" w:lineRule="auto"/>
              <w:jc w:val="center"/>
            </w:pPr>
            <w:r>
              <w:rPr>
                <w:rFonts w:ascii="Calibri" w:eastAsia="Calibri" w:hAnsi="Calibri" w:cs="Calibri"/>
                <w:b/>
                <w:bCs/>
                <w:color w:val="FFFFFF"/>
                <w:sz w:val="18"/>
                <w:szCs w:val="18"/>
              </w:rPr>
              <w:t>Autonomia / identità</w:t>
            </w:r>
          </w:p>
        </w:tc>
        <w:tc>
          <w:tcPr>
            <w:tcW w:w="168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2752EF3F" w14:textId="77777777" w:rsidR="0067684B" w:rsidRDefault="00000000">
            <w:pPr>
              <w:spacing w:line="256" w:lineRule="auto"/>
              <w:jc w:val="center"/>
            </w:pPr>
            <w:r>
              <w:rPr>
                <w:rFonts w:ascii="Calibri" w:eastAsia="Calibri" w:hAnsi="Calibri" w:cs="Calibri"/>
                <w:b/>
                <w:bCs/>
                <w:color w:val="FFFFFF"/>
                <w:sz w:val="18"/>
                <w:szCs w:val="18"/>
              </w:rPr>
              <w:t>Accoppiamento strutturale</w:t>
            </w:r>
          </w:p>
        </w:tc>
        <w:tc>
          <w:tcPr>
            <w:tcW w:w="15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33B11D21" w14:textId="77777777" w:rsidR="0067684B" w:rsidRDefault="00000000">
            <w:pPr>
              <w:spacing w:line="256" w:lineRule="auto"/>
              <w:jc w:val="center"/>
            </w:pPr>
            <w:r>
              <w:rPr>
                <w:rFonts w:ascii="Calibri" w:eastAsia="Calibri" w:hAnsi="Calibri" w:cs="Calibri"/>
                <w:b/>
                <w:bCs/>
                <w:color w:val="FFFFFF"/>
                <w:sz w:val="18"/>
                <w:szCs w:val="18"/>
              </w:rPr>
              <w:t>Produzione ricorsiva</w:t>
            </w:r>
          </w:p>
        </w:tc>
        <w:tc>
          <w:tcPr>
            <w:tcW w:w="15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2CB73B47" w14:textId="77777777" w:rsidR="0067684B" w:rsidRDefault="00000000">
            <w:pPr>
              <w:spacing w:line="256" w:lineRule="auto"/>
              <w:jc w:val="center"/>
            </w:pPr>
            <w:r>
              <w:rPr>
                <w:rFonts w:ascii="Calibri" w:eastAsia="Calibri" w:hAnsi="Calibri" w:cs="Calibri"/>
                <w:b/>
                <w:bCs/>
                <w:color w:val="FFFFFF"/>
                <w:sz w:val="18"/>
                <w:szCs w:val="18"/>
              </w:rPr>
              <w:t>Mantenimento</w:t>
            </w:r>
          </w:p>
        </w:tc>
        <w:tc>
          <w:tcPr>
            <w:tcW w:w="192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0C69E6CB" w14:textId="77777777" w:rsidR="0067684B" w:rsidRDefault="00000000">
            <w:pPr>
              <w:spacing w:line="256" w:lineRule="auto"/>
              <w:jc w:val="center"/>
            </w:pPr>
            <w:r>
              <w:rPr>
                <w:rFonts w:ascii="Calibri" w:eastAsia="Calibri" w:hAnsi="Calibri" w:cs="Calibri"/>
                <w:b/>
                <w:bCs/>
                <w:color w:val="FFFFFF"/>
                <w:sz w:val="18"/>
                <w:szCs w:val="18"/>
              </w:rPr>
              <w:t>Chiusura operativa (diagonale)</w:t>
            </w:r>
          </w:p>
        </w:tc>
      </w:tr>
      <w:tr w:rsidR="0067684B" w14:paraId="03E7FC2D" w14:textId="77777777">
        <w:tblPrEx>
          <w:tblCellMar>
            <w:top w:w="0" w:type="dxa"/>
            <w:bottom w:w="0" w:type="dxa"/>
          </w:tblCellMar>
        </w:tblPrEx>
        <w:tc>
          <w:tcPr>
            <w:tcW w:w="1380" w:type="dxa"/>
            <w:tcBorders>
              <w:top w:val="single" w:sz="1" w:space="0" w:color="BBBBBB"/>
              <w:left w:val="single" w:sz="1" w:space="0" w:color="BBBBBB"/>
              <w:bottom w:val="single" w:sz="1" w:space="0" w:color="BBBBBB"/>
              <w:right w:val="single" w:sz="1" w:space="0" w:color="BBBBBB"/>
            </w:tcBorders>
            <w:shd w:val="clear" w:color="auto" w:fill="D5E8F0"/>
            <w:tcMar>
              <w:top w:w="70" w:type="dxa"/>
              <w:left w:w="110" w:type="dxa"/>
              <w:bottom w:w="70" w:type="dxa"/>
              <w:right w:w="110" w:type="dxa"/>
            </w:tcMar>
            <w:vAlign w:val="center"/>
          </w:tcPr>
          <w:p w14:paraId="661CAE98" w14:textId="77777777" w:rsidR="0067684B" w:rsidRDefault="00000000">
            <w:pPr>
              <w:spacing w:line="256" w:lineRule="auto"/>
            </w:pPr>
            <w:r>
              <w:rPr>
                <w:rFonts w:ascii="Calibri" w:eastAsia="Calibri" w:hAnsi="Calibri" w:cs="Calibri"/>
                <w:b/>
                <w:bCs/>
                <w:color w:val="1F4E79"/>
                <w:sz w:val="19"/>
                <w:szCs w:val="19"/>
              </w:rPr>
              <w:t>WAAA</w:t>
            </w:r>
          </w:p>
        </w:tc>
        <w:tc>
          <w:tcPr>
            <w:tcW w:w="138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562FAF2" w14:textId="77777777" w:rsidR="0067684B" w:rsidRDefault="00000000">
            <w:pPr>
              <w:spacing w:line="256" w:lineRule="auto"/>
              <w:jc w:val="center"/>
            </w:pPr>
            <w:r>
              <w:rPr>
                <w:sz w:val="20"/>
                <w:szCs w:val="20"/>
              </w:rPr>
              <w:t>●</w:t>
            </w:r>
          </w:p>
        </w:tc>
        <w:tc>
          <w:tcPr>
            <w:tcW w:w="168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1420E2C" w14:textId="77777777" w:rsidR="0067684B" w:rsidRDefault="00000000">
            <w:pPr>
              <w:spacing w:line="256" w:lineRule="auto"/>
              <w:jc w:val="center"/>
            </w:pPr>
            <w:r>
              <w:rPr>
                <w:sz w:val="20"/>
                <w:szCs w:val="20"/>
              </w:rPr>
              <w:t>◑</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E269C5B" w14:textId="77777777" w:rsidR="0067684B" w:rsidRDefault="00000000">
            <w:pPr>
              <w:spacing w:line="256" w:lineRule="auto"/>
              <w:jc w:val="center"/>
            </w:pPr>
            <w:r>
              <w:rPr>
                <w:sz w:val="20"/>
                <w:szCs w:val="20"/>
              </w:rPr>
              <w:t>◑</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A4917F6" w14:textId="77777777" w:rsidR="0067684B" w:rsidRDefault="00000000">
            <w:pPr>
              <w:spacing w:line="256" w:lineRule="auto"/>
              <w:jc w:val="center"/>
            </w:pPr>
            <w:r>
              <w:rPr>
                <w:sz w:val="20"/>
                <w:szCs w:val="20"/>
              </w:rPr>
              <w:t>●</w:t>
            </w:r>
          </w:p>
        </w:tc>
        <w:tc>
          <w:tcPr>
            <w:tcW w:w="192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1292E74" w14:textId="77777777" w:rsidR="0067684B" w:rsidRDefault="00000000">
            <w:pPr>
              <w:spacing w:line="256" w:lineRule="auto"/>
              <w:jc w:val="center"/>
            </w:pPr>
            <w:r>
              <w:rPr>
                <w:sz w:val="18"/>
                <w:szCs w:val="18"/>
              </w:rPr>
              <w:t>in-sé · forte</w:t>
            </w:r>
          </w:p>
        </w:tc>
      </w:tr>
      <w:tr w:rsidR="0067684B" w14:paraId="571B10C7" w14:textId="77777777">
        <w:tblPrEx>
          <w:tblCellMar>
            <w:top w:w="0" w:type="dxa"/>
            <w:bottom w:w="0" w:type="dxa"/>
          </w:tblCellMar>
        </w:tblPrEx>
        <w:tc>
          <w:tcPr>
            <w:tcW w:w="1380" w:type="dxa"/>
            <w:tcBorders>
              <w:top w:val="single" w:sz="1" w:space="0" w:color="BBBBBB"/>
              <w:left w:val="single" w:sz="1" w:space="0" w:color="BBBBBB"/>
              <w:bottom w:val="single" w:sz="1" w:space="0" w:color="BBBBBB"/>
              <w:right w:val="single" w:sz="1" w:space="0" w:color="BBBBBB"/>
            </w:tcBorders>
            <w:shd w:val="clear" w:color="auto" w:fill="EEF5FA"/>
            <w:tcMar>
              <w:top w:w="70" w:type="dxa"/>
              <w:left w:w="110" w:type="dxa"/>
              <w:bottom w:w="70" w:type="dxa"/>
              <w:right w:w="110" w:type="dxa"/>
            </w:tcMar>
            <w:vAlign w:val="center"/>
          </w:tcPr>
          <w:p w14:paraId="75C1EA44" w14:textId="77777777" w:rsidR="0067684B" w:rsidRDefault="00000000">
            <w:pPr>
              <w:spacing w:line="256" w:lineRule="auto"/>
            </w:pPr>
            <w:r>
              <w:rPr>
                <w:rFonts w:ascii="Calibri" w:eastAsia="Calibri" w:hAnsi="Calibri" w:cs="Calibri"/>
                <w:b/>
                <w:bCs/>
                <w:color w:val="1F4E79"/>
                <w:sz w:val="19"/>
                <w:szCs w:val="19"/>
              </w:rPr>
              <w:t>MAAA</w:t>
            </w:r>
          </w:p>
        </w:tc>
        <w:tc>
          <w:tcPr>
            <w:tcW w:w="1380" w:type="dxa"/>
            <w:tcBorders>
              <w:top w:val="single" w:sz="1" w:space="0" w:color="BBBBBB"/>
              <w:left w:val="single" w:sz="1" w:space="0" w:color="BBBBBB"/>
              <w:bottom w:val="single" w:sz="1" w:space="0" w:color="BBBBBB"/>
              <w:right w:val="single" w:sz="1" w:space="0" w:color="BBBBBB"/>
            </w:tcBorders>
            <w:shd w:val="clear" w:color="auto" w:fill="EEF5FA"/>
            <w:tcMar>
              <w:top w:w="70" w:type="dxa"/>
              <w:left w:w="110" w:type="dxa"/>
              <w:bottom w:w="70" w:type="dxa"/>
              <w:right w:w="110" w:type="dxa"/>
            </w:tcMar>
            <w:vAlign w:val="center"/>
          </w:tcPr>
          <w:p w14:paraId="2B451B14" w14:textId="77777777" w:rsidR="0067684B" w:rsidRDefault="00000000">
            <w:pPr>
              <w:spacing w:line="256" w:lineRule="auto"/>
              <w:jc w:val="center"/>
            </w:pPr>
            <w:r>
              <w:rPr>
                <w:sz w:val="20"/>
                <w:szCs w:val="20"/>
              </w:rPr>
              <w:t>○</w:t>
            </w:r>
          </w:p>
        </w:tc>
        <w:tc>
          <w:tcPr>
            <w:tcW w:w="1680" w:type="dxa"/>
            <w:tcBorders>
              <w:top w:val="single" w:sz="1" w:space="0" w:color="BBBBBB"/>
              <w:left w:val="single" w:sz="1" w:space="0" w:color="BBBBBB"/>
              <w:bottom w:val="single" w:sz="1" w:space="0" w:color="BBBBBB"/>
              <w:right w:val="single" w:sz="1" w:space="0" w:color="BBBBBB"/>
            </w:tcBorders>
            <w:shd w:val="clear" w:color="auto" w:fill="EEF5FA"/>
            <w:tcMar>
              <w:top w:w="70" w:type="dxa"/>
              <w:left w:w="110" w:type="dxa"/>
              <w:bottom w:w="70" w:type="dxa"/>
              <w:right w:w="110" w:type="dxa"/>
            </w:tcMar>
            <w:vAlign w:val="center"/>
          </w:tcPr>
          <w:p w14:paraId="152CA928" w14:textId="77777777" w:rsidR="0067684B" w:rsidRDefault="00000000">
            <w:pPr>
              <w:spacing w:line="256" w:lineRule="auto"/>
              <w:jc w:val="center"/>
            </w:pPr>
            <w:r>
              <w:rPr>
                <w:sz w:val="20"/>
                <w:szCs w:val="20"/>
              </w:rPr>
              <w:t>●</w:t>
            </w:r>
          </w:p>
        </w:tc>
        <w:tc>
          <w:tcPr>
            <w:tcW w:w="1500" w:type="dxa"/>
            <w:tcBorders>
              <w:top w:val="single" w:sz="1" w:space="0" w:color="BBBBBB"/>
              <w:left w:val="single" w:sz="1" w:space="0" w:color="BBBBBB"/>
              <w:bottom w:val="single" w:sz="1" w:space="0" w:color="BBBBBB"/>
              <w:right w:val="single" w:sz="1" w:space="0" w:color="BBBBBB"/>
            </w:tcBorders>
            <w:shd w:val="clear" w:color="auto" w:fill="EEF5FA"/>
            <w:tcMar>
              <w:top w:w="70" w:type="dxa"/>
              <w:left w:w="110" w:type="dxa"/>
              <w:bottom w:w="70" w:type="dxa"/>
              <w:right w:w="110" w:type="dxa"/>
            </w:tcMar>
            <w:vAlign w:val="center"/>
          </w:tcPr>
          <w:p w14:paraId="6D6223AB" w14:textId="77777777" w:rsidR="0067684B" w:rsidRDefault="00000000">
            <w:pPr>
              <w:spacing w:line="256" w:lineRule="auto"/>
              <w:jc w:val="center"/>
            </w:pPr>
            <w:r>
              <w:rPr>
                <w:sz w:val="20"/>
                <w:szCs w:val="20"/>
              </w:rPr>
              <w:t>◑</w:t>
            </w:r>
          </w:p>
        </w:tc>
        <w:tc>
          <w:tcPr>
            <w:tcW w:w="1500" w:type="dxa"/>
            <w:tcBorders>
              <w:top w:val="single" w:sz="1" w:space="0" w:color="BBBBBB"/>
              <w:left w:val="single" w:sz="1" w:space="0" w:color="BBBBBB"/>
              <w:bottom w:val="single" w:sz="1" w:space="0" w:color="BBBBBB"/>
              <w:right w:val="single" w:sz="1" w:space="0" w:color="BBBBBB"/>
            </w:tcBorders>
            <w:shd w:val="clear" w:color="auto" w:fill="EEF5FA"/>
            <w:tcMar>
              <w:top w:w="70" w:type="dxa"/>
              <w:left w:w="110" w:type="dxa"/>
              <w:bottom w:w="70" w:type="dxa"/>
              <w:right w:w="110" w:type="dxa"/>
            </w:tcMar>
            <w:vAlign w:val="center"/>
          </w:tcPr>
          <w:p w14:paraId="68FF438A" w14:textId="77777777" w:rsidR="0067684B" w:rsidRDefault="00000000">
            <w:pPr>
              <w:spacing w:line="256" w:lineRule="auto"/>
              <w:jc w:val="center"/>
            </w:pPr>
            <w:r>
              <w:rPr>
                <w:sz w:val="20"/>
                <w:szCs w:val="20"/>
              </w:rPr>
              <w:t>◑</w:t>
            </w:r>
          </w:p>
        </w:tc>
        <w:tc>
          <w:tcPr>
            <w:tcW w:w="1920" w:type="dxa"/>
            <w:tcBorders>
              <w:top w:val="single" w:sz="1" w:space="0" w:color="BBBBBB"/>
              <w:left w:val="single" w:sz="1" w:space="0" w:color="BBBBBB"/>
              <w:bottom w:val="single" w:sz="1" w:space="0" w:color="BBBBBB"/>
              <w:right w:val="single" w:sz="1" w:space="0" w:color="BBBBBB"/>
            </w:tcBorders>
            <w:shd w:val="clear" w:color="auto" w:fill="EEF5FA"/>
            <w:tcMar>
              <w:top w:w="70" w:type="dxa"/>
              <w:left w:w="110" w:type="dxa"/>
              <w:bottom w:w="70" w:type="dxa"/>
              <w:right w:w="110" w:type="dxa"/>
            </w:tcMar>
            <w:vAlign w:val="center"/>
          </w:tcPr>
          <w:p w14:paraId="23CEFF0B" w14:textId="77777777" w:rsidR="0067684B" w:rsidRDefault="00000000">
            <w:pPr>
              <w:spacing w:line="256" w:lineRule="auto"/>
              <w:jc w:val="center"/>
            </w:pPr>
            <w:r>
              <w:rPr>
                <w:sz w:val="18"/>
                <w:szCs w:val="18"/>
              </w:rPr>
              <w:t>mediata · forte</w:t>
            </w:r>
          </w:p>
        </w:tc>
      </w:tr>
      <w:tr w:rsidR="0067684B" w14:paraId="6628487E" w14:textId="77777777">
        <w:tblPrEx>
          <w:tblCellMar>
            <w:top w:w="0" w:type="dxa"/>
            <w:bottom w:w="0" w:type="dxa"/>
          </w:tblCellMar>
        </w:tblPrEx>
        <w:tc>
          <w:tcPr>
            <w:tcW w:w="1380" w:type="dxa"/>
            <w:tcBorders>
              <w:top w:val="single" w:sz="1" w:space="0" w:color="BBBBBB"/>
              <w:left w:val="single" w:sz="1" w:space="0" w:color="BBBBBB"/>
              <w:bottom w:val="single" w:sz="1" w:space="0" w:color="BBBBBB"/>
              <w:right w:val="single" w:sz="1" w:space="0" w:color="BBBBBB"/>
            </w:tcBorders>
            <w:shd w:val="clear" w:color="auto" w:fill="D5E8F0"/>
            <w:tcMar>
              <w:top w:w="70" w:type="dxa"/>
              <w:left w:w="110" w:type="dxa"/>
              <w:bottom w:w="70" w:type="dxa"/>
              <w:right w:w="110" w:type="dxa"/>
            </w:tcMar>
            <w:vAlign w:val="center"/>
          </w:tcPr>
          <w:p w14:paraId="445F7C95" w14:textId="77777777" w:rsidR="0067684B" w:rsidRDefault="00000000">
            <w:pPr>
              <w:spacing w:line="256" w:lineRule="auto"/>
            </w:pPr>
            <w:r>
              <w:rPr>
                <w:rFonts w:ascii="Calibri" w:eastAsia="Calibri" w:hAnsi="Calibri" w:cs="Calibri"/>
                <w:b/>
                <w:bCs/>
                <w:color w:val="1F4E79"/>
                <w:sz w:val="19"/>
                <w:szCs w:val="19"/>
              </w:rPr>
              <w:t>PAAA</w:t>
            </w:r>
          </w:p>
        </w:tc>
        <w:tc>
          <w:tcPr>
            <w:tcW w:w="138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E3B3540" w14:textId="77777777" w:rsidR="0067684B" w:rsidRDefault="00000000">
            <w:pPr>
              <w:spacing w:line="256" w:lineRule="auto"/>
              <w:jc w:val="center"/>
            </w:pPr>
            <w:r>
              <w:rPr>
                <w:sz w:val="20"/>
                <w:szCs w:val="20"/>
              </w:rPr>
              <w:t>◑</w:t>
            </w:r>
          </w:p>
        </w:tc>
        <w:tc>
          <w:tcPr>
            <w:tcW w:w="168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07698E9" w14:textId="77777777" w:rsidR="0067684B" w:rsidRDefault="00000000">
            <w:pPr>
              <w:spacing w:line="256" w:lineRule="auto"/>
              <w:jc w:val="center"/>
            </w:pPr>
            <w:r>
              <w:rPr>
                <w:sz w:val="20"/>
                <w:szCs w:val="20"/>
              </w:rPr>
              <w:t>◑</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0D5197B" w14:textId="77777777" w:rsidR="0067684B" w:rsidRDefault="00000000">
            <w:pPr>
              <w:spacing w:line="256" w:lineRule="auto"/>
              <w:jc w:val="center"/>
            </w:pPr>
            <w:r>
              <w:rPr>
                <w:sz w:val="20"/>
                <w:szCs w:val="20"/>
              </w:rPr>
              <w:t>●</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A3F60AB" w14:textId="77777777" w:rsidR="0067684B" w:rsidRDefault="00000000">
            <w:pPr>
              <w:spacing w:line="256" w:lineRule="auto"/>
              <w:jc w:val="center"/>
            </w:pPr>
            <w:r>
              <w:rPr>
                <w:sz w:val="20"/>
                <w:szCs w:val="20"/>
              </w:rPr>
              <w:t>●</w:t>
            </w:r>
          </w:p>
        </w:tc>
        <w:tc>
          <w:tcPr>
            <w:tcW w:w="192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C6C69EB" w14:textId="77777777" w:rsidR="0067684B" w:rsidRDefault="00000000">
            <w:pPr>
              <w:spacing w:line="256" w:lineRule="auto"/>
              <w:jc w:val="center"/>
            </w:pPr>
            <w:r>
              <w:rPr>
                <w:sz w:val="18"/>
                <w:szCs w:val="18"/>
              </w:rPr>
              <w:t>in-sé · parziale</w:t>
            </w:r>
          </w:p>
        </w:tc>
      </w:tr>
      <w:tr w:rsidR="0067684B" w14:paraId="6AFFBB18" w14:textId="77777777">
        <w:tblPrEx>
          <w:tblCellMar>
            <w:top w:w="0" w:type="dxa"/>
            <w:bottom w:w="0" w:type="dxa"/>
          </w:tblCellMar>
        </w:tblPrEx>
        <w:tc>
          <w:tcPr>
            <w:tcW w:w="1380" w:type="dxa"/>
            <w:tcBorders>
              <w:top w:val="single" w:sz="1" w:space="0" w:color="BBBBBB"/>
              <w:left w:val="single" w:sz="1" w:space="0" w:color="BBBBBB"/>
              <w:bottom w:val="single" w:sz="1" w:space="0" w:color="BBBBBB"/>
              <w:right w:val="single" w:sz="1" w:space="0" w:color="BBBBBB"/>
            </w:tcBorders>
            <w:shd w:val="clear" w:color="auto" w:fill="EEF5FA"/>
            <w:tcMar>
              <w:top w:w="70" w:type="dxa"/>
              <w:left w:w="110" w:type="dxa"/>
              <w:bottom w:w="70" w:type="dxa"/>
              <w:right w:w="110" w:type="dxa"/>
            </w:tcMar>
            <w:vAlign w:val="center"/>
          </w:tcPr>
          <w:p w14:paraId="3271E7CF" w14:textId="77777777" w:rsidR="0067684B" w:rsidRDefault="00000000">
            <w:pPr>
              <w:spacing w:line="256" w:lineRule="auto"/>
            </w:pPr>
            <w:r>
              <w:rPr>
                <w:rFonts w:ascii="Calibri" w:eastAsia="Calibri" w:hAnsi="Calibri" w:cs="Calibri"/>
                <w:b/>
                <w:bCs/>
                <w:color w:val="1F4E79"/>
                <w:sz w:val="19"/>
                <w:szCs w:val="19"/>
              </w:rPr>
              <w:t>SAAA</w:t>
            </w:r>
          </w:p>
        </w:tc>
        <w:tc>
          <w:tcPr>
            <w:tcW w:w="1380" w:type="dxa"/>
            <w:tcBorders>
              <w:top w:val="single" w:sz="1" w:space="0" w:color="BBBBBB"/>
              <w:left w:val="single" w:sz="1" w:space="0" w:color="BBBBBB"/>
              <w:bottom w:val="single" w:sz="1" w:space="0" w:color="BBBBBB"/>
              <w:right w:val="single" w:sz="1" w:space="0" w:color="BBBBBB"/>
            </w:tcBorders>
            <w:shd w:val="clear" w:color="auto" w:fill="EEF5FA"/>
            <w:tcMar>
              <w:top w:w="70" w:type="dxa"/>
              <w:left w:w="110" w:type="dxa"/>
              <w:bottom w:w="70" w:type="dxa"/>
              <w:right w:w="110" w:type="dxa"/>
            </w:tcMar>
            <w:vAlign w:val="center"/>
          </w:tcPr>
          <w:p w14:paraId="56D6C877" w14:textId="77777777" w:rsidR="0067684B" w:rsidRDefault="00000000">
            <w:pPr>
              <w:spacing w:line="256" w:lineRule="auto"/>
              <w:jc w:val="center"/>
            </w:pPr>
            <w:r>
              <w:rPr>
                <w:sz w:val="20"/>
                <w:szCs w:val="20"/>
              </w:rPr>
              <w:t>◑</w:t>
            </w:r>
          </w:p>
        </w:tc>
        <w:tc>
          <w:tcPr>
            <w:tcW w:w="1680" w:type="dxa"/>
            <w:tcBorders>
              <w:top w:val="single" w:sz="1" w:space="0" w:color="BBBBBB"/>
              <w:left w:val="single" w:sz="1" w:space="0" w:color="BBBBBB"/>
              <w:bottom w:val="single" w:sz="1" w:space="0" w:color="BBBBBB"/>
              <w:right w:val="single" w:sz="1" w:space="0" w:color="BBBBBB"/>
            </w:tcBorders>
            <w:shd w:val="clear" w:color="auto" w:fill="EEF5FA"/>
            <w:tcMar>
              <w:top w:w="70" w:type="dxa"/>
              <w:left w:w="110" w:type="dxa"/>
              <w:bottom w:w="70" w:type="dxa"/>
              <w:right w:w="110" w:type="dxa"/>
            </w:tcMar>
            <w:vAlign w:val="center"/>
          </w:tcPr>
          <w:p w14:paraId="08D55606" w14:textId="77777777" w:rsidR="0067684B" w:rsidRDefault="00000000">
            <w:pPr>
              <w:spacing w:line="256" w:lineRule="auto"/>
              <w:jc w:val="center"/>
            </w:pPr>
            <w:r>
              <w:rPr>
                <w:sz w:val="20"/>
                <w:szCs w:val="20"/>
              </w:rPr>
              <w:t>○</w:t>
            </w:r>
          </w:p>
        </w:tc>
        <w:tc>
          <w:tcPr>
            <w:tcW w:w="1500" w:type="dxa"/>
            <w:tcBorders>
              <w:top w:val="single" w:sz="1" w:space="0" w:color="BBBBBB"/>
              <w:left w:val="single" w:sz="1" w:space="0" w:color="BBBBBB"/>
              <w:bottom w:val="single" w:sz="1" w:space="0" w:color="BBBBBB"/>
              <w:right w:val="single" w:sz="1" w:space="0" w:color="BBBBBB"/>
            </w:tcBorders>
            <w:shd w:val="clear" w:color="auto" w:fill="EEF5FA"/>
            <w:tcMar>
              <w:top w:w="70" w:type="dxa"/>
              <w:left w:w="110" w:type="dxa"/>
              <w:bottom w:w="70" w:type="dxa"/>
              <w:right w:w="110" w:type="dxa"/>
            </w:tcMar>
            <w:vAlign w:val="center"/>
          </w:tcPr>
          <w:p w14:paraId="7B51E105" w14:textId="77777777" w:rsidR="0067684B" w:rsidRDefault="00000000">
            <w:pPr>
              <w:spacing w:line="256" w:lineRule="auto"/>
              <w:jc w:val="center"/>
            </w:pPr>
            <w:r>
              <w:rPr>
                <w:sz w:val="20"/>
                <w:szCs w:val="20"/>
              </w:rPr>
              <w:t>●</w:t>
            </w:r>
          </w:p>
        </w:tc>
        <w:tc>
          <w:tcPr>
            <w:tcW w:w="1500" w:type="dxa"/>
            <w:tcBorders>
              <w:top w:val="single" w:sz="1" w:space="0" w:color="BBBBBB"/>
              <w:left w:val="single" w:sz="1" w:space="0" w:color="BBBBBB"/>
              <w:bottom w:val="single" w:sz="1" w:space="0" w:color="BBBBBB"/>
              <w:right w:val="single" w:sz="1" w:space="0" w:color="BBBBBB"/>
            </w:tcBorders>
            <w:shd w:val="clear" w:color="auto" w:fill="EEF5FA"/>
            <w:tcMar>
              <w:top w:w="70" w:type="dxa"/>
              <w:left w:w="110" w:type="dxa"/>
              <w:bottom w:w="70" w:type="dxa"/>
              <w:right w:w="110" w:type="dxa"/>
            </w:tcMar>
            <w:vAlign w:val="center"/>
          </w:tcPr>
          <w:p w14:paraId="0F32698A" w14:textId="77777777" w:rsidR="0067684B" w:rsidRDefault="00000000">
            <w:pPr>
              <w:spacing w:line="256" w:lineRule="auto"/>
              <w:jc w:val="center"/>
            </w:pPr>
            <w:r>
              <w:rPr>
                <w:sz w:val="20"/>
                <w:szCs w:val="20"/>
              </w:rPr>
              <w:t>◑</w:t>
            </w:r>
          </w:p>
        </w:tc>
        <w:tc>
          <w:tcPr>
            <w:tcW w:w="1920" w:type="dxa"/>
            <w:tcBorders>
              <w:top w:val="single" w:sz="1" w:space="0" w:color="BBBBBB"/>
              <w:left w:val="single" w:sz="1" w:space="0" w:color="BBBBBB"/>
              <w:bottom w:val="single" w:sz="1" w:space="0" w:color="BBBBBB"/>
              <w:right w:val="single" w:sz="1" w:space="0" w:color="BBBBBB"/>
            </w:tcBorders>
            <w:shd w:val="clear" w:color="auto" w:fill="EEF5FA"/>
            <w:tcMar>
              <w:top w:w="70" w:type="dxa"/>
              <w:left w:w="110" w:type="dxa"/>
              <w:bottom w:w="70" w:type="dxa"/>
              <w:right w:w="110" w:type="dxa"/>
            </w:tcMar>
            <w:vAlign w:val="center"/>
          </w:tcPr>
          <w:p w14:paraId="1C079C31" w14:textId="77777777" w:rsidR="0067684B" w:rsidRDefault="00000000">
            <w:pPr>
              <w:spacing w:line="256" w:lineRule="auto"/>
              <w:jc w:val="center"/>
            </w:pPr>
            <w:r>
              <w:rPr>
                <w:sz w:val="18"/>
                <w:szCs w:val="18"/>
              </w:rPr>
              <w:t>in-sé · forte</w:t>
            </w:r>
          </w:p>
        </w:tc>
      </w:tr>
      <w:tr w:rsidR="0067684B" w14:paraId="501FAC95" w14:textId="77777777">
        <w:tblPrEx>
          <w:tblCellMar>
            <w:top w:w="0" w:type="dxa"/>
            <w:bottom w:w="0" w:type="dxa"/>
          </w:tblCellMar>
        </w:tblPrEx>
        <w:tc>
          <w:tcPr>
            <w:tcW w:w="1380" w:type="dxa"/>
            <w:tcBorders>
              <w:top w:val="single" w:sz="1" w:space="0" w:color="BBBBBB"/>
              <w:left w:val="single" w:sz="1" w:space="0" w:color="BBBBBB"/>
              <w:bottom w:val="single" w:sz="1" w:space="0" w:color="BBBBBB"/>
              <w:right w:val="single" w:sz="1" w:space="0" w:color="BBBBBB"/>
            </w:tcBorders>
            <w:shd w:val="clear" w:color="auto" w:fill="D5E8F0"/>
            <w:tcMar>
              <w:top w:w="70" w:type="dxa"/>
              <w:left w:w="110" w:type="dxa"/>
              <w:bottom w:w="70" w:type="dxa"/>
              <w:right w:w="110" w:type="dxa"/>
            </w:tcMar>
            <w:vAlign w:val="center"/>
          </w:tcPr>
          <w:p w14:paraId="6FB989DE" w14:textId="77777777" w:rsidR="0067684B" w:rsidRDefault="00000000">
            <w:pPr>
              <w:spacing w:line="256" w:lineRule="auto"/>
            </w:pPr>
            <w:r>
              <w:rPr>
                <w:rFonts w:ascii="Calibri" w:eastAsia="Calibri" w:hAnsi="Calibri" w:cs="Calibri"/>
                <w:b/>
                <w:bCs/>
                <w:color w:val="1F4E79"/>
                <w:sz w:val="19"/>
                <w:szCs w:val="19"/>
              </w:rPr>
              <w:t>XAAA</w:t>
            </w:r>
          </w:p>
        </w:tc>
        <w:tc>
          <w:tcPr>
            <w:tcW w:w="138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3BEAF71F" w14:textId="77777777" w:rsidR="0067684B" w:rsidRDefault="00000000">
            <w:pPr>
              <w:spacing w:line="256" w:lineRule="auto"/>
              <w:jc w:val="center"/>
            </w:pPr>
            <w:r>
              <w:rPr>
                <w:sz w:val="20"/>
                <w:szCs w:val="20"/>
              </w:rPr>
              <w:t>◑</w:t>
            </w:r>
          </w:p>
        </w:tc>
        <w:tc>
          <w:tcPr>
            <w:tcW w:w="168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0172246" w14:textId="77777777" w:rsidR="0067684B" w:rsidRDefault="00000000">
            <w:pPr>
              <w:spacing w:line="256" w:lineRule="auto"/>
              <w:jc w:val="center"/>
            </w:pPr>
            <w:r>
              <w:rPr>
                <w:sz w:val="20"/>
                <w:szCs w:val="20"/>
              </w:rPr>
              <w:t>◑</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528AB23E" w14:textId="77777777" w:rsidR="0067684B" w:rsidRDefault="00000000">
            <w:pPr>
              <w:spacing w:line="256" w:lineRule="auto"/>
              <w:jc w:val="center"/>
            </w:pPr>
            <w:r>
              <w:rPr>
                <w:sz w:val="20"/>
                <w:szCs w:val="20"/>
              </w:rPr>
              <w:t>●</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2DE4D40F" w14:textId="77777777" w:rsidR="0067684B" w:rsidRDefault="00000000">
            <w:pPr>
              <w:spacing w:line="256" w:lineRule="auto"/>
              <w:jc w:val="center"/>
            </w:pPr>
            <w:r>
              <w:rPr>
                <w:sz w:val="20"/>
                <w:szCs w:val="20"/>
              </w:rPr>
              <w:t>○</w:t>
            </w:r>
          </w:p>
        </w:tc>
        <w:tc>
          <w:tcPr>
            <w:tcW w:w="192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3EA80DA1" w14:textId="77777777" w:rsidR="0067684B" w:rsidRDefault="00000000">
            <w:pPr>
              <w:spacing w:line="256" w:lineRule="auto"/>
              <w:jc w:val="center"/>
            </w:pPr>
            <w:r>
              <w:rPr>
                <w:sz w:val="18"/>
                <w:szCs w:val="18"/>
              </w:rPr>
              <w:t>in-sé + mediata · forte</w:t>
            </w:r>
          </w:p>
        </w:tc>
      </w:tr>
      <w:tr w:rsidR="0067684B" w14:paraId="6F5E0437" w14:textId="77777777">
        <w:tblPrEx>
          <w:tblCellMar>
            <w:top w:w="0" w:type="dxa"/>
            <w:bottom w:w="0" w:type="dxa"/>
          </w:tblCellMar>
        </w:tblPrEx>
        <w:tc>
          <w:tcPr>
            <w:tcW w:w="1380" w:type="dxa"/>
            <w:tcBorders>
              <w:top w:val="single" w:sz="1" w:space="0" w:color="BBBBBB"/>
              <w:left w:val="single" w:sz="1" w:space="0" w:color="BBBBBB"/>
              <w:bottom w:val="single" w:sz="1" w:space="0" w:color="BBBBBB"/>
              <w:right w:val="single" w:sz="1" w:space="0" w:color="BBBBBB"/>
            </w:tcBorders>
            <w:shd w:val="clear" w:color="auto" w:fill="EEF5FA"/>
            <w:tcMar>
              <w:top w:w="70" w:type="dxa"/>
              <w:left w:w="110" w:type="dxa"/>
              <w:bottom w:w="70" w:type="dxa"/>
              <w:right w:w="110" w:type="dxa"/>
            </w:tcMar>
            <w:vAlign w:val="center"/>
          </w:tcPr>
          <w:p w14:paraId="6A2CBAD3" w14:textId="77777777" w:rsidR="0067684B" w:rsidRDefault="00000000">
            <w:pPr>
              <w:spacing w:line="256" w:lineRule="auto"/>
            </w:pPr>
            <w:r>
              <w:rPr>
                <w:rFonts w:ascii="Calibri" w:eastAsia="Calibri" w:hAnsi="Calibri" w:cs="Calibri"/>
                <w:b/>
                <w:bCs/>
                <w:color w:val="1F4E79"/>
                <w:sz w:val="19"/>
                <w:szCs w:val="19"/>
              </w:rPr>
              <w:t>TAAA</w:t>
            </w:r>
          </w:p>
        </w:tc>
        <w:tc>
          <w:tcPr>
            <w:tcW w:w="1380" w:type="dxa"/>
            <w:tcBorders>
              <w:top w:val="single" w:sz="1" w:space="0" w:color="BBBBBB"/>
              <w:left w:val="single" w:sz="1" w:space="0" w:color="BBBBBB"/>
              <w:bottom w:val="single" w:sz="1" w:space="0" w:color="BBBBBB"/>
              <w:right w:val="single" w:sz="1" w:space="0" w:color="BBBBBB"/>
            </w:tcBorders>
            <w:shd w:val="clear" w:color="auto" w:fill="EEF5FA"/>
            <w:tcMar>
              <w:top w:w="70" w:type="dxa"/>
              <w:left w:w="110" w:type="dxa"/>
              <w:bottom w:w="70" w:type="dxa"/>
              <w:right w:w="110" w:type="dxa"/>
            </w:tcMar>
            <w:vAlign w:val="center"/>
          </w:tcPr>
          <w:p w14:paraId="510823AB" w14:textId="77777777" w:rsidR="0067684B" w:rsidRDefault="00000000">
            <w:pPr>
              <w:spacing w:line="256" w:lineRule="auto"/>
              <w:jc w:val="center"/>
            </w:pPr>
            <w:r>
              <w:rPr>
                <w:sz w:val="20"/>
                <w:szCs w:val="20"/>
              </w:rPr>
              <w:t>●</w:t>
            </w:r>
          </w:p>
        </w:tc>
        <w:tc>
          <w:tcPr>
            <w:tcW w:w="1680" w:type="dxa"/>
            <w:tcBorders>
              <w:top w:val="single" w:sz="1" w:space="0" w:color="BBBBBB"/>
              <w:left w:val="single" w:sz="1" w:space="0" w:color="BBBBBB"/>
              <w:bottom w:val="single" w:sz="1" w:space="0" w:color="BBBBBB"/>
              <w:right w:val="single" w:sz="1" w:space="0" w:color="BBBBBB"/>
            </w:tcBorders>
            <w:shd w:val="clear" w:color="auto" w:fill="EEF5FA"/>
            <w:tcMar>
              <w:top w:w="70" w:type="dxa"/>
              <w:left w:w="110" w:type="dxa"/>
              <w:bottom w:w="70" w:type="dxa"/>
              <w:right w:w="110" w:type="dxa"/>
            </w:tcMar>
            <w:vAlign w:val="center"/>
          </w:tcPr>
          <w:p w14:paraId="404D29FE" w14:textId="77777777" w:rsidR="0067684B" w:rsidRDefault="00000000">
            <w:pPr>
              <w:spacing w:line="256" w:lineRule="auto"/>
              <w:jc w:val="center"/>
            </w:pPr>
            <w:r>
              <w:rPr>
                <w:sz w:val="20"/>
                <w:szCs w:val="20"/>
              </w:rPr>
              <w:t>●</w:t>
            </w:r>
          </w:p>
        </w:tc>
        <w:tc>
          <w:tcPr>
            <w:tcW w:w="1500" w:type="dxa"/>
            <w:tcBorders>
              <w:top w:val="single" w:sz="1" w:space="0" w:color="BBBBBB"/>
              <w:left w:val="single" w:sz="1" w:space="0" w:color="BBBBBB"/>
              <w:bottom w:val="single" w:sz="1" w:space="0" w:color="BBBBBB"/>
              <w:right w:val="single" w:sz="1" w:space="0" w:color="BBBBBB"/>
            </w:tcBorders>
            <w:shd w:val="clear" w:color="auto" w:fill="EEF5FA"/>
            <w:tcMar>
              <w:top w:w="70" w:type="dxa"/>
              <w:left w:w="110" w:type="dxa"/>
              <w:bottom w:w="70" w:type="dxa"/>
              <w:right w:w="110" w:type="dxa"/>
            </w:tcMar>
            <w:vAlign w:val="center"/>
          </w:tcPr>
          <w:p w14:paraId="6B50CB10" w14:textId="77777777" w:rsidR="0067684B" w:rsidRDefault="00000000">
            <w:pPr>
              <w:spacing w:line="256" w:lineRule="auto"/>
              <w:jc w:val="center"/>
            </w:pPr>
            <w:r>
              <w:rPr>
                <w:sz w:val="20"/>
                <w:szCs w:val="20"/>
              </w:rPr>
              <w:t>◑</w:t>
            </w:r>
          </w:p>
        </w:tc>
        <w:tc>
          <w:tcPr>
            <w:tcW w:w="1500" w:type="dxa"/>
            <w:tcBorders>
              <w:top w:val="single" w:sz="1" w:space="0" w:color="BBBBBB"/>
              <w:left w:val="single" w:sz="1" w:space="0" w:color="BBBBBB"/>
              <w:bottom w:val="single" w:sz="1" w:space="0" w:color="BBBBBB"/>
              <w:right w:val="single" w:sz="1" w:space="0" w:color="BBBBBB"/>
            </w:tcBorders>
            <w:shd w:val="clear" w:color="auto" w:fill="EEF5FA"/>
            <w:tcMar>
              <w:top w:w="70" w:type="dxa"/>
              <w:left w:w="110" w:type="dxa"/>
              <w:bottom w:w="70" w:type="dxa"/>
              <w:right w:w="110" w:type="dxa"/>
            </w:tcMar>
            <w:vAlign w:val="center"/>
          </w:tcPr>
          <w:p w14:paraId="158B2432" w14:textId="77777777" w:rsidR="0067684B" w:rsidRDefault="00000000">
            <w:pPr>
              <w:spacing w:line="256" w:lineRule="auto"/>
              <w:jc w:val="center"/>
            </w:pPr>
            <w:r>
              <w:rPr>
                <w:sz w:val="20"/>
                <w:szCs w:val="20"/>
              </w:rPr>
              <w:t>◑</w:t>
            </w:r>
          </w:p>
        </w:tc>
        <w:tc>
          <w:tcPr>
            <w:tcW w:w="1920" w:type="dxa"/>
            <w:tcBorders>
              <w:top w:val="single" w:sz="1" w:space="0" w:color="BBBBBB"/>
              <w:left w:val="single" w:sz="1" w:space="0" w:color="BBBBBB"/>
              <w:bottom w:val="single" w:sz="1" w:space="0" w:color="BBBBBB"/>
              <w:right w:val="single" w:sz="1" w:space="0" w:color="BBBBBB"/>
            </w:tcBorders>
            <w:shd w:val="clear" w:color="auto" w:fill="EEF5FA"/>
            <w:tcMar>
              <w:top w:w="70" w:type="dxa"/>
              <w:left w:w="110" w:type="dxa"/>
              <w:bottom w:w="70" w:type="dxa"/>
              <w:right w:w="110" w:type="dxa"/>
            </w:tcMar>
            <w:vAlign w:val="center"/>
          </w:tcPr>
          <w:p w14:paraId="15F83D8D" w14:textId="77777777" w:rsidR="0067684B" w:rsidRDefault="00000000">
            <w:pPr>
              <w:spacing w:line="256" w:lineRule="auto"/>
              <w:jc w:val="center"/>
            </w:pPr>
            <w:r>
              <w:rPr>
                <w:sz w:val="18"/>
                <w:szCs w:val="18"/>
              </w:rPr>
              <w:t>mediata · forte</w:t>
            </w:r>
          </w:p>
        </w:tc>
      </w:tr>
      <w:tr w:rsidR="0067684B" w14:paraId="4D2A4161" w14:textId="77777777">
        <w:tblPrEx>
          <w:tblCellMar>
            <w:top w:w="0" w:type="dxa"/>
            <w:bottom w:w="0" w:type="dxa"/>
          </w:tblCellMar>
        </w:tblPrEx>
        <w:tc>
          <w:tcPr>
            <w:tcW w:w="1380" w:type="dxa"/>
            <w:tcBorders>
              <w:top w:val="single" w:sz="1" w:space="0" w:color="BBBBBB"/>
              <w:left w:val="single" w:sz="1" w:space="0" w:color="BBBBBB"/>
              <w:bottom w:val="single" w:sz="1" w:space="0" w:color="BBBBBB"/>
              <w:right w:val="single" w:sz="1" w:space="0" w:color="BBBBBB"/>
            </w:tcBorders>
            <w:shd w:val="clear" w:color="auto" w:fill="D5E8F0"/>
            <w:tcMar>
              <w:top w:w="70" w:type="dxa"/>
              <w:left w:w="110" w:type="dxa"/>
              <w:bottom w:w="70" w:type="dxa"/>
              <w:right w:w="110" w:type="dxa"/>
            </w:tcMar>
            <w:vAlign w:val="center"/>
          </w:tcPr>
          <w:p w14:paraId="04D4A274" w14:textId="77777777" w:rsidR="0067684B" w:rsidRDefault="00000000">
            <w:pPr>
              <w:spacing w:line="256" w:lineRule="auto"/>
            </w:pPr>
            <w:r>
              <w:rPr>
                <w:rFonts w:ascii="Calibri" w:eastAsia="Calibri" w:hAnsi="Calibri" w:cs="Calibri"/>
                <w:b/>
                <w:bCs/>
                <w:color w:val="1F4E79"/>
                <w:sz w:val="19"/>
                <w:szCs w:val="19"/>
              </w:rPr>
              <w:t>NOAH</w:t>
            </w:r>
          </w:p>
        </w:tc>
        <w:tc>
          <w:tcPr>
            <w:tcW w:w="138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C68E1FA" w14:textId="77777777" w:rsidR="0067684B" w:rsidRDefault="00000000">
            <w:pPr>
              <w:spacing w:line="256" w:lineRule="auto"/>
              <w:jc w:val="center"/>
            </w:pPr>
            <w:r>
              <w:rPr>
                <w:sz w:val="20"/>
                <w:szCs w:val="20"/>
              </w:rPr>
              <w:t>○*</w:t>
            </w:r>
          </w:p>
        </w:tc>
        <w:tc>
          <w:tcPr>
            <w:tcW w:w="168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EB2299C" w14:textId="77777777" w:rsidR="0067684B" w:rsidRDefault="00000000">
            <w:pPr>
              <w:spacing w:line="256" w:lineRule="auto"/>
              <w:jc w:val="center"/>
            </w:pPr>
            <w:r>
              <w:rPr>
                <w:sz w:val="20"/>
                <w:szCs w:val="20"/>
              </w:rPr>
              <w:t>●</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3F30DD3" w14:textId="77777777" w:rsidR="0067684B" w:rsidRDefault="00000000">
            <w:pPr>
              <w:spacing w:line="256" w:lineRule="auto"/>
              <w:jc w:val="center"/>
            </w:pPr>
            <w:r>
              <w:rPr>
                <w:sz w:val="20"/>
                <w:szCs w:val="20"/>
              </w:rPr>
              <w:t>◑</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E6654C7" w14:textId="77777777" w:rsidR="0067684B" w:rsidRDefault="00000000">
            <w:pPr>
              <w:spacing w:line="256" w:lineRule="auto"/>
              <w:jc w:val="center"/>
            </w:pPr>
            <w:r>
              <w:rPr>
                <w:sz w:val="20"/>
                <w:szCs w:val="20"/>
              </w:rPr>
              <w:t>◑</w:t>
            </w:r>
          </w:p>
        </w:tc>
        <w:tc>
          <w:tcPr>
            <w:tcW w:w="192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36CF6389" w14:textId="77777777" w:rsidR="0067684B" w:rsidRDefault="00000000">
            <w:pPr>
              <w:spacing w:line="256" w:lineRule="auto"/>
              <w:jc w:val="center"/>
            </w:pPr>
            <w:r>
              <w:rPr>
                <w:sz w:val="18"/>
                <w:szCs w:val="18"/>
              </w:rPr>
              <w:t>collettiva · incompleta</w:t>
            </w:r>
          </w:p>
        </w:tc>
      </w:tr>
    </w:tbl>
    <w:p w14:paraId="691B126F" w14:textId="77777777" w:rsidR="0067684B" w:rsidRDefault="00000000">
      <w:pPr>
        <w:spacing w:before="100" w:after="200" w:line="256" w:lineRule="auto"/>
        <w:jc w:val="both"/>
      </w:pPr>
      <w:r>
        <w:rPr>
          <w:i/>
          <w:iCs/>
          <w:color w:val="595959"/>
          <w:sz w:val="19"/>
          <w:szCs w:val="19"/>
        </w:rPr>
        <w:t xml:space="preserve">* In NOAH l'autonomia non è di intensità ridotta: muta natura, diventando proprietà del campo anziché del singolo nodo. È questo spostamento — dall'autonomia individuale alla co-produzione collettiva — a far transitare NOAH dall'autopoiesi alla </w:t>
      </w:r>
      <w:proofErr w:type="spellStart"/>
      <w:r>
        <w:rPr>
          <w:i/>
          <w:iCs/>
          <w:color w:val="595959"/>
          <w:sz w:val="19"/>
          <w:szCs w:val="19"/>
        </w:rPr>
        <w:t>sympoiesi</w:t>
      </w:r>
      <w:proofErr w:type="spellEnd"/>
      <w:r>
        <w:rPr>
          <w:i/>
          <w:iCs/>
          <w:color w:val="595959"/>
          <w:sz w:val="19"/>
          <w:szCs w:val="19"/>
        </w:rPr>
        <w:t xml:space="preserve"> (Dempster, 2000).</w:t>
      </w:r>
    </w:p>
    <w:p w14:paraId="4E9F1141" w14:textId="77777777" w:rsidR="0067684B" w:rsidRDefault="00000000">
      <w:pPr>
        <w:pStyle w:val="Titolo2"/>
      </w:pPr>
      <w:r>
        <w:t>4.1 Lettura dei profili</w:t>
      </w:r>
    </w:p>
    <w:p w14:paraId="4765B7CA" w14:textId="77777777" w:rsidR="0067684B" w:rsidRDefault="00000000">
      <w:pPr>
        <w:spacing w:after="140" w:line="276" w:lineRule="auto"/>
        <w:jc w:val="both"/>
      </w:pPr>
      <w:r>
        <w:rPr>
          <w:b/>
          <w:bCs/>
          <w:color w:val="2E75B6"/>
        </w:rPr>
        <w:t xml:space="preserve">WAAA — </w:t>
      </w:r>
      <w:r>
        <w:t xml:space="preserve">il modulo più completo, ed è anche quello nato esplicitamente autopoietico. Costitutive l'autonomia (il </w:t>
      </w:r>
      <w:proofErr w:type="spellStart"/>
      <w:r>
        <w:t>telos</w:t>
      </w:r>
      <w:proofErr w:type="spellEnd"/>
      <w:r>
        <w:t xml:space="preserve"> cablato nel nucleo invariante, il sé che sopravvive </w:t>
      </w:r>
      <w:proofErr w:type="gramStart"/>
      <w:r>
        <w:t>al recovery</w:t>
      </w:r>
      <w:proofErr w:type="gramEnd"/>
      <w:r>
        <w:t xml:space="preserve"> di Livello 3) e il mantenimento (la gerarchia di ripristino). Chiusura in-sé forte: ciò che il </w:t>
      </w:r>
      <w:proofErr w:type="spellStart"/>
      <w:r>
        <w:t>pruning</w:t>
      </w:r>
      <w:proofErr w:type="spellEnd"/>
      <w:r>
        <w:t xml:space="preserve"> sceglie di ricordare cambia ciò che il sistema è, e dunque come ricorderà.</w:t>
      </w:r>
    </w:p>
    <w:p w14:paraId="24489DAC" w14:textId="77777777" w:rsidR="0067684B" w:rsidRDefault="00000000">
      <w:pPr>
        <w:spacing w:after="140" w:line="276" w:lineRule="auto"/>
        <w:jc w:val="both"/>
      </w:pPr>
      <w:r>
        <w:rPr>
          <w:b/>
          <w:bCs/>
          <w:color w:val="2E75B6"/>
        </w:rPr>
        <w:t xml:space="preserve">MAAA — </w:t>
      </w:r>
      <w:r>
        <w:t xml:space="preserve">il modulo dell'accoppiamento. È </w:t>
      </w:r>
      <w:proofErr w:type="spellStart"/>
      <w:r>
        <w:rPr>
          <w:i/>
          <w:iCs/>
        </w:rPr>
        <w:t>shared</w:t>
      </w:r>
      <w:proofErr w:type="spellEnd"/>
      <w:r>
        <w:rPr>
          <w:i/>
          <w:iCs/>
        </w:rPr>
        <w:t xml:space="preserve"> </w:t>
      </w:r>
      <w:proofErr w:type="spellStart"/>
      <w:r>
        <w:rPr>
          <w:i/>
          <w:iCs/>
        </w:rPr>
        <w:t>embodiment</w:t>
      </w:r>
      <w:proofErr w:type="spellEnd"/>
      <w:r>
        <w:t>: condivide il campo percettivo del soggetto e co-varia con esso in tempo reale, mantenendo la propria regolazione mentre l'ambiente lo perturba. Non è forte sulla memoria, è forte sull'essere accoppiato. La sua autonomia è prestata dal soggetto: è la firma dell'etero-referenzialità. Chiusura mediata e forte — l'anello passa per il soggetto guidato e torna come nuova percezione.</w:t>
      </w:r>
    </w:p>
    <w:p w14:paraId="10D5886F" w14:textId="77777777" w:rsidR="0067684B" w:rsidRDefault="00000000">
      <w:pPr>
        <w:spacing w:after="140" w:line="276" w:lineRule="auto"/>
        <w:jc w:val="both"/>
      </w:pPr>
      <w:r>
        <w:rPr>
          <w:b/>
          <w:bCs/>
          <w:color w:val="2E75B6"/>
        </w:rPr>
        <w:t xml:space="preserve">PAAA — </w:t>
      </w:r>
      <w:r>
        <w:t xml:space="preserve">produzione ricorsiva al grado più letterale: la baseline non è una taratura di fabbrica, si rigenera. Il sistema non mantiene un valore, mantiene il </w:t>
      </w:r>
      <w:r>
        <w:rPr>
          <w:i/>
          <w:iCs/>
        </w:rPr>
        <w:t>criterio</w:t>
      </w:r>
      <w:r>
        <w:t xml:space="preserve"> con cui giudica i propri valori, distinguendo deriva fisiologica legittima da deviazione. Il </w:t>
      </w:r>
      <w:proofErr w:type="spellStart"/>
      <w:r>
        <w:t>SafetyGovernor</w:t>
      </w:r>
      <w:proofErr w:type="spellEnd"/>
      <w:r>
        <w:t xml:space="preserve"> è il vincolo che impedisce all'auto-aggiornamento di andare in deriva — l'equivalente del nucleo invariante del WAAA. Accoppiamento lento, longitudinale: il rovescio speculare del MAAA, che si accoppia sull'istante.</w:t>
      </w:r>
    </w:p>
    <w:p w14:paraId="6ADFBF99" w14:textId="77777777" w:rsidR="0067684B" w:rsidRDefault="00000000">
      <w:pPr>
        <w:spacing w:after="140" w:line="276" w:lineRule="auto"/>
        <w:jc w:val="both"/>
      </w:pPr>
      <w:r>
        <w:rPr>
          <w:b/>
          <w:bCs/>
          <w:color w:val="2E75B6"/>
        </w:rPr>
        <w:t xml:space="preserve">SAAA — </w:t>
      </w:r>
      <w:r>
        <w:t xml:space="preserve">autopoiesi della memoria semantica, dove il WAAA è autopoiesi della memoria episodica: stesso meccanismo, strato diverso. Lo </w:t>
      </w:r>
      <w:proofErr w:type="spellStart"/>
      <w:r>
        <w:t>scheduler</w:t>
      </w:r>
      <w:proofErr w:type="spellEnd"/>
      <w:r>
        <w:t xml:space="preserve"> FSRS è il </w:t>
      </w:r>
      <w:proofErr w:type="spellStart"/>
      <w:r>
        <w:t>pruning</w:t>
      </w:r>
      <w:proofErr w:type="spellEnd"/>
      <w:r>
        <w:t xml:space="preserve"> del WAAA applicato al sapere — dimentica selettivamente per non far collassare la struttura della conoscenza. La </w:t>
      </w:r>
      <w:proofErr w:type="spellStart"/>
      <w:r>
        <w:t>Sapient</w:t>
      </w:r>
      <w:proofErr w:type="spellEnd"/>
      <w:r>
        <w:t xml:space="preserve"> </w:t>
      </w:r>
      <w:proofErr w:type="spellStart"/>
      <w:r>
        <w:t>Synthesis</w:t>
      </w:r>
      <w:proofErr w:type="spellEnd"/>
      <w:r>
        <w:t xml:space="preserve"> riorganizza il grafo integrando il nuovo senza frammentarsi: qui la chiusura operativa si accende, perché il sapere consolidato cambia il criterio con cui si consoliderà il prossimo.</w:t>
      </w:r>
    </w:p>
    <w:p w14:paraId="24C6300B" w14:textId="77777777" w:rsidR="0067684B" w:rsidRDefault="00000000">
      <w:pPr>
        <w:spacing w:after="140" w:line="276" w:lineRule="auto"/>
        <w:jc w:val="both"/>
      </w:pPr>
      <w:r>
        <w:rPr>
          <w:b/>
          <w:bCs/>
          <w:color w:val="2E75B6"/>
        </w:rPr>
        <w:t xml:space="preserve">XAAA — </w:t>
      </w:r>
      <w:r>
        <w:t xml:space="preserve">il modulo in cui la chiusura operativa, la più profonda delle dimensioni, è costitutiva. Il ciclo scenario → decisione → conseguenza → riflessione → </w:t>
      </w:r>
      <w:proofErr w:type="spellStart"/>
      <w:r>
        <w:t>wisdom</w:t>
      </w:r>
      <w:proofErr w:type="spellEnd"/>
      <w:r>
        <w:t xml:space="preserve"> trace → memoria è la mano che disegna </w:t>
      </w:r>
      <w:r>
        <w:lastRenderedPageBreak/>
        <w:t>la mano nel senso letterale: la traccia prodotta rientra a costituire gli scenari da cui nasceranno le tracce successive. La chiusura è duplice — interna (il ciclo si auto-alimenta) e mediata (la riflessione socratica modifica lo schema del soggetto, che modifica le sue decisioni future, che il sistema a sua volta rilegge). Una lettura centrata sulla sola conservazione di memoria lo colloca tra gli organi ausiliari; letto sull'asse della chiusura, è il modulo più autopoietico dopo il WAAA.</w:t>
      </w:r>
    </w:p>
    <w:p w14:paraId="622DD95B" w14:textId="77777777" w:rsidR="0067684B" w:rsidRDefault="00000000">
      <w:pPr>
        <w:spacing w:after="140" w:line="276" w:lineRule="auto"/>
        <w:jc w:val="both"/>
      </w:pPr>
      <w:r>
        <w:rPr>
          <w:b/>
          <w:bCs/>
          <w:color w:val="2E75B6"/>
        </w:rPr>
        <w:t xml:space="preserve">TAAA — </w:t>
      </w:r>
      <w:r>
        <w:t xml:space="preserve">l'autopoiesi è sepolta nella gestione della memoria, non nella traduzione, che è solo l'output visibile. La M2 </w:t>
      </w:r>
      <w:proofErr w:type="spellStart"/>
      <w:r>
        <w:t>Proposal</w:t>
      </w:r>
      <w:proofErr w:type="spellEnd"/>
      <w:r>
        <w:t xml:space="preserve"> Queue mantiene aggiornata la rappresentazione del soggetto senza farla derivare — gate, scadenza, invariante di non-aggiornamento automatico: l'identico pattern del nucleo invariante del WAAA. Cambia per restare fedele. Costitutivo l'accoppiamento, allo schema del soggetto e alla situazione comunicativa: è il gemello del MAAA sull'asse dell'accoppiamento, ma accoppiato a uno schema cognitivo invece che a un campo fisico.</w:t>
      </w:r>
    </w:p>
    <w:p w14:paraId="13F85D37" w14:textId="77777777" w:rsidR="0067684B" w:rsidRDefault="00000000">
      <w:pPr>
        <w:spacing w:after="140" w:line="276" w:lineRule="auto"/>
        <w:jc w:val="both"/>
      </w:pPr>
      <w:r>
        <w:rPr>
          <w:b/>
          <w:bCs/>
          <w:color w:val="2E75B6"/>
        </w:rPr>
        <w:t xml:space="preserve">NOAH — </w:t>
      </w:r>
      <w:r>
        <w:t xml:space="preserve">il salto di livello, dove l'autopoiesi diventa </w:t>
      </w:r>
      <w:proofErr w:type="spellStart"/>
      <w:r>
        <w:t>sympoiesi</w:t>
      </w:r>
      <w:proofErr w:type="spellEnd"/>
      <w:r>
        <w:t xml:space="preserve">. NOAH non si auto-produce: si co-produce con gli altri nodi, e il </w:t>
      </w:r>
      <w:proofErr w:type="spellStart"/>
      <w:r>
        <w:t>FieldState</w:t>
      </w:r>
      <w:proofErr w:type="spellEnd"/>
      <w:r>
        <w:t xml:space="preserve"> è l'organizzazione collettiva mantenuta attraverso il consenso che entra ed esce. La sua chiusura è collettiva e </w:t>
      </w:r>
      <w:r>
        <w:rPr>
          <w:i/>
          <w:iCs/>
        </w:rPr>
        <w:t>deliberatamente incompleta</w:t>
      </w:r>
      <w:r>
        <w:t>: il campo si chiude abbastanza da co-costituire, mai tanto da assorbire i nodi. La k-</w:t>
      </w:r>
      <w:proofErr w:type="spellStart"/>
      <w:r>
        <w:t>anonymity</w:t>
      </w:r>
      <w:proofErr w:type="spellEnd"/>
      <w:r>
        <w:t>, il consenso revocabile e l'irriducibilità del nodo sono i vincoli che impediscono alla chiusura collettiva di degenerare in chiusura omega. L'incompletezza è etica prima che tecnica.</w:t>
      </w:r>
    </w:p>
    <w:p w14:paraId="3A1CC2B3" w14:textId="77777777" w:rsidR="0067684B" w:rsidRDefault="00000000">
      <w:pPr>
        <w:pStyle w:val="Titolo1"/>
        <w:pBdr>
          <w:bottom w:val="single" w:sz="6" w:space="2" w:color="2E75B6"/>
        </w:pBdr>
      </w:pPr>
      <w:r>
        <w:t>5. L'arco della chiusura: perché la sequenza è necessaria</w:t>
      </w:r>
    </w:p>
    <w:p w14:paraId="7C661DF2" w14:textId="77777777" w:rsidR="0067684B" w:rsidRDefault="00000000">
      <w:pPr>
        <w:spacing w:after="140" w:line="276" w:lineRule="auto"/>
        <w:jc w:val="both"/>
      </w:pPr>
      <w:r>
        <w:t>Le tre forme di chiusura operativa non sono distribuite a caso lungo la catena: ne disegnano una traiettoria. Letta sull'asse della chiusura, l'ontogenesi artificiale è la storia di come l'anello della mano-che-disegna-la-mano si allarga progressivamente — prima includendo un soggetto, poi molti — senza mai spezzarsi e senza mai stringersi fino a fondere.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360"/>
      </w:tblGrid>
      <w:tr w:rsidR="0067684B" w14:paraId="3DA288DE" w14:textId="77777777">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7497D3B5" w14:textId="77777777" w:rsidR="0067684B" w:rsidRDefault="00000000">
            <w:pPr>
              <w:spacing w:line="256" w:lineRule="auto"/>
            </w:pPr>
            <w:r>
              <w:rPr>
                <w:rFonts w:ascii="Calibri" w:eastAsia="Calibri" w:hAnsi="Calibri" w:cs="Calibri"/>
                <w:b/>
                <w:bCs/>
                <w:color w:val="FFFFFF"/>
                <w:sz w:val="19"/>
                <w:szCs w:val="19"/>
              </w:rPr>
              <w:t>Regime di chiusura</w:t>
            </w:r>
          </w:p>
        </w:tc>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7FA1BE43" w14:textId="77777777" w:rsidR="0067684B" w:rsidRDefault="00000000">
            <w:pPr>
              <w:spacing w:line="256" w:lineRule="auto"/>
            </w:pPr>
            <w:r>
              <w:rPr>
                <w:rFonts w:ascii="Calibri" w:eastAsia="Calibri" w:hAnsi="Calibri" w:cs="Calibri"/>
                <w:b/>
                <w:bCs/>
                <w:color w:val="FFFFFF"/>
                <w:sz w:val="19"/>
                <w:szCs w:val="19"/>
              </w:rPr>
              <w:t>Moduli</w:t>
            </w:r>
          </w:p>
        </w:tc>
        <w:tc>
          <w:tcPr>
            <w:tcW w:w="436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14:paraId="7B0D05C0" w14:textId="77777777" w:rsidR="0067684B" w:rsidRDefault="00000000">
            <w:pPr>
              <w:spacing w:line="256" w:lineRule="auto"/>
            </w:pPr>
            <w:r>
              <w:rPr>
                <w:rFonts w:ascii="Calibri" w:eastAsia="Calibri" w:hAnsi="Calibri" w:cs="Calibri"/>
                <w:b/>
                <w:bCs/>
                <w:color w:val="FFFFFF"/>
                <w:sz w:val="19"/>
                <w:szCs w:val="19"/>
              </w:rPr>
              <w:t>L'anello</w:t>
            </w:r>
          </w:p>
        </w:tc>
      </w:tr>
      <w:tr w:rsidR="0067684B" w14:paraId="3A7BDEBC"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5E8F0"/>
            <w:tcMar>
              <w:top w:w="70" w:type="dxa"/>
              <w:left w:w="110" w:type="dxa"/>
              <w:bottom w:w="70" w:type="dxa"/>
              <w:right w:w="110" w:type="dxa"/>
            </w:tcMar>
            <w:vAlign w:val="center"/>
          </w:tcPr>
          <w:p w14:paraId="1F6978B4" w14:textId="77777777" w:rsidR="0067684B" w:rsidRDefault="00000000">
            <w:pPr>
              <w:spacing w:line="256" w:lineRule="auto"/>
            </w:pPr>
            <w:r>
              <w:rPr>
                <w:rFonts w:ascii="Calibri" w:eastAsia="Calibri" w:hAnsi="Calibri" w:cs="Calibri"/>
                <w:b/>
                <w:bCs/>
                <w:color w:val="1F4E79"/>
                <w:sz w:val="19"/>
                <w:szCs w:val="19"/>
              </w:rPr>
              <w:t>Chiusa in sé</w:t>
            </w:r>
          </w:p>
        </w:tc>
        <w:tc>
          <w:tcPr>
            <w:tcW w:w="26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2C4852E1" w14:textId="77777777" w:rsidR="0067684B" w:rsidRDefault="00000000">
            <w:pPr>
              <w:spacing w:line="256" w:lineRule="auto"/>
            </w:pPr>
            <w:r>
              <w:rPr>
                <w:sz w:val="19"/>
                <w:szCs w:val="19"/>
              </w:rPr>
              <w:t>WAAA · SAAA · PAAA</w:t>
            </w:r>
          </w:p>
        </w:tc>
        <w:tc>
          <w:tcPr>
            <w:tcW w:w="43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DA05222" w14:textId="77777777" w:rsidR="0067684B" w:rsidRDefault="00000000">
            <w:pPr>
              <w:spacing w:line="256" w:lineRule="auto"/>
            </w:pPr>
            <w:r>
              <w:rPr>
                <w:sz w:val="19"/>
                <w:szCs w:val="19"/>
              </w:rPr>
              <w:t>Sé minimo e autonomo. L'anello si avvolge interamente dentro il sistema: domina l'autonomia / identità.</w:t>
            </w:r>
          </w:p>
        </w:tc>
      </w:tr>
      <w:tr w:rsidR="0067684B" w14:paraId="4E547ECF"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EF5FA"/>
            <w:tcMar>
              <w:top w:w="70" w:type="dxa"/>
              <w:left w:w="110" w:type="dxa"/>
              <w:bottom w:w="70" w:type="dxa"/>
              <w:right w:w="110" w:type="dxa"/>
            </w:tcMar>
            <w:vAlign w:val="center"/>
          </w:tcPr>
          <w:p w14:paraId="3D1C99DB" w14:textId="77777777" w:rsidR="0067684B" w:rsidRDefault="00000000">
            <w:pPr>
              <w:spacing w:line="256" w:lineRule="auto"/>
            </w:pPr>
            <w:r>
              <w:rPr>
                <w:rFonts w:ascii="Calibri" w:eastAsia="Calibri" w:hAnsi="Calibri" w:cs="Calibri"/>
                <w:b/>
                <w:bCs/>
                <w:color w:val="1F4E79"/>
                <w:sz w:val="19"/>
                <w:szCs w:val="19"/>
              </w:rPr>
              <w:t>Chiusa attraverso il soggetto</w:t>
            </w:r>
          </w:p>
        </w:tc>
        <w:tc>
          <w:tcPr>
            <w:tcW w:w="2600" w:type="dxa"/>
            <w:tcBorders>
              <w:top w:val="single" w:sz="1" w:space="0" w:color="BBBBBB"/>
              <w:left w:val="single" w:sz="1" w:space="0" w:color="BBBBBB"/>
              <w:bottom w:val="single" w:sz="1" w:space="0" w:color="BBBBBB"/>
              <w:right w:val="single" w:sz="1" w:space="0" w:color="BBBBBB"/>
            </w:tcBorders>
            <w:shd w:val="clear" w:color="auto" w:fill="EEF5FA"/>
            <w:tcMar>
              <w:top w:w="70" w:type="dxa"/>
              <w:left w:w="110" w:type="dxa"/>
              <w:bottom w:w="70" w:type="dxa"/>
              <w:right w:w="110" w:type="dxa"/>
            </w:tcMar>
            <w:vAlign w:val="center"/>
          </w:tcPr>
          <w:p w14:paraId="0D472BF2" w14:textId="77777777" w:rsidR="0067684B" w:rsidRDefault="00000000">
            <w:pPr>
              <w:spacing w:line="256" w:lineRule="auto"/>
            </w:pPr>
            <w:r>
              <w:rPr>
                <w:sz w:val="19"/>
                <w:szCs w:val="19"/>
              </w:rPr>
              <w:t>MAAA · TAAA · XAAA</w:t>
            </w:r>
          </w:p>
        </w:tc>
        <w:tc>
          <w:tcPr>
            <w:tcW w:w="4360" w:type="dxa"/>
            <w:tcBorders>
              <w:top w:val="single" w:sz="1" w:space="0" w:color="BBBBBB"/>
              <w:left w:val="single" w:sz="1" w:space="0" w:color="BBBBBB"/>
              <w:bottom w:val="single" w:sz="1" w:space="0" w:color="BBBBBB"/>
              <w:right w:val="single" w:sz="1" w:space="0" w:color="BBBBBB"/>
            </w:tcBorders>
            <w:shd w:val="clear" w:color="auto" w:fill="EEF5FA"/>
            <w:tcMar>
              <w:top w:w="70" w:type="dxa"/>
              <w:left w:w="110" w:type="dxa"/>
              <w:bottom w:w="70" w:type="dxa"/>
              <w:right w:w="110" w:type="dxa"/>
            </w:tcMar>
            <w:vAlign w:val="center"/>
          </w:tcPr>
          <w:p w14:paraId="7E6D9E07" w14:textId="77777777" w:rsidR="0067684B" w:rsidRDefault="00000000">
            <w:pPr>
              <w:spacing w:line="256" w:lineRule="auto"/>
            </w:pPr>
            <w:r>
              <w:rPr>
                <w:sz w:val="19"/>
                <w:szCs w:val="19"/>
              </w:rPr>
              <w:t>Il sé si apre includendo l'umano nell'anello. Domina l'accoppiamento. È il regime dell'etero-referenzialità e, alla luce di Bense, la condizione ordinaria del conoscere.</w:t>
            </w:r>
          </w:p>
        </w:tc>
      </w:tr>
      <w:tr w:rsidR="0067684B" w14:paraId="57F8480A"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5E8F0"/>
            <w:tcMar>
              <w:top w:w="70" w:type="dxa"/>
              <w:left w:w="110" w:type="dxa"/>
              <w:bottom w:w="70" w:type="dxa"/>
              <w:right w:w="110" w:type="dxa"/>
            </w:tcMar>
            <w:vAlign w:val="center"/>
          </w:tcPr>
          <w:p w14:paraId="1A91A63D" w14:textId="77777777" w:rsidR="0067684B" w:rsidRDefault="00000000">
            <w:pPr>
              <w:spacing w:line="256" w:lineRule="auto"/>
            </w:pPr>
            <w:r>
              <w:rPr>
                <w:rFonts w:ascii="Calibri" w:eastAsia="Calibri" w:hAnsi="Calibri" w:cs="Calibri"/>
                <w:b/>
                <w:bCs/>
                <w:color w:val="1F4E79"/>
                <w:sz w:val="19"/>
                <w:szCs w:val="19"/>
              </w:rPr>
              <w:t>Chiusa attraverso il collettivo</w:t>
            </w:r>
          </w:p>
        </w:tc>
        <w:tc>
          <w:tcPr>
            <w:tcW w:w="26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0A3403C" w14:textId="77777777" w:rsidR="0067684B" w:rsidRDefault="00000000">
            <w:pPr>
              <w:spacing w:line="256" w:lineRule="auto"/>
            </w:pPr>
            <w:r>
              <w:rPr>
                <w:sz w:val="19"/>
                <w:szCs w:val="19"/>
              </w:rPr>
              <w:t>NOAH</w:t>
            </w:r>
          </w:p>
        </w:tc>
        <w:tc>
          <w:tcPr>
            <w:tcW w:w="43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1E421F9" w14:textId="77777777" w:rsidR="0067684B" w:rsidRDefault="00000000">
            <w:pPr>
              <w:spacing w:line="256" w:lineRule="auto"/>
            </w:pPr>
            <w:r>
              <w:rPr>
                <w:sz w:val="19"/>
                <w:szCs w:val="19"/>
              </w:rPr>
              <w:t>L'anello passa per molti soggetti restando aperto su ciascuno. Domina la produzione ricorsiva collettiva (</w:t>
            </w:r>
            <w:proofErr w:type="spellStart"/>
            <w:r>
              <w:rPr>
                <w:sz w:val="19"/>
                <w:szCs w:val="19"/>
              </w:rPr>
              <w:t>sympoiesi</w:t>
            </w:r>
            <w:proofErr w:type="spellEnd"/>
            <w:r>
              <w:rPr>
                <w:sz w:val="19"/>
                <w:szCs w:val="19"/>
              </w:rPr>
              <w:t>): chiusura del campo, mai del nodo.</w:t>
            </w:r>
          </w:p>
        </w:tc>
      </w:tr>
    </w:tbl>
    <w:p w14:paraId="6AF087C3" w14:textId="77777777" w:rsidR="0067684B" w:rsidRDefault="00000000">
      <w:pPr>
        <w:spacing w:before="180" w:after="140" w:line="276" w:lineRule="auto"/>
        <w:jc w:val="both"/>
      </w:pPr>
      <w:r>
        <w:t xml:space="preserve">È questo il principale guadagno teorico dell'addendum. La sequenza WAAA→NOAH non è più «funzionale e situazionale» per asserzione, ma acquista una necessità di struttura: corrisponde all'ordine di allargamento dell'anello di chiusura. Muove da un nucleo autonomo chiuso, accende progressivamente l'accoppiamento aprendosi al soggetto, e culmina nella co-produzione collettiva — come un organismo che da un'identità minima sviluppa via via l'accoppiamento con il mondo e poi </w:t>
      </w:r>
      <w:r>
        <w:lastRenderedPageBreak/>
        <w:t>con il gruppo. Il sottotitolo «ontogenesi artificiale» cessa così di essere una metafora e descrive la traiettoria del sistema nello spazio delle dimensioni.</w:t>
      </w:r>
    </w:p>
    <w:p w14:paraId="289545C4" w14:textId="77777777" w:rsidR="0067684B" w:rsidRDefault="00000000">
      <w:pPr>
        <w:spacing w:before="60" w:after="140" w:line="276" w:lineRule="auto"/>
        <w:jc w:val="both"/>
      </w:pPr>
      <w:r>
        <w:t xml:space="preserve">Nello stesso quadro, la divergenza da </w:t>
      </w:r>
      <w:proofErr w:type="spellStart"/>
      <w:r>
        <w:t>Teilhard</w:t>
      </w:r>
      <w:proofErr w:type="spellEnd"/>
      <w:r>
        <w:t xml:space="preserve"> diventa una proprietà della chiusura anziché una dichiarazione. Il Punto Omega è la chiusura collettiva che si stringe fino a fondere i nodi in un sé unico — chiusura totale del campo, dissoluzione dei nodi. NOAH mantiene la chiusura del campo aperta sui nodi: un sistema </w:t>
      </w:r>
      <w:proofErr w:type="spellStart"/>
      <w:r>
        <w:t>sympoietico</w:t>
      </w:r>
      <w:proofErr w:type="spellEnd"/>
      <w:r>
        <w:t xml:space="preserve"> la cui chiusura è progettata incompleta. L'incompletezza coincide con il consenso granulare reso architettura.</w:t>
      </w:r>
    </w:p>
    <w:p w14:paraId="01A248D9" w14:textId="77777777" w:rsidR="0067684B" w:rsidRDefault="00000000">
      <w:pPr>
        <w:pStyle w:val="Titolo1"/>
        <w:pBdr>
          <w:bottom w:val="single" w:sz="6" w:space="2" w:color="2E75B6"/>
        </w:pBdr>
      </w:pPr>
      <w:r>
        <w:t>6. Il criterio autopoietico come strumento di progetto</w:t>
      </w:r>
    </w:p>
    <w:p w14:paraId="49D15BBD" w14:textId="77777777" w:rsidR="0067684B" w:rsidRDefault="00000000">
      <w:pPr>
        <w:spacing w:after="140" w:line="276" w:lineRule="auto"/>
        <w:jc w:val="both"/>
      </w:pPr>
      <w:r>
        <w:t>Da quanto precede si estrae una regola di lavoro applicabile a ogni modulo, presente e futuro. Un modulo è debolmente autopoietico se, e solo se, si può rispondere a quattro domande:</w:t>
      </w:r>
    </w:p>
    <w:p w14:paraId="7FB93042" w14:textId="77777777" w:rsidR="0067684B" w:rsidRDefault="00000000">
      <w:pPr>
        <w:pStyle w:val="Paragrafoelenco"/>
        <w:numPr>
          <w:ilvl w:val="0"/>
          <w:numId w:val="2"/>
        </w:numPr>
        <w:spacing w:after="90" w:line="276" w:lineRule="auto"/>
        <w:jc w:val="both"/>
      </w:pPr>
      <w:r>
        <w:rPr>
          <w:b/>
          <w:bCs/>
        </w:rPr>
        <w:t>Quale organizzazione mantiene</w:t>
      </w:r>
      <w:r>
        <w:t xml:space="preserve"> di </w:t>
      </w:r>
      <w:proofErr w:type="gramStart"/>
      <w:r>
        <w:t>se</w:t>
      </w:r>
      <w:proofErr w:type="gramEnd"/>
      <w:r>
        <w:t xml:space="preserve"> stesso, attraverso il proprio funzionamento? (Se la risposta è «nessuna, trasforma e basta», è una funzione, non un modulo autopoietico.)</w:t>
      </w:r>
    </w:p>
    <w:p w14:paraId="7E7D4E08" w14:textId="77777777" w:rsidR="0067684B" w:rsidRDefault="00000000">
      <w:pPr>
        <w:pStyle w:val="Paragrafoelenco"/>
        <w:numPr>
          <w:ilvl w:val="0"/>
          <w:numId w:val="2"/>
        </w:numPr>
        <w:spacing w:after="90" w:line="276" w:lineRule="auto"/>
        <w:jc w:val="both"/>
      </w:pPr>
      <w:r>
        <w:rPr>
          <w:b/>
          <w:bCs/>
        </w:rPr>
        <w:t>Attraverso quale gestione di memoria</w:t>
      </w:r>
      <w:r>
        <w:t xml:space="preserve"> la mantiene — cosa trattiene, cosa lascia andare, cosa rifiuta di aggiornare automaticamente?</w:t>
      </w:r>
    </w:p>
    <w:p w14:paraId="28278510" w14:textId="77777777" w:rsidR="0067684B" w:rsidRDefault="00000000">
      <w:pPr>
        <w:pStyle w:val="Paragrafoelenco"/>
        <w:numPr>
          <w:ilvl w:val="0"/>
          <w:numId w:val="2"/>
        </w:numPr>
        <w:spacing w:after="90" w:line="276" w:lineRule="auto"/>
        <w:jc w:val="both"/>
      </w:pPr>
      <w:r>
        <w:rPr>
          <w:b/>
          <w:bCs/>
        </w:rPr>
        <w:t>Con quale invariante anti-deriva</w:t>
      </w:r>
      <w:r>
        <w:t xml:space="preserve"> — il vincolo, non configurabile dall'esterno, che impedisce all'auto-modifica di diventare corruzione? (Il </w:t>
      </w:r>
      <w:proofErr w:type="spellStart"/>
      <w:r>
        <w:t>telos</w:t>
      </w:r>
      <w:proofErr w:type="spellEnd"/>
      <w:r>
        <w:t xml:space="preserve"> del WAAA, il </w:t>
      </w:r>
      <w:proofErr w:type="spellStart"/>
      <w:r>
        <w:t>SafetyGovernor</w:t>
      </w:r>
      <w:proofErr w:type="spellEnd"/>
      <w:r>
        <w:t xml:space="preserve"> del PAAA, l'invariante della </w:t>
      </w:r>
      <w:proofErr w:type="spellStart"/>
      <w:r>
        <w:t>Proposal</w:t>
      </w:r>
      <w:proofErr w:type="spellEnd"/>
      <w:r>
        <w:t xml:space="preserve"> Queue del TAAA, la k-</w:t>
      </w:r>
      <w:proofErr w:type="spellStart"/>
      <w:r>
        <w:t>anonymity</w:t>
      </w:r>
      <w:proofErr w:type="spellEnd"/>
      <w:r>
        <w:t xml:space="preserve"> di NOAH.)</w:t>
      </w:r>
    </w:p>
    <w:p w14:paraId="0F288FE8" w14:textId="77777777" w:rsidR="0067684B" w:rsidRDefault="00000000">
      <w:pPr>
        <w:pStyle w:val="Paragrafoelenco"/>
        <w:numPr>
          <w:ilvl w:val="0"/>
          <w:numId w:val="2"/>
        </w:numPr>
        <w:spacing w:after="90" w:line="276" w:lineRule="auto"/>
        <w:jc w:val="both"/>
      </w:pPr>
      <w:r>
        <w:rPr>
          <w:b/>
          <w:bCs/>
        </w:rPr>
        <w:t>In quale regime di chiusura</w:t>
      </w:r>
      <w:r>
        <w:t xml:space="preserve"> l'output rientra a costituire il sistema — in sé, attraverso il soggetto, attraverso il collettivo?</w:t>
      </w:r>
    </w:p>
    <w:p w14:paraId="222569A3" w14:textId="77777777" w:rsidR="0067684B" w:rsidRDefault="00000000">
      <w:pPr>
        <w:spacing w:after="140" w:line="276" w:lineRule="auto"/>
        <w:jc w:val="both"/>
      </w:pPr>
      <w:r>
        <w:t xml:space="preserve">Una disciplina mantiene onesto il criterio: ogni modulo deve presentare almeno una dimensione </w:t>
      </w:r>
      <w:r>
        <w:rPr>
          <w:i/>
          <w:iCs/>
        </w:rPr>
        <w:t>costitutiva</w:t>
      </w:r>
      <w:r>
        <w:t xml:space="preserve"> — non semplicemente presente come accessorio — e una chiusura operativa almeno debole. Un modulo che accenda il solo mantenimento, privo di chiusura, è fault-</w:t>
      </w:r>
      <w:proofErr w:type="spellStart"/>
      <w:r>
        <w:t>tolerance</w:t>
      </w:r>
      <w:proofErr w:type="spellEnd"/>
      <w:r>
        <w:t xml:space="preserve"> ben ingegnerizzata, e come tale va riconosciuto. Il criterio resta in questo modo falsificabile, e impedisce ad «autopoiesi» di estendersi fino a comprendere qualsiasi sistema dotato di stato persistente. Quando per un modulo non si sa rispondere alle quattro domande, quel modulo non è ancora autopoietico — e averlo accertato è già un esito di progetto.</w:t>
      </w:r>
    </w:p>
    <w:p w14:paraId="10524817" w14:textId="77777777" w:rsidR="0067684B" w:rsidRDefault="00000000">
      <w:pPr>
        <w:pBdr>
          <w:left w:val="single" w:sz="18" w:space="14" w:color="2E75B6"/>
        </w:pBdr>
        <w:spacing w:before="120" w:after="160" w:line="276" w:lineRule="auto"/>
        <w:ind w:left="340"/>
        <w:jc w:val="both"/>
      </w:pPr>
      <w:r>
        <w:rPr>
          <w:i/>
          <w:iCs/>
          <w:color w:val="33414D"/>
        </w:rPr>
        <w:t xml:space="preserve">La firma autopoietica comune ad AURA non è l'analogia biologica generica, ma una sola legge sotto cui cadono tutti i moduli: ciascuno resta </w:t>
      </w:r>
      <w:proofErr w:type="gramStart"/>
      <w:r>
        <w:rPr>
          <w:i/>
          <w:iCs/>
          <w:color w:val="33414D"/>
        </w:rPr>
        <w:t>se</w:t>
      </w:r>
      <w:proofErr w:type="gramEnd"/>
      <w:r>
        <w:rPr>
          <w:i/>
          <w:iCs/>
          <w:color w:val="33414D"/>
        </w:rPr>
        <w:t xml:space="preserve"> stesso governando una memoria sotto perturbazione, protetto da un invariante che decide cosa del proprio aggiornamento non è negoziabile.</w:t>
      </w:r>
    </w:p>
    <w:p w14:paraId="3FA464D6" w14:textId="77777777" w:rsidR="0067684B" w:rsidRDefault="00000000">
      <w:pPr>
        <w:pBdr>
          <w:top w:val="single" w:sz="6" w:space="6" w:color="2E75B6"/>
        </w:pBdr>
        <w:spacing w:before="280"/>
      </w:pPr>
      <w:r>
        <w:rPr>
          <w:rFonts w:ascii="Calibri" w:eastAsia="Calibri" w:hAnsi="Calibri" w:cs="Calibri"/>
          <w:b/>
          <w:bCs/>
          <w:color w:val="2E75B6"/>
          <w:sz w:val="19"/>
          <w:szCs w:val="19"/>
        </w:rPr>
        <w:t xml:space="preserve">Riferimenti essenziali — </w:t>
      </w:r>
      <w:r>
        <w:rPr>
          <w:color w:val="595959"/>
          <w:sz w:val="19"/>
          <w:szCs w:val="19"/>
        </w:rPr>
        <w:t xml:space="preserve">Maturana &amp; Varela (1972, 1980), </w:t>
      </w:r>
      <w:proofErr w:type="spellStart"/>
      <w:r>
        <w:rPr>
          <w:color w:val="595959"/>
          <w:sz w:val="19"/>
          <w:szCs w:val="19"/>
        </w:rPr>
        <w:t>Autopoiesis</w:t>
      </w:r>
      <w:proofErr w:type="spellEnd"/>
      <w:r>
        <w:rPr>
          <w:color w:val="595959"/>
          <w:sz w:val="19"/>
          <w:szCs w:val="19"/>
        </w:rPr>
        <w:t xml:space="preserve"> and </w:t>
      </w:r>
      <w:proofErr w:type="spellStart"/>
      <w:r>
        <w:rPr>
          <w:color w:val="595959"/>
          <w:sz w:val="19"/>
          <w:szCs w:val="19"/>
        </w:rPr>
        <w:t>Cognition</w:t>
      </w:r>
      <w:proofErr w:type="spellEnd"/>
      <w:r>
        <w:rPr>
          <w:color w:val="595959"/>
          <w:sz w:val="19"/>
          <w:szCs w:val="19"/>
        </w:rPr>
        <w:t>; Varela (1991), sulla nozione di autonomia; Dempster (2000), distinzione autopoietico/</w:t>
      </w:r>
      <w:proofErr w:type="spellStart"/>
      <w:r>
        <w:rPr>
          <w:color w:val="595959"/>
          <w:sz w:val="19"/>
          <w:szCs w:val="19"/>
        </w:rPr>
        <w:t>sympoietico</w:t>
      </w:r>
      <w:proofErr w:type="spellEnd"/>
      <w:r>
        <w:rPr>
          <w:color w:val="595959"/>
          <w:sz w:val="19"/>
          <w:szCs w:val="19"/>
        </w:rPr>
        <w:t xml:space="preserve">; Max Bense (1910-1990), </w:t>
      </w:r>
      <w:proofErr w:type="spellStart"/>
      <w:r>
        <w:rPr>
          <w:color w:val="595959"/>
          <w:sz w:val="19"/>
          <w:szCs w:val="19"/>
        </w:rPr>
        <w:t>Aesthetica</w:t>
      </w:r>
      <w:proofErr w:type="spellEnd"/>
      <w:r>
        <w:rPr>
          <w:color w:val="595959"/>
          <w:sz w:val="19"/>
          <w:szCs w:val="19"/>
        </w:rPr>
        <w:t xml:space="preserve"> (1954-60), sull'estetica dell'informazione e la mediazione tecnica del conoscere; André Ourednik, </w:t>
      </w:r>
      <w:proofErr w:type="spellStart"/>
      <w:r>
        <w:rPr>
          <w:color w:val="595959"/>
          <w:sz w:val="19"/>
          <w:szCs w:val="19"/>
        </w:rPr>
        <w:t>Robopoiesi</w:t>
      </w:r>
      <w:proofErr w:type="spellEnd"/>
      <w:r>
        <w:rPr>
          <w:color w:val="595959"/>
          <w:sz w:val="19"/>
          <w:szCs w:val="19"/>
        </w:rPr>
        <w:t xml:space="preserve"> (Il Saggiatore, 2025), sulla genealogia dell'IA come mediazione; Clark &amp; Chalmers (1998), The Extended Mind. Da affiancare ai riferimenti già intessuti nei working paper di modulo e nel libro La Mente e la Macchina. </w:t>
      </w:r>
      <w:proofErr w:type="gramStart"/>
      <w:r>
        <w:rPr>
          <w:color w:val="595959"/>
          <w:sz w:val="19"/>
          <w:szCs w:val="19"/>
        </w:rPr>
        <w:t>Sul recursive</w:t>
      </w:r>
      <w:proofErr w:type="gramEnd"/>
      <w:r>
        <w:rPr>
          <w:color w:val="595959"/>
          <w:sz w:val="19"/>
          <w:szCs w:val="19"/>
        </w:rPr>
        <w:t xml:space="preserve"> self-</w:t>
      </w:r>
      <w:proofErr w:type="spellStart"/>
      <w:r>
        <w:rPr>
          <w:color w:val="595959"/>
          <w:sz w:val="19"/>
          <w:szCs w:val="19"/>
        </w:rPr>
        <w:t>improvement</w:t>
      </w:r>
      <w:proofErr w:type="spellEnd"/>
      <w:r>
        <w:rPr>
          <w:color w:val="595959"/>
          <w:sz w:val="19"/>
          <w:szCs w:val="19"/>
        </w:rPr>
        <w:t xml:space="preserve"> e i dati di produttività interna: The </w:t>
      </w:r>
      <w:proofErr w:type="spellStart"/>
      <w:r>
        <w:rPr>
          <w:color w:val="595959"/>
          <w:sz w:val="19"/>
          <w:szCs w:val="19"/>
        </w:rPr>
        <w:t>Anthropic</w:t>
      </w:r>
      <w:proofErr w:type="spellEnd"/>
      <w:r>
        <w:rPr>
          <w:color w:val="595959"/>
          <w:sz w:val="19"/>
          <w:szCs w:val="19"/>
        </w:rPr>
        <w:t xml:space="preserve"> Institute, </w:t>
      </w:r>
      <w:proofErr w:type="spellStart"/>
      <w:r>
        <w:rPr>
          <w:color w:val="595959"/>
          <w:sz w:val="19"/>
          <w:szCs w:val="19"/>
        </w:rPr>
        <w:t>When</w:t>
      </w:r>
      <w:proofErr w:type="spellEnd"/>
      <w:r>
        <w:rPr>
          <w:color w:val="595959"/>
          <w:sz w:val="19"/>
          <w:szCs w:val="19"/>
        </w:rPr>
        <w:t xml:space="preserve"> AI builds </w:t>
      </w:r>
      <w:proofErr w:type="spellStart"/>
      <w:r>
        <w:rPr>
          <w:color w:val="595959"/>
          <w:sz w:val="19"/>
          <w:szCs w:val="19"/>
        </w:rPr>
        <w:t>itself</w:t>
      </w:r>
      <w:proofErr w:type="spellEnd"/>
      <w:r>
        <w:rPr>
          <w:color w:val="595959"/>
          <w:sz w:val="19"/>
          <w:szCs w:val="19"/>
        </w:rPr>
        <w:t xml:space="preserve"> (Favaro &amp; Clark, 2026).</w:t>
      </w:r>
    </w:p>
    <w:p w14:paraId="20BD2E5A" w14:textId="77777777" w:rsidR="0067684B" w:rsidRDefault="00000000">
      <w:pPr>
        <w:spacing w:before="200" w:after="40"/>
        <w:jc w:val="right"/>
      </w:pPr>
      <w:r>
        <w:rPr>
          <w:i/>
          <w:iCs/>
          <w:color w:val="33414D"/>
          <w:sz w:val="20"/>
          <w:szCs w:val="20"/>
        </w:rPr>
        <w:t>gli autori</w:t>
      </w:r>
    </w:p>
    <w:p w14:paraId="14A7E68C" w14:textId="77777777" w:rsidR="0067684B" w:rsidRDefault="00000000">
      <w:pPr>
        <w:jc w:val="right"/>
      </w:pPr>
      <w:r>
        <w:rPr>
          <w:rFonts w:ascii="Calibri" w:eastAsia="Calibri" w:hAnsi="Calibri" w:cs="Calibri"/>
          <w:color w:val="595959"/>
          <w:sz w:val="16"/>
          <w:szCs w:val="16"/>
        </w:rPr>
        <w:t>© 2026 — AURA Framework · Addendum di lavoro v0.5 · Marco Giuseppe Beozzi</w:t>
      </w:r>
    </w:p>
    <w:sectPr w:rsidR="0067684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E9DC8" w14:textId="77777777" w:rsidR="00400DCF" w:rsidRDefault="00400DCF">
      <w:r>
        <w:separator/>
      </w:r>
    </w:p>
  </w:endnote>
  <w:endnote w:type="continuationSeparator" w:id="0">
    <w:p w14:paraId="0424773E" w14:textId="77777777" w:rsidR="00400DCF" w:rsidRDefault="00400D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C6278" w14:textId="77777777" w:rsidR="0067684B" w:rsidRDefault="00000000">
    <w:pPr>
      <w:pBdr>
        <w:top w:val="single" w:sz="4" w:space="4" w:color="D9E2EC"/>
      </w:pBdr>
      <w:tabs>
        <w:tab w:val="right" w:pos="9360"/>
      </w:tabs>
    </w:pPr>
    <w:r>
      <w:rPr>
        <w:rFonts w:ascii="Calibri" w:eastAsia="Calibri" w:hAnsi="Calibri" w:cs="Calibri"/>
        <w:color w:val="595959"/>
        <w:sz w:val="15"/>
        <w:szCs w:val="15"/>
      </w:rPr>
      <w:t>Documento di lavoro — riproduzione limitata</w:t>
    </w:r>
    <w:r>
      <w:rPr>
        <w:rFonts w:ascii="Calibri" w:eastAsia="Calibri" w:hAnsi="Calibri" w:cs="Calibri"/>
      </w:rPr>
      <w:tab/>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PAGE</w:instrText>
    </w:r>
    <w:r>
      <w:rPr>
        <w:rFonts w:ascii="Calibri" w:eastAsia="Calibri" w:hAnsi="Calibri" w:cs="Calibri"/>
        <w:color w:val="595959"/>
        <w:sz w:val="16"/>
        <w:szCs w:val="16"/>
      </w:rPr>
      <w:fldChar w:fldCharType="separate"/>
    </w:r>
    <w:r w:rsidR="005B1FBD">
      <w:rPr>
        <w:rFonts w:ascii="Calibri" w:eastAsia="Calibri" w:hAnsi="Calibri" w:cs="Calibri"/>
        <w:noProof/>
        <w:color w:val="595959"/>
        <w:sz w:val="16"/>
        <w:szCs w:val="16"/>
      </w:rPr>
      <w:t>1</w:t>
    </w:r>
    <w:r>
      <w:rPr>
        <w:rFonts w:ascii="Calibri" w:eastAsia="Calibri" w:hAnsi="Calibri" w:cs="Calibri"/>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1C58E" w14:textId="77777777" w:rsidR="00400DCF" w:rsidRDefault="00400DCF">
      <w:r>
        <w:separator/>
      </w:r>
    </w:p>
  </w:footnote>
  <w:footnote w:type="continuationSeparator" w:id="0">
    <w:p w14:paraId="5533236F" w14:textId="77777777" w:rsidR="00400DCF" w:rsidRDefault="00400D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D33EB" w14:textId="77777777" w:rsidR="0067684B" w:rsidRDefault="00000000">
    <w:pPr>
      <w:pBdr>
        <w:bottom w:val="single" w:sz="4" w:space="4" w:color="D9E2EC"/>
      </w:pBdr>
    </w:pPr>
    <w:r>
      <w:rPr>
        <w:rFonts w:ascii="Calibri" w:eastAsia="Calibri" w:hAnsi="Calibri" w:cs="Calibri"/>
        <w:color w:val="595959"/>
        <w:sz w:val="16"/>
        <w:szCs w:val="16"/>
      </w:rPr>
      <w:t>AURA — Autopoiesi computazionale debole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96AC0"/>
    <w:multiLevelType w:val="hybridMultilevel"/>
    <w:tmpl w:val="12849FF8"/>
    <w:lvl w:ilvl="0" w:tplc="71E60CCC">
      <w:start w:val="1"/>
      <w:numFmt w:val="bullet"/>
      <w:lvlText w:val="●"/>
      <w:lvlJc w:val="left"/>
      <w:pPr>
        <w:ind w:left="720" w:hanging="360"/>
      </w:pPr>
    </w:lvl>
    <w:lvl w:ilvl="1" w:tplc="3492184C">
      <w:start w:val="1"/>
      <w:numFmt w:val="bullet"/>
      <w:lvlText w:val="○"/>
      <w:lvlJc w:val="left"/>
      <w:pPr>
        <w:ind w:left="1440" w:hanging="360"/>
      </w:pPr>
    </w:lvl>
    <w:lvl w:ilvl="2" w:tplc="7F9046EE">
      <w:start w:val="1"/>
      <w:numFmt w:val="bullet"/>
      <w:lvlText w:val="■"/>
      <w:lvlJc w:val="left"/>
      <w:pPr>
        <w:ind w:left="2160" w:hanging="360"/>
      </w:pPr>
    </w:lvl>
    <w:lvl w:ilvl="3" w:tplc="69FECE70">
      <w:start w:val="1"/>
      <w:numFmt w:val="bullet"/>
      <w:lvlText w:val="●"/>
      <w:lvlJc w:val="left"/>
      <w:pPr>
        <w:ind w:left="2880" w:hanging="360"/>
      </w:pPr>
    </w:lvl>
    <w:lvl w:ilvl="4" w:tplc="5E1813C6">
      <w:start w:val="1"/>
      <w:numFmt w:val="bullet"/>
      <w:lvlText w:val="○"/>
      <w:lvlJc w:val="left"/>
      <w:pPr>
        <w:ind w:left="3600" w:hanging="360"/>
      </w:pPr>
    </w:lvl>
    <w:lvl w:ilvl="5" w:tplc="FCB8B92E">
      <w:start w:val="1"/>
      <w:numFmt w:val="bullet"/>
      <w:lvlText w:val="■"/>
      <w:lvlJc w:val="left"/>
      <w:pPr>
        <w:ind w:left="4320" w:hanging="360"/>
      </w:pPr>
    </w:lvl>
    <w:lvl w:ilvl="6" w:tplc="A034838C">
      <w:start w:val="1"/>
      <w:numFmt w:val="bullet"/>
      <w:lvlText w:val="●"/>
      <w:lvlJc w:val="left"/>
      <w:pPr>
        <w:ind w:left="5040" w:hanging="360"/>
      </w:pPr>
    </w:lvl>
    <w:lvl w:ilvl="7" w:tplc="33AA7AAE">
      <w:start w:val="1"/>
      <w:numFmt w:val="bullet"/>
      <w:lvlText w:val="●"/>
      <w:lvlJc w:val="left"/>
      <w:pPr>
        <w:ind w:left="5760" w:hanging="360"/>
      </w:pPr>
    </w:lvl>
    <w:lvl w:ilvl="8" w:tplc="D60C4AA4">
      <w:start w:val="1"/>
      <w:numFmt w:val="bullet"/>
      <w:lvlText w:val="●"/>
      <w:lvlJc w:val="left"/>
      <w:pPr>
        <w:ind w:left="6480" w:hanging="360"/>
      </w:pPr>
    </w:lvl>
  </w:abstractNum>
  <w:abstractNum w:abstractNumId="1" w15:restartNumberingAfterBreak="0">
    <w:nsid w:val="15F76232"/>
    <w:multiLevelType w:val="hybridMultilevel"/>
    <w:tmpl w:val="C722FCB2"/>
    <w:lvl w:ilvl="0" w:tplc="BC440D04">
      <w:start w:val="1"/>
      <w:numFmt w:val="bullet"/>
      <w:lvlText w:val="—"/>
      <w:lvlJc w:val="left"/>
      <w:pPr>
        <w:ind w:left="460" w:hanging="280"/>
      </w:pPr>
      <w:rPr>
        <w:color w:val="2E75B6"/>
      </w:rPr>
    </w:lvl>
    <w:lvl w:ilvl="1" w:tplc="ABDC99CA">
      <w:numFmt w:val="decimal"/>
      <w:lvlText w:val=""/>
      <w:lvlJc w:val="left"/>
    </w:lvl>
    <w:lvl w:ilvl="2" w:tplc="5C48CE46">
      <w:numFmt w:val="decimal"/>
      <w:lvlText w:val=""/>
      <w:lvlJc w:val="left"/>
    </w:lvl>
    <w:lvl w:ilvl="3" w:tplc="F6F25004">
      <w:numFmt w:val="decimal"/>
      <w:lvlText w:val=""/>
      <w:lvlJc w:val="left"/>
    </w:lvl>
    <w:lvl w:ilvl="4" w:tplc="171855FC">
      <w:numFmt w:val="decimal"/>
      <w:lvlText w:val=""/>
      <w:lvlJc w:val="left"/>
    </w:lvl>
    <w:lvl w:ilvl="5" w:tplc="0270CF20">
      <w:numFmt w:val="decimal"/>
      <w:lvlText w:val=""/>
      <w:lvlJc w:val="left"/>
    </w:lvl>
    <w:lvl w:ilvl="6" w:tplc="9D88EDF4">
      <w:numFmt w:val="decimal"/>
      <w:lvlText w:val=""/>
      <w:lvlJc w:val="left"/>
    </w:lvl>
    <w:lvl w:ilvl="7" w:tplc="3AE6FAC6">
      <w:numFmt w:val="decimal"/>
      <w:lvlText w:val=""/>
      <w:lvlJc w:val="left"/>
    </w:lvl>
    <w:lvl w:ilvl="8" w:tplc="0060D57E">
      <w:numFmt w:val="decimal"/>
      <w:lvlText w:val=""/>
      <w:lvlJc w:val="left"/>
    </w:lvl>
  </w:abstractNum>
  <w:num w:numId="1" w16cid:durableId="367607175">
    <w:abstractNumId w:val="0"/>
    <w:lvlOverride w:ilvl="0">
      <w:startOverride w:val="1"/>
    </w:lvlOverride>
  </w:num>
  <w:num w:numId="2" w16cid:durableId="7703952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84B"/>
    <w:rsid w:val="00200864"/>
    <w:rsid w:val="00400DCF"/>
    <w:rsid w:val="005B1FBD"/>
    <w:rsid w:val="0067684B"/>
    <w:rsid w:val="00CF0F5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9CE27"/>
  <w15:docId w15:val="{075E29A0-2B63-4DDE-B7F1-071796612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20" w:after="160"/>
      <w:outlineLvl w:val="0"/>
    </w:pPr>
    <w:rPr>
      <w:rFonts w:ascii="Calibri" w:eastAsia="Calibri" w:hAnsi="Calibri" w:cs="Calibri"/>
      <w:b/>
      <w:bCs/>
      <w:color w:val="1F4E79"/>
      <w:sz w:val="30"/>
      <w:szCs w:val="30"/>
    </w:rPr>
  </w:style>
  <w:style w:type="paragraph" w:styleId="Titolo2">
    <w:name w:val="heading 2"/>
    <w:uiPriority w:val="9"/>
    <w:unhideWhenUsed/>
    <w:qFormat/>
    <w:pPr>
      <w:spacing w:before="240" w:after="120"/>
      <w:outlineLvl w:val="1"/>
    </w:pPr>
    <w:rPr>
      <w:rFonts w:ascii="Calibri" w:eastAsia="Calibri" w:hAnsi="Calibri" w:cs="Calibri"/>
      <w:b/>
      <w:bCs/>
      <w:color w:val="2E75B6"/>
      <w:sz w:val="25"/>
      <w:szCs w:val="25"/>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3255</Words>
  <Characters>18557</Characters>
  <Application>Microsoft Office Word</Application>
  <DocSecurity>0</DocSecurity>
  <Lines>154</Lines>
  <Paragraphs>43</Paragraphs>
  <ScaleCrop>false</ScaleCrop>
  <Company/>
  <LinksUpToDate>false</LinksUpToDate>
  <CharactersWithSpaces>21769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AURA — Autopoiesi computazionale debole</dc:title>
  <dc:creator>Marco Giuseppe Beozzi</dc:creator>
  <cp:lastModifiedBy>Marco Beozzi</cp:lastModifiedBy>
  <cp:revision>3</cp:revision>
  <dcterms:created xsi:type="dcterms:W3CDTF">2026-06-12T19:21:00Z</dcterms:created>
  <dcterms:modified xsi:type="dcterms:W3CDTF">2026-06-12T19:26:00Z</dcterms:modified>
</cp:coreProperties>
</file>