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Playbook Draft</w:t>
      </w:r>
    </w:p>
    <w:p>
      <w:pPr>
        <w:spacing w:after="240"/>
      </w:pPr>
      <w:r>
        <w:rPr>
          <w:i/>
          <w:iCs/>
          <w:color w:val="2E75B6"/>
          <w:sz w:val="26"/>
          <w:szCs w:val="26"/>
        </w:rPr>
        <w:t xml:space="preserve">AI Payments Compliance Assistant — my guideline for the MIT Sloan course</w:t>
      </w:r>
    </w:p>
    <w:p>
      <w:pPr>
        <w:spacing w:after="120"/>
      </w:pPr>
      <w:r>
        <w:t xml:space="preserve">This is a working draft, not the final MIT playbook. It's meant to give me a structure to start from, so I'm not showing up empty-handed in week 1. I'll fill it in and adjust it using whatever frameworks and templates the course gives us each week. The parts in [brackets] are things I still need to fill in with real numbers or details, anonymized where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E6F1" w:sz="1"/>
              <w:left w:val="single" w:color="2E75B6" w:sz="24"/>
              <w:bottom w:val="single" w:color="DCE6F1" w:sz="1"/>
              <w:right w:val="single" w:color="DCE6F1" w:sz="1"/>
            </w:tcBorders>
            <w:shd w:fill="DCE6F1" w:val="clear"/>
            <w:tcMar>
              <w:top w:type="dxa" w:w="120"/>
              <w:left w:type="dxa" w:w="200"/>
              <w:bottom w:type="dxa" w:w="120"/>
              <w:right w:type="dxa" w:w="200"/>
            </w:tcMar>
          </w:tcPr>
          <w:p>
            <w:pPr>
              <w:spacing w:after="60"/>
            </w:pPr>
            <w:r>
              <w:rPr>
                <w:b/>
                <w:bCs/>
                <w:color w:val="2E75B6"/>
                <w:sz w:val="22"/>
                <w:szCs w:val="22"/>
              </w:rPr>
              <w:t xml:space="preserve">How I'm planning to use this draft</w:t>
            </w:r>
          </w:p>
          <w:p>
            <w:pPr>
              <w:pStyle w:val="ListParagraph"/>
              <w:numPr>
                <w:ilvl w:val="0"/>
                <w:numId w:val="2"/>
              </w:numPr>
              <w:spacing w:after="60"/>
            </w:pPr>
            <w:r>
              <w:rPr>
                <w:sz w:val="20"/>
                <w:szCs w:val="20"/>
              </w:rPr>
              <w:t xml:space="preserve">I don't need everything filled in before the course starts. This is just a starting point, and I expect the course to change how some of it is structured.</w:t>
            </w:r>
          </w:p>
          <w:p>
            <w:pPr>
              <w:pStyle w:val="ListParagraph"/>
              <w:numPr>
                <w:ilvl w:val="0"/>
                <w:numId w:val="2"/>
              </w:numPr>
              <w:spacing w:after="60"/>
            </w:pPr>
            <w:r>
              <w:rPr>
                <w:sz w:val="20"/>
                <w:szCs w:val="20"/>
              </w:rPr>
              <w:t xml:space="preserve">Whenever the course introduces its own governance framework or template, I'll swap it in or build on top of what's here.</w:t>
            </w:r>
          </w:p>
          <w:p>
            <w:pPr>
              <w:pStyle w:val="ListParagraph"/>
              <w:numPr>
                <w:ilvl w:val="0"/>
                <w:numId w:val="2"/>
              </w:numPr>
              <w:spacing w:after="60"/>
            </w:pPr>
            <w:r>
              <w:rPr>
                <w:sz w:val="20"/>
                <w:szCs w:val="20"/>
              </w:rPr>
              <w:t xml:space="preserve">I'm keeping this as a living document, since it will also become the basis for my portfolio case study later.</w:t>
            </w:r>
          </w:p>
        </w:tc>
      </w:tr>
    </w:tbl>
    <w:p>
      <w:pPr>
        <w:pStyle w:val="Heading2"/>
      </w:pPr>
      <w:r>
        <w:t xml:space="preserve">The regulatory change I'm using as my example</w:t>
      </w:r>
    </w:p>
    <w:p>
      <w:pPr>
        <w:spacing w:after="120"/>
      </w:pPr>
      <w:r>
        <w:t xml:space="preserve">I picked a real, public regulatory change that's actually happening right now, instead of making one up: starting 15 November 2026, the European Payments Council (EPC) and SWIFT will stop accepting fully unstructured postal addresses in SEPA payment messages and SWIFT CBPR+ flows. Payments will need a hybrid format (Town Name and Country Code mandatory, plus up to two free-text lines) or a fully structured one (Street Name, Building Number, Post Code, Town Name, Country Code, each its own field). Using something real and checkable gives this playbook more weight, and it also means I'm not relying on any confidential data from a past employer.</w:t>
      </w:r>
    </w:p>
    <w:p>
      <w:pPr>
        <w:pStyle w:val="Heading2"/>
      </w:pPr>
      <w:r>
        <w:t xml:space="preserve">Table of contents</w:t>
      </w:r>
    </w:p>
    <w:p>
      <w:pPr>
        <w:pStyle w:val="ListParagraph"/>
        <w:numPr>
          <w:ilvl w:val="0"/>
          <w:numId w:val="2"/>
        </w:numPr>
        <w:spacing w:after="60"/>
      </w:pPr>
      <w:r>
        <w:t xml:space="preserve">Executive summary</w:t>
      </w:r>
    </w:p>
    <w:p>
      <w:pPr>
        <w:pStyle w:val="ListParagraph"/>
        <w:numPr>
          <w:ilvl w:val="0"/>
          <w:numId w:val="2"/>
        </w:numPr>
        <w:spacing w:after="60"/>
      </w:pPr>
      <w:r>
        <w:t xml:space="preserve">1. Context and business process ("as-is" state), incl. 1.6 Market precedent</w:t>
      </w:r>
    </w:p>
    <w:p>
      <w:pPr>
        <w:pStyle w:val="ListParagraph"/>
        <w:numPr>
          <w:ilvl w:val="0"/>
          <w:numId w:val="2"/>
        </w:numPr>
        <w:spacing w:after="60"/>
      </w:pPr>
      <w:r>
        <w:t xml:space="preserve">2. Stakeholder map, incl. 2.2 How roles change</w:t>
      </w:r>
    </w:p>
    <w:p>
      <w:pPr>
        <w:pStyle w:val="ListParagraph"/>
        <w:numPr>
          <w:ilvl w:val="0"/>
          <w:numId w:val="2"/>
        </w:numPr>
        <w:spacing w:after="60"/>
      </w:pPr>
      <w:r>
        <w:t xml:space="preserve">3. Proposed agentic workflow ("to-be" state)</w:t>
      </w:r>
    </w:p>
    <w:p>
      <w:pPr>
        <w:pStyle w:val="ListParagraph"/>
        <w:numPr>
          <w:ilvl w:val="0"/>
          <w:numId w:val="2"/>
        </w:numPr>
        <w:spacing w:after="60"/>
      </w:pPr>
      <w:r>
        <w:t xml:space="preserve">4. Design alternatives considered, incl. 4.4 Build vs. buy</w:t>
      </w:r>
    </w:p>
    <w:p>
      <w:pPr>
        <w:pStyle w:val="ListParagraph"/>
        <w:numPr>
          <w:ilvl w:val="0"/>
          <w:numId w:val="2"/>
        </w:numPr>
        <w:spacing w:after="60"/>
      </w:pPr>
      <w:r>
        <w:t xml:space="preserve">5. Governance and risk management, incl. 5.2 Confidence calibration</w:t>
      </w:r>
    </w:p>
    <w:p>
      <w:pPr>
        <w:pStyle w:val="ListParagraph"/>
        <w:numPr>
          <w:ilvl w:val="0"/>
          <w:numId w:val="2"/>
        </w:numPr>
        <w:spacing w:after="60"/>
      </w:pPr>
      <w:r>
        <w:t xml:space="preserve">6. Tool vs. Teammate positioning</w:t>
      </w:r>
    </w:p>
    <w:p>
      <w:pPr>
        <w:pStyle w:val="ListParagraph"/>
        <w:numPr>
          <w:ilvl w:val="0"/>
          <w:numId w:val="2"/>
        </w:numPr>
        <w:spacing w:after="60"/>
      </w:pPr>
      <w:r>
        <w:t xml:space="preserve">7. Incident response — failure scenario</w:t>
      </w:r>
    </w:p>
    <w:p>
      <w:pPr>
        <w:pStyle w:val="ListParagraph"/>
        <w:numPr>
          <w:ilvl w:val="0"/>
          <w:numId w:val="2"/>
        </w:numPr>
        <w:spacing w:after="60"/>
      </w:pPr>
      <w:r>
        <w:t xml:space="preserve">8. Success metrics and evaluation plan</w:t>
      </w:r>
    </w:p>
    <w:p>
      <w:pPr>
        <w:pStyle w:val="ListParagraph"/>
        <w:numPr>
          <w:ilvl w:val="0"/>
          <w:numId w:val="2"/>
        </w:numPr>
        <w:spacing w:after="60"/>
      </w:pPr>
      <w:r>
        <w:t xml:space="preserve">9. Business case</w:t>
      </w:r>
    </w:p>
    <w:p>
      <w:pPr>
        <w:pStyle w:val="ListParagraph"/>
        <w:numPr>
          <w:ilvl w:val="0"/>
          <w:numId w:val="2"/>
        </w:numPr>
        <w:spacing w:after="60"/>
      </w:pPr>
      <w:r>
        <w:t xml:space="preserve">10. Implementation roadmap</w:t>
      </w:r>
    </w:p>
    <w:p>
      <w:pPr>
        <w:pStyle w:val="ListParagraph"/>
        <w:numPr>
          <w:ilvl w:val="0"/>
          <w:numId w:val="2"/>
        </w:numPr>
        <w:spacing w:after="60"/>
      </w:pPr>
      <w:r>
        <w:t xml:space="preserve">11. Change management and adoption, incl. 11.4 Incentives, power, and sponsorship</w:t>
      </w:r>
    </w:p>
    <w:p>
      <w:pPr>
        <w:pStyle w:val="ListParagraph"/>
        <w:numPr>
          <w:ilvl w:val="0"/>
          <w:numId w:val="2"/>
        </w:numPr>
        <w:spacing w:after="60"/>
      </w:pPr>
      <w:r>
        <w:t xml:space="preserve">12. Limitations and lessons learned</w:t>
      </w:r>
    </w:p>
    <w:p>
      <w:pPr>
        <w:pStyle w:val="ListParagraph"/>
        <w:numPr>
          <w:ilvl w:val="0"/>
          <w:numId w:val="2"/>
        </w:numPr>
        <w:spacing w:after="60"/>
      </w:pPr>
      <w:r>
        <w:t xml:space="preserve">13. Next steps</w:t>
      </w:r>
    </w:p>
    <w:p>
      <w:pPr>
        <w:pStyle w:val="ListParagraph"/>
        <w:numPr>
          <w:ilvl w:val="0"/>
          <w:numId w:val="2"/>
        </w:numPr>
        <w:spacing w:after="60"/>
      </w:pPr>
      <w:r>
        <w:t xml:space="preserve">Appendix A — One-page Agentic AI Business Model Canvas</w:t>
      </w:r>
    </w:p>
    <w:p>
      <w:pPr>
        <w:pStyle w:val="ListParagraph"/>
        <w:numPr>
          <w:ilvl w:val="0"/>
          <w:numId w:val="2"/>
        </w:numPr>
        <w:spacing w:after="60"/>
      </w:pPr>
      <w:r>
        <w:t xml:space="preserve">Appendix B — Glossary</w:t>
      </w:r>
    </w:p>
    <w:p>
      <w:r>
        <w:br w:type="page"/>
      </w:r>
    </w:p>
    <w:p>
      <w:pPr>
        <w:pStyle w:val="Heading1"/>
      </w:pPr>
      <w:r>
        <w:t xml:space="preserve">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Field</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Business process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Reading SEPA/ISO 20022 structured address requirements and turning them into functional requirements, validation rules, and test cases.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Regulatory driver</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From 15 November 2026, EPC and SWIFT will ban fully unstructured postal addresses in SEPA and CBPR+ payment messages. This is a hard deadline, set externally, not something we can negotiate.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Proposed solution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One AI agent that takes a regulatory change or changelog and turns it into a draft: requirements, validation rules, test cases, release notes. A human always reviews and approves before any of it reaches engineering.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Positioning</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Tool, not teammate. The agent writes the draft, a human compliance specialist makes the call. No autonomous action in production, at any point, in this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Expected value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Faster first drafts ahead of a hard deadline, so the specialist spends less time on transcription and more time on the things that actually need judgment, like edge cases and escalations.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Key risk and mitigation</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The agent could hallucinate or miss something. I'm handling this with a mandatory human checkpoint, a confidence score on every output, and an incident response plan (Section 7) for when something still slips through.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Rollout approach</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Phased: validate the prompt first, pilot it on historical scenarios, run it in shadow mode on a real change, then move to supervised production use (Section 10).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Status of this document</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Working draft for the MIT Sloan "Implementing Agentic AI" course. I've left parts of it open on purpose, to refine using the course's own frameworks. Not a finished deliverable.</w:t>
            </w:r>
          </w:p>
        </w:tc>
      </w:tr>
    </w:tbl>
    <w:p>
      <w:r>
        <w:br w:type="page"/>
      </w:r>
    </w:p>
    <w:p>
      <w:r>
        <w:br w:type="page"/>
      </w:r>
    </w:p>
    <w:p>
      <w:pPr>
        <w:pStyle w:val="Heading1"/>
      </w:pPr>
      <w:r>
        <w:t xml:space="preserve">1. Context and business process ("as-is" state)</w:t>
      </w:r>
    </w:p>
    <w:p>
      <w:pPr>
        <w:pStyle w:val="Heading2"/>
      </w:pPr>
      <w:r>
        <w:t xml:space="preserve">1.1 Process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Field</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Process name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Interpreting and implementing SEPA/ISO 20022 structured address requirements into functional requirements, validation rules, and test cases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Regulatory trigger</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From 15 November 2026, the European Payments Council (EPC) and SWIFT will no longer accept fully unstructured postal addresses in SEPA payment messages and SWIFT CBPR+ flows. Today, addresses are often carried as two free-text lines of up to 70 characters; from the deadline, this is banned. Payments must use either a hybrid format (minimum: Town Name and Country Code in dedicated structured fields, plus up to two free-text lines for the rest) or a fully structured format (Street Name, Building Number, Post Code, Town Name, and Country Code each in dedicated, machine-readable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Area/function where it occurs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 Product / Engineering — typically a cross-functional effort between a payments compliance specialist who interprets the rule change and a product/engineering team that implements it in the platform.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Frequency</w:t>
            </w:r>
          </w:p>
        </w:tc>
        <w:tc>
          <w:tcPr>
            <w:tcW w:type="dxa" w:w="6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Large structural changes like this one are infrequent (roughly once every 1-3 years for a major SEPA/ISO 20022 update), but smaller scheme-rulebook updates and clarifications occur multiple times per year, each requiring a similar (if smaller-scale) interpretation-to-requirements cycle.</w:t>
            </w:r>
          </w:p>
        </w:tc>
      </w:tr>
    </w:tbl>
    <w:p>
      <w:pPr>
        <w:pStyle w:val="Heading2"/>
      </w:pPr>
      <w:r>
        <w:t xml:space="preserve">1.2 Description of the current process</w:t>
      </w:r>
    </w:p>
    <w:p>
      <w:pPr>
        <w:spacing w:after="120"/>
      </w:pPr>
      <w:r>
        <w:t xml:space="preserve">This is roughly how this kind of change gets handled today, without any AI help:</w:t>
      </w:r>
    </w:p>
    <w:p>
      <w:pPr>
        <w:pStyle w:val="ListParagraph"/>
        <w:numPr>
          <w:ilvl w:val="0"/>
          <w:numId w:val="3"/>
        </w:numPr>
        <w:spacing w:after="60"/>
      </w:pPr>
      <w:r>
        <w:t xml:space="preserve">A compliance/payments specialist hears about the regulatory change, usually through EPC/SWIFT bulletins, bank notifications, or industry news.</w:t>
      </w:r>
    </w:p>
    <w:p>
      <w:pPr>
        <w:pStyle w:val="ListParagraph"/>
        <w:numPr>
          <w:ilvl w:val="0"/>
          <w:numId w:val="3"/>
        </w:numPr>
        <w:spacing w:after="60"/>
      </w:pPr>
      <w:r>
        <w:t xml:space="preserve">They read through the rulebook and figure out manually which fields, message types, and payment flows are affected (SEPA Credit Transfer, cross-border CBPR+ messages, etc.).</w:t>
      </w:r>
    </w:p>
    <w:p>
      <w:pPr>
        <w:pStyle w:val="ListParagraph"/>
        <w:numPr>
          <w:ilvl w:val="0"/>
          <w:numId w:val="3"/>
        </w:numPr>
        <w:spacing w:after="60"/>
      </w:pPr>
      <w:r>
        <w:t xml:space="preserve">They write the functional requirements by hand. Something like: "Town Name and Country Code become mandatory structured fields; free-text address lines limited to 70 characters and capped at two lines for the hybrid format."</w:t>
      </w:r>
    </w:p>
    <w:p>
      <w:pPr>
        <w:pStyle w:val="ListParagraph"/>
        <w:numPr>
          <w:ilvl w:val="0"/>
          <w:numId w:val="3"/>
        </w:numPr>
        <w:spacing w:after="60"/>
      </w:pPr>
      <w:r>
        <w:t xml:space="preserve">They work out validation rules and edge cases based on their own experience. What happens if Town Name is missing? What about very long street names?</w:t>
      </w:r>
    </w:p>
    <w:p>
      <w:pPr>
        <w:pStyle w:val="ListParagraph"/>
        <w:numPr>
          <w:ilvl w:val="0"/>
          <w:numId w:val="3"/>
        </w:numPr>
        <w:spacing w:after="60"/>
      </w:pPr>
      <w:r>
        <w:t xml:space="preserve">They draft test cases, but often not a complete set, just because there isn't enough time.</w:t>
      </w:r>
    </w:p>
    <w:p>
      <w:pPr>
        <w:pStyle w:val="ListParagraph"/>
        <w:numPr>
          <w:ilvl w:val="0"/>
          <w:numId w:val="3"/>
        </w:numPr>
        <w:spacing w:after="60"/>
      </w:pPr>
      <w:r>
        <w:t xml:space="preserve">Requirements get handed to engineering. Usually there are a few rounds of going back and forth, because some edge case got missed the first time around.</w:t>
      </w:r>
    </w:p>
    <w:p>
      <w:pPr>
        <w:pStyle w:val="ListParagraph"/>
        <w:numPr>
          <w:ilvl w:val="0"/>
          <w:numId w:val="3"/>
        </w:numPr>
        <w:spacing w:after="60"/>
      </w:pPr>
      <w:r>
        <w:t xml:space="preserve">Release notes and customer communication get written manually, close to the deadline, when there's the least time to do it carefully.</w:t>
      </w:r>
    </w:p>
    <w:p>
      <w:pPr>
        <w:pStyle w:val="Heading2"/>
      </w:pPr>
      <w:r>
        <w:t xml:space="preserve">1.3 Why this is harder than it looks</w:t>
      </w:r>
    </w:p>
    <w:p>
      <w:pPr>
        <w:spacing w:after="120"/>
      </w:pPr>
      <w:r>
        <w:t xml:space="preserve">If you just read the rule on the surface ("add a few mandatory fields"), it sounds simple. It isn't. From working on similar structured-data mandates before (SAF-T, QR-bill), here's what actually makes this harder than it first appears:</w:t>
      </w:r>
    </w:p>
    <w:p>
      <w:pPr>
        <w:pStyle w:val="ListParagraph"/>
        <w:numPr>
          <w:ilvl w:val="0"/>
          <w:numId w:val="2"/>
        </w:numPr>
        <w:spacing w:after="60"/>
      </w:pPr>
      <w:r>
        <w:t xml:space="preserve">Message-type fan-out: the same address rule plays out differently across SEPA Credit Transfer (pacs.008), SEPA Direct Debit (pacs.003), and cross-border CBPR+ messages. Each one has its own ISO 20022 schema version and validation engine, so one rule change actually touches several message specs, not just one.</w:t>
      </w:r>
    </w:p>
    <w:p>
      <w:pPr>
        <w:pStyle w:val="ListParagraph"/>
        <w:numPr>
          <w:ilvl w:val="0"/>
          <w:numId w:val="2"/>
        </w:numPr>
        <w:spacing w:after="60"/>
      </w:pPr>
      <w:r>
        <w:t xml:space="preserve">Counterparty data quality: payments coming in from correspondent banks or older systems might still show up with unstructured legacy addresses during the transition. The system needs to know what to do with that, reject it, repair it, or flag it for manual handling, and this matters for incoming payments too, not just the ones we create.</w:t>
      </w:r>
    </w:p>
    <w:p>
      <w:pPr>
        <w:pStyle w:val="ListParagraph"/>
        <w:numPr>
          <w:ilvl w:val="0"/>
          <w:numId w:val="2"/>
        </w:numPr>
        <w:spacing w:after="60"/>
      </w:pPr>
      <w:r>
        <w:t xml:space="preserve">Backward compatibility: existing customer and beneficiary records often still have free-text addresses. Someone has to decide how (or whether) to migrate or enrich that data, since this isn't only about new payments going forward.</w:t>
      </w:r>
    </w:p>
    <w:p>
      <w:pPr>
        <w:pStyle w:val="ListParagraph"/>
        <w:numPr>
          <w:ilvl w:val="0"/>
          <w:numId w:val="2"/>
        </w:numPr>
        <w:spacing w:after="60"/>
      </w:pPr>
      <w:r>
        <w:t xml:space="preserve">Multi-market differences: postal conventions aren't the same across SEPA countries. Building number sometimes comes before the street name, sometimes after; some countries barely use postal codes. That affects how "Street Name" and "Building Number" should even be parsed per country.</w:t>
      </w:r>
    </w:p>
    <w:p>
      <w:pPr>
        <w:pStyle w:val="ListParagraph"/>
        <w:numPr>
          <w:ilvl w:val="0"/>
          <w:numId w:val="2"/>
        </w:numPr>
        <w:spacing w:after="60"/>
      </w:pPr>
      <w:r>
        <w:t xml:space="preserve">Downstream effects: structured address fields probably feed into other compliance processes too, like sanctions screening or AML address checks. So a format change here can ripple out further than just the payment message itself.</w:t>
      </w:r>
    </w:p>
    <w:p>
      <w:pPr>
        <w:pStyle w:val="Heading2"/>
      </w:pPr>
      <w:r>
        <w:t xml:space="preserve">1.4 Affected message types and systems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13"/>
        <w:gridCol w:w="2713"/>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Message / system</w:t>
            </w:r>
          </w:p>
        </w:tc>
        <w:tc>
          <w:tcPr>
            <w:tcW w:type="dxa" w:w="37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What changes</w:t>
            </w:r>
          </w:p>
        </w:tc>
        <w:tc>
          <w:tcPr>
            <w:tcW w:type="dxa" w:w="27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Relative complexity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SEPA Credit Transfer (pacs.008)</w:t>
            </w:r>
          </w:p>
        </w:tc>
        <w:tc>
          <w:tcPr>
            <w:tcW w:type="dxa" w:w="3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Address fields move from unstructured to hybrid/structured; validation engine must enforce Town Name + Country Code as mandatory</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Medium — well-documented schema, but high payment volume increases testing burden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SEPA Direct Debit (pacs.003 / mandate data)</w:t>
            </w:r>
          </w:p>
        </w:tc>
        <w:tc>
          <w:tcPr>
            <w:tcW w:type="dxa" w:w="37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Debtor/creditor address structure must align with the same rules; mandate data historically reused unstructured addresses</w:t>
            </w:r>
          </w:p>
        </w:tc>
        <w:tc>
          <w:tcPr>
            <w:tcW w:type="dxa" w:w="27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Medium-high — mandates are long-lived records, so migration of existing data is a bigger concern 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Cross-border / CBPR+ messages</w:t>
            </w:r>
          </w:p>
        </w:tc>
        <w:tc>
          <w:tcPr>
            <w:tcW w:type="dxa" w:w="3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Same structural requirement, but interacts with correspondent banking chains that may not yet be compliant</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High — requires defined fallback behavior for non-compliant counterparties during the transition period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Customer/beneficiary master data</w:t>
            </w:r>
          </w:p>
        </w:tc>
        <w:tc>
          <w:tcPr>
            <w:tcW w:type="dxa" w:w="37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Existing stored addresses need an enrichment or migration path to structured fields</w:t>
            </w:r>
          </w:p>
        </w:tc>
        <w:tc>
          <w:tcPr>
            <w:tcW w:type="dxa" w:w="27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High — touches core customer data, not just payment messages; affects multiple downstream systems</w:t>
            </w:r>
          </w:p>
        </w:tc>
      </w:tr>
    </w:tbl>
    <w:p>
      <w:pPr>
        <w:pStyle w:val="Heading2"/>
      </w:pPr>
      <w:r>
        <w:t xml:space="preserve">1.5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Pain point</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Long lead time between rulebook publication and requirements being engineering-ready, multiplied across several affected message types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Risk of missing the 15 November 2026 deadline for one or more message flows, which can lead to rejected or delayed payments for end customers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Heavy reliance on the tacit knowledge of 1-2 payments compliance specialists who understand both the regulatory text and the message schemas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Operational/key-person risk; inconsistent quality if interpretation is rushed or the specialist is unavailable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Incomplete edge-case coverage in the first draft of requirements (e.g. hybrid vs. fully structured handling, partial address data, non-Latin character sets, legacy counterparty data)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Bugs and rework discovered late, during testing or — worse — after go-live, increasing the risk of payment rejections in production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Manual drafting of customer-facing release notes under deadline pressure, often by the same specialist who wrote the requirements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Risk of unclear or incomplete communication to customers/partners about what changes on their 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No single source of truth connecting the regulatory text, the requirements, and the test cases — they tend to live in separate documents that drift out of sync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Difficult to audit "why was this requirement written this way" months later, and harder to onboard new team members to the rationale</w:t>
            </w:r>
          </w:p>
        </w:tc>
      </w:tr>
    </w:tbl>
    <w:p>
      <w:pPr>
        <w:pStyle w:val="Heading2"/>
      </w:pPr>
      <w:r>
        <w:t xml:space="preserve">1.6 Market precedent</w:t>
      </w:r>
    </w:p>
    <w:p>
      <w:pPr>
        <w:spacing w:after="120"/>
      </w:pPr>
      <w:r>
        <w:t xml:space="preserve">Financial institutions are already moving past pilots into actual production with agentic AI in similar compliance workflows, fraud detection, AML, credit underwriting are the most common examples, and usually under the same constraint I'm assuming here: a human checks anything that has regulatory weight before it goes anywhere. There are established RegTech vendors for the broader job of tracking and alerting on new rules, but turning a specific regulatory text directly into draft requirements and test cases, the narrow step this playbook is about, doesn't seem to be an off-the-shelf product yet. That's part of why I think this is a reasonable thing to build rather than buy (more on that in Section 4.4).</w:t>
      </w:r>
    </w:p>
    <w:p>
      <w:r>
        <w:br w:type="page"/>
      </w:r>
    </w:p>
    <w:p>
      <w:pPr>
        <w:pStyle w:val="Heading1"/>
      </w:pPr>
      <w:r>
        <w:t xml:space="preserve">2. Stakeholder map</w:t>
      </w:r>
    </w:p>
    <w:p>
      <w:pPr>
        <w:spacing w:after="120"/>
      </w:pPr>
      <w:r>
        <w:t xml:space="preserve">Who is affected by this regulatory change, and who needs to be involved if we bring an AI-assisted workflow into the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Stakeholder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Role in this process</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Relationship to the AI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Payments Compliance Specialist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Interprets regulatory text today; primary author of requirements and test cases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Primary user of the tool; performs the human checkpoint approval; main source of feedback for prompt refinement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Product Manager / Product Owner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Prioritizes the implementation, owns the roadmap, communicates with leadership</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Reviews the agent's output for product framing (e.g. customer-facing release notes); approves rollout phases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Engineering / Tech Lead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Implements the validation logic and message-schema changes in the payments platform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Receives approved requirements as input; provides feedback on whether requirements were implementation-ready or needed rework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Legal / Regulatory Affairs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Confirms interpretation of ambiguous rule text; liaises with EPC/SWIFT or local regulators if needed</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Escalation point whenever the agent flags an ambiguity with medium/low 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QA / Test Engineering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Validates that implemented behavior matches requirements; runs end-to-end payment testing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Consumes the agent-generated test cases as a starting point, extends them with platform-specific tests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Customer Support / Customer Success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Handles customer questions when payments are rejected or when address data needs to be corrected</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Consumes the agent-generated release notes / customer communication drafts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Senior leadership / Risk Committee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Accountable for regulatory compliance and for AI governance decisions at the organizational level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Approves the pilot scope, the human-checkpoint design, and any expansion of the agent's autonomy</w:t>
            </w:r>
          </w:p>
        </w:tc>
      </w:tr>
    </w:tbl>
    <w:p>
      <w:pPr>
        <w:pStyle w:val="Heading2"/>
      </w:pPr>
      <w:r>
        <w:t xml:space="preserve">2.1 RACI summary for the AI-assisted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500"/>
        <w:gridCol w:w="1500"/>
        <w:gridCol w:w="1700"/>
      </w:tblGrid>
      <w:tr>
        <w:trPr>
          <w:tblHeader/>
        </w:trPr>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Activity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Accountable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Consulted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Informed</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Define golden-set scenarios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Specialist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Product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Engineering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w:t>
            </w:r>
          </w:p>
        </w:tc>
      </w:tr>
      <w:tr>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Approve agent output (checkpoint)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Specialist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Specialist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Legal (if low confidence)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Product Owner</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Implement requirements in 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Engineering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Tech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Specialist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Product Owner</w:t>
            </w:r>
          </w:p>
        </w:tc>
      </w:tr>
      <w:tr>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Escalate ambiguous regulatory text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Specialist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Legal/Regulatory Affairs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Product Owner</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Approve pilot expansion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Product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Risk Committee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Engineering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Customer Support</w:t>
            </w:r>
          </w:p>
        </w:tc>
      </w:tr>
    </w:tbl>
    <w:p>
      <w:pPr>
        <w:pStyle w:val="Heading2"/>
      </w:pPr>
      <w:r>
        <w:t xml:space="preserve">2.2 How the roles actually change, not just who does what</w:t>
      </w:r>
    </w:p>
    <w:p>
      <w:pPr>
        <w:spacing w:after="120"/>
      </w:pPr>
      <w:r>
        <w:t xml:space="preserve">A RACI table tells you who's involved, but it doesn't really show how the job itself changes. Worth saying this out loud instead of assuming the role description stays the same. The Compliance Specialist moves more toward reviewing and judging (checking the agent's drafts, catching subtle mistakes, deciding when to escalate) and less toward writing requirements from scratch. That's a different skill, really, it's about reading critically and knowing how much to trust a tool, not about how fast someone can draft something. This should show up in how the role gets described and evaluated, not just treated as the same job with one extra tool bolted on.</w:t>
      </w:r>
    </w:p>
    <w:p>
      <w:pPr>
        <w:pStyle w:val="Heading1"/>
      </w:pPr>
      <w:r>
        <w:t xml:space="preserve">3. Proposed agentic workflow ("to-be" state)</w:t>
      </w:r>
    </w:p>
    <w:p>
      <w:pPr>
        <w:pStyle w:val="Heading2"/>
      </w:pPr>
      <w:r>
        <w:t xml:space="preserve">3.1 Overview in 3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Component</w:t>
            </w:r>
          </w:p>
        </w:tc>
        <w:tc>
          <w:tcPr>
            <w:tcW w:type="dxa" w:w="7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Input</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Text of a regulatory change or payments changelog (pasted or uploaded by the user via a form).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Agentic processing</w:t>
            </w:r>
          </w:p>
        </w:tc>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An agent (LLM via API) analyzes the text and generates: change summary, functional requirements, validation rules, test cases, edge cases, risks/ambiguities, and a release notes draft — returning an explicit confidence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Output + human checkpoint</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Structured result presented to a compliance officer/product owner for review and approval before being passed on to the engineering team.</w:t>
            </w:r>
          </w:p>
        </w:tc>
      </w:tr>
    </w:tbl>
    <w:p>
      <w:pPr>
        <w:pStyle w:val="Heading2"/>
      </w:pPr>
      <w:r>
        <w:t xml:space="preserve">3.2 A worked example — sample input and what I'd expect back</w:t>
      </w:r>
    </w:p>
    <w:p>
      <w:pPr>
        <w:spacing w:after="120"/>
      </w:pPr>
      <w:r>
        <w:rPr>
          <w:i/>
          <w:iCs/>
          <w:color w:val="595959"/>
          <w:sz w:val="20"/>
          <w:szCs w:val="20"/>
        </w:rPr>
        <w:t xml:space="preserve">Sample input (the text someone would paste into the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AFAFA" w:val="clear"/>
            <w:tcMar>
              <w:top w:type="dxa" w:w="160"/>
              <w:left w:type="dxa" w:w="200"/>
              <w:bottom w:type="dxa" w:w="160"/>
              <w:right w:type="dxa" w:w="200"/>
            </w:tcMar>
          </w:tcPr>
          <w:p>
            <w:pPr>
              <w:spacing w:after="80"/>
            </w:pPr>
            <w:r>
              <w:rPr>
                <w:i/>
                <w:iCs/>
                <w:color w:val="595959"/>
                <w:sz w:val="20"/>
                <w:szCs w:val="20"/>
              </w:rPr>
              <w:t xml:space="preserve">"From 15 November 2026, EPC and SWIFT will no longer accept fully unstructured postal</w:t>
            </w:r>
          </w:p>
          <w:p>
            <w:pPr>
              <w:spacing w:after="80"/>
            </w:pPr>
            <w:r>
              <w:rPr>
                <w:i/>
                <w:iCs/>
                <w:color w:val="595959"/>
                <w:sz w:val="20"/>
                <w:szCs w:val="20"/>
              </w:rPr>
              <w:t xml:space="preserve">addresses in SEPA and CBPR+ payment messages. Payments must use either a hybrid format</w:t>
            </w:r>
          </w:p>
          <w:p>
            <w:pPr>
              <w:spacing w:after="80"/>
            </w:pPr>
            <w:r>
              <w:rPr>
                <w:i/>
                <w:iCs/>
                <w:color w:val="595959"/>
                <w:sz w:val="20"/>
                <w:szCs w:val="20"/>
              </w:rPr>
              <w:t xml:space="preserve">(Town Name and Country Code mandatory in structured fields, plus up to two free-text</w:t>
            </w:r>
          </w:p>
          <w:p>
            <w:pPr>
              <w:spacing w:after="80"/>
            </w:pPr>
            <w:r>
              <w:rPr>
                <w:i/>
                <w:iCs/>
                <w:color w:val="595959"/>
                <w:sz w:val="20"/>
                <w:szCs w:val="20"/>
              </w:rPr>
              <w:t xml:space="preserve">address lines of max. 70 characters each) or a fully structured format (Street Name,</w:t>
            </w:r>
          </w:p>
          <w:p>
            <w:pPr>
              <w:spacing w:after="0"/>
            </w:pPr>
            <w:r>
              <w:rPr>
                <w:i/>
                <w:iCs/>
                <w:color w:val="595959"/>
                <w:sz w:val="20"/>
                <w:szCs w:val="20"/>
              </w:rPr>
              <w:t xml:space="preserve">Building Number, Post Code, Town Name, Country Code each in dedicated fields)."</w:t>
            </w:r>
          </w:p>
        </w:tc>
      </w:tr>
    </w:tbl>
    <w:p>
      <w:pPr>
        <w:spacing w:after="120"/>
      </w:pPr>
      <w:r>
        <w:rPr>
          <w:i/>
          <w:iCs/>
          <w:color w:val="595959"/>
          <w:sz w:val="20"/>
          <w:szCs w:val="20"/>
        </w:rPr>
        <w:t xml:space="preserve">Expected output, shortened here (the agent would return the full JSON, see the prompt in Appendix A):</w:t>
      </w:r>
    </w:p>
    <w:p>
      <w:pPr>
        <w:pStyle w:val="ListParagraph"/>
        <w:numPr>
          <w:ilvl w:val="0"/>
          <w:numId w:val="2"/>
        </w:numPr>
        <w:spacing w:after="60"/>
      </w:pPr>
      <w:r>
        <w:t xml:space="preserve">Functional requirements: "Town Name field becomes mandatory and structured"; "Country Code field becomes mandatory and structured"; "system must support both Hybrid and Fully Structured address modes"; "free-text address lines capped at 70 characters, max 2 lines, only used in Hybrid mode."</w:t>
      </w:r>
    </w:p>
    <w:p>
      <w:pPr>
        <w:pStyle w:val="ListParagraph"/>
        <w:numPr>
          <w:ilvl w:val="0"/>
          <w:numId w:val="2"/>
        </w:numPr>
        <w:spacing w:after="60"/>
      </w:pPr>
      <w:r>
        <w:t xml:space="preserve">Validation rules: "reject payment if Town Name or Country Code is empty"; "reject free-text address line exceeding 70 characters"; "reject if more than 2 free-text address lines are submitted."</w:t>
      </w:r>
    </w:p>
    <w:p>
      <w:pPr>
        <w:pStyle w:val="ListParagraph"/>
        <w:numPr>
          <w:ilvl w:val="0"/>
          <w:numId w:val="2"/>
        </w:numPr>
        <w:spacing w:after="60"/>
      </w:pPr>
      <w:r>
        <w:t xml:space="preserve">Test cases, as an example: fully structured address with all 5 fields filled in → accepted; hybrid address with just Town Name + Country Code → accepted; Town Name missing → rejected; free-text line of 75 characters → rejected.</w:t>
      </w:r>
    </w:p>
    <w:p>
      <w:pPr>
        <w:pStyle w:val="ListParagraph"/>
        <w:numPr>
          <w:ilvl w:val="0"/>
          <w:numId w:val="2"/>
        </w:numPr>
        <w:spacing w:after="60"/>
      </w:pPr>
      <w:r>
        <w:t xml:space="preserve">Edge case flagged: what happens with non-Latin characters in addresses (accented letters, Cyrillic, etc.) isn't covered in the source text. The agent should flag this as something legal/compliance needs to clarify, not guess at.</w:t>
      </w:r>
    </w:p>
    <w:p>
      <w:pPr>
        <w:pStyle w:val="ListParagraph"/>
        <w:numPr>
          <w:ilvl w:val="0"/>
          <w:numId w:val="2"/>
        </w:numPr>
        <w:spacing w:after="60"/>
      </w:pPr>
      <w:r>
        <w:t xml:space="preserve">Confidence level: medium. The core mandatory fields are pretty clear, but exactly how to handle partial or incomplete data isn't fully spelled out in the source text, so this needs checking against the actual scheme rulebook.</w:t>
      </w:r>
    </w:p>
    <w:p>
      <w:pPr>
        <w:pStyle w:val="Heading2"/>
      </w:pPr>
      <w:r>
        <w:t xml:space="preserve">3.3 Workflow diagram (written out for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AFAFA" w:val="clear"/>
            <w:tcMar>
              <w:top w:type="dxa" w:w="160"/>
              <w:left w:type="dxa" w:w="200"/>
              <w:bottom w:type="dxa" w:w="160"/>
              <w:right w:type="dxa" w:w="200"/>
            </w:tcMar>
          </w:tcPr>
          <w:p>
            <w:pPr>
              <w:spacing w:after="80"/>
            </w:pPr>
            <w:r>
              <w:rPr>
                <w:i/>
                <w:iCs/>
                <w:color w:val="595959"/>
                <w:sz w:val="20"/>
                <w:szCs w:val="20"/>
              </w:rPr>
              <w:t xml:space="preserve">[User submits text] → [Agent processes and structures output as JSON] →</w:t>
            </w:r>
          </w:p>
          <w:p>
            <w:pPr>
              <w:spacing w:after="80"/>
            </w:pPr>
            <w:r>
              <w:rPr>
                <w:i/>
                <w:iCs/>
                <w:color w:val="595959"/>
                <w:sz w:val="20"/>
                <w:szCs w:val="20"/>
              </w:rPr>
              <w:t xml:space="preserve">[Output saved to Sheet/Airtable with status "Pending"] →</w:t>
            </w:r>
          </w:p>
          <w:p>
            <w:pPr>
              <w:spacing w:after="80"/>
            </w:pPr>
            <w:r>
              <w:rPr>
                <w:i/>
                <w:iCs/>
                <w:color w:val="595959"/>
                <w:sz w:val="20"/>
                <w:szCs w:val="20"/>
              </w:rPr>
              <w:t xml:space="preserve">[Human reviews and approves/rejects/edits] → [Approved requirements move to engineering]</w:t>
            </w:r>
          </w:p>
          <w:p>
            <w:pPr>
              <w:spacing w:after="80"/>
            </w:pPr>
            <w:r>
              <w:rPr>
                <w:i/>
                <w:iCs/>
                <w:color w:val="595959"/>
                <w:sz w:val="20"/>
                <w:szCs w:val="20"/>
              </w:rPr>
              <w:t xml:space="preserve"/>
            </w:r>
          </w:p>
          <w:p>
            <w:pPr>
              <w:spacing w:after="80"/>
            </w:pPr>
            <w:r>
              <w:rPr>
                <w:i/>
                <w:iCs/>
                <w:color w:val="595959"/>
                <w:sz w:val="20"/>
                <w:szCs w:val="20"/>
              </w:rPr>
              <w:t xml:space="preserve">(I'll turn this into an actual diagram before the final submission, using whatever tool</w:t>
            </w:r>
          </w:p>
          <w:p>
            <w:pPr>
              <w:spacing w:after="0"/>
            </w:pPr>
            <w:r>
              <w:rPr>
                <w:i/>
                <w:iCs/>
                <w:color w:val="595959"/>
                <w:sz w:val="20"/>
                <w:szCs w:val="20"/>
              </w:rPr>
              <w:t xml:space="preserve">the course recommends, or just PowerPoint/Miro if not.)</w:t>
            </w:r>
          </w:p>
        </w:tc>
      </w:tr>
    </w:tbl>
    <w:p>
      <w:pPr>
        <w:pStyle w:val="Heading2"/>
      </w:pPr>
      <w:r>
        <w:t xml:space="preserve">3.4 What the agent handles vs. what stays human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Agent handles</w:t>
            </w:r>
          </w:p>
        </w:tc>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Stays human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First read-through and pulling out requirements from the regulatory text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Final decision to approve the requirements</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Drafting candidate test cases and edge cases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Checking that the test cases actually cover real business risk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Release notes draft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Making sure the tone and content are right for customers</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Flagging anything unclear in the original text</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Deciding how to actually resolve that ambiguity (e.g. who to ask)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Checking the change against previous rulebook updates for consistency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Deciding whether a past precedent really applies here</w:t>
            </w:r>
          </w:p>
        </w:tc>
      </w:tr>
    </w:tbl>
    <w:p>
      <w:pPr>
        <w:pStyle w:val="Heading2"/>
      </w:pPr>
      <w:r>
        <w:t xml:space="preserve">3.5 A more advanced version, with multiple agents</w:t>
      </w:r>
    </w:p>
    <w:p>
      <w:pPr>
        <w:spacing w:after="120"/>
      </w:pPr>
      <w:r>
        <w:t xml:space="preserve">The single-agent version above is where I'd start. It's simpler to govern and easier to evaluate. Once that's working well, it could be split into a few specialized sub-agents, which should give better quality and make it easier to audit each step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Sub-agent</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Extraction agent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Reads the raw regulatory text and writes a structured summary of what changed, fields, message types, deadlines, without drafting any requirements yet.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Requirements agent</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Takes that summary and writes the functional requirements and validation rules, tied to the specific message types affected.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Test design agent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Takes the requirements and writes test cases and edge cases, actively trying to break each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Risk agent</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Looks at everything the other three produced and flags anything ambiguous, missing, or inconsistent between the requirements and the tests.</w:t>
            </w:r>
          </w:p>
        </w:tc>
      </w:tr>
    </w:tbl>
    <w:p>
      <w:pPr>
        <w:spacing w:after="120"/>
      </w:pPr>
      <w:r>
        <w:rPr>
          <w:i/>
          <w:iCs/>
          <w:color w:val="595959"/>
          <w:sz w:val="20"/>
          <w:szCs w:val="20"/>
        </w:rPr>
        <w:t xml:space="preserve">I don't think this multi-agent version is needed for the MIT submission, but it's worth mentioning as where this could go next. It shows I've thought about how agentic systems grow past a single prompt.</w:t>
      </w:r>
    </w:p>
    <w:p>
      <w:r>
        <w:br w:type="page"/>
      </w:r>
    </w:p>
    <w:p>
      <w:pPr>
        <w:pStyle w:val="Heading1"/>
      </w:pPr>
      <w:r>
        <w:t xml:space="preserve">4. Design alternatives considered</w:t>
      </w:r>
    </w:p>
    <w:p>
      <w:pPr>
        <w:spacing w:after="120"/>
      </w:pPr>
      <w:r>
        <w:t xml:space="preserve">A playbook is more convincing when it shows what wasn't chosen, and why, not just the final decision. This section walks through the main alternatives I looked at before settling on what's in Section 3.</w:t>
      </w:r>
    </w:p>
    <w:p>
      <w:pPr>
        <w:pStyle w:val="Heading2"/>
      </w:pPr>
      <w:r>
        <w:t xml:space="preserve">4.1 Build approach: prompting vs. RAG vs. fine-tuning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13"/>
        <w:gridCol w:w="2513"/>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Approach</w:t>
            </w:r>
          </w:p>
        </w:tc>
        <w:tc>
          <w:tcPr>
            <w:tcW w:type="dxa" w:w="43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Assessment</w:t>
            </w:r>
          </w:p>
        </w:tc>
        <w:tc>
          <w:tcPr>
            <w:tcW w:type="dxa" w:w="2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Prompting only (chosen)</w:t>
            </w:r>
          </w:p>
        </w:tc>
        <w:tc>
          <w:tcPr>
            <w:tcW w:type="dxa" w:w="4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Good enough for this case. The regulatory text gets fed in directly, so the agent doesn't need to pull anything from a separate knowledge base. Quick to iterate on, no extra infrastructure needed.</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Selected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RAG (retrieval-augmented generation)</w:t>
            </w:r>
          </w:p>
        </w:tc>
        <w:tc>
          <w:tcPr>
            <w:tcW w:type="dxa" w:w="4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Would be useful if the tool had to go and find the right rulebook section by itself, from a big pile of regulations, instead of someone pasting it in. Adds real complexity (vector store, tuning the retrieval) that doesn't make sense for a first version.</w:t>
            </w:r>
          </w:p>
        </w:tc>
        <w:tc>
          <w:tcPr>
            <w:tcW w:type="dxa" w:w="2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Put off for later — maybe a v2, if the tool needs to search across many regulations on its 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Fine-tuning</w:t>
            </w:r>
          </w:p>
        </w:tc>
        <w:tc>
          <w:tcPr>
            <w:tcW w:type="dxa" w:w="4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Only really makes sense with a big, good-quality dataset of past regulatory-change-to-requirements examples, and that doesn't exist yet. Expensive and slow to iterate on compared to just prompting.</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Not doing this for now</w:t>
            </w:r>
          </w:p>
        </w:tc>
      </w:tr>
    </w:tbl>
    <w:p>
      <w:pPr>
        <w:pStyle w:val="Heading2"/>
      </w:pPr>
      <w:r>
        <w:t xml:space="preserve">4.2 Single agent vs. multi-agent, revisited</w:t>
      </w:r>
    </w:p>
    <w:p>
      <w:pPr>
        <w:spacing w:after="120"/>
      </w:pPr>
      <w:r>
        <w:t xml:space="preserve">As I mentioned in 3.5, I went with a single agent for the first version because it's easier to govern and to evaluate. One prompt is just simpler to test, version, and audit than four chained together. The multi-agent version is something I'm planning for later, not something I'm missing out on right now.</w:t>
      </w:r>
    </w:p>
    <w:p>
      <w:pPr>
        <w:pStyle w:val="Heading2"/>
      </w:pPr>
      <w:r>
        <w:t xml:space="preserve">4.3 Low-code orchestration vs. a custom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Option</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n8n / low-code orchestration (what I picked for the prototype)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Quicker to build and show. The visual flow is easy to explain to people who aren't technical. Good enough for the volume of regulatory changes a pilot would actually see.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Custom backend service (Python/Node)</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Would give more control over error handling, logging, and hooking into internal systems. Probably the right call if this moves toward production scale, but too much overhead for just validating the idea.</w:t>
            </w:r>
          </w:p>
        </w:tc>
      </w:tr>
    </w:tbl>
    <w:p>
      <w:pPr>
        <w:spacing w:after="120"/>
      </w:pPr>
      <w:r>
        <w:t xml:space="preserve">Decision: start with low-code to test whether the workflow and prompt actually work. Move to a custom backend later, if and when this gets approved for production (see Section 10).</w:t>
      </w:r>
    </w:p>
    <w:p>
      <w:pPr>
        <w:pStyle w:val="Heading2"/>
      </w:pPr>
      <w:r>
        <w:t xml:space="preserve">4.4 Build vs. buy</w:t>
      </w:r>
    </w:p>
    <w:p>
      <w:pPr>
        <w:spacing w:after="120"/>
      </w:pPr>
      <w:r>
        <w:t xml:space="preserve">Fair comparison should also weigh building this against just buying or extending an existing RegTech/compliance tool, instead of assuming we have to build it 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Option</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Buy — existing RegTech / regulatory-change-management platforms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There are already vendors in the payments/compliance space doing regulatory tracking and change management. They're generally good at tracking and alerting when something new comes out, but they don't really do the specific thing this playbook is about: turning a given regulatory text directly into draft requirements and test cases. Worth doing a real vendor scan before spending more engineering time on this, even though I'm going with build for now.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Build — custom agentic workflow (chosen)</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Goes after the actual gap (turning text into requirements), not the broader tracking problem. Cheap to prototype and test with our own past examples. Avoids getting locked into a vendor, and keeps the regulatory interpretation logic in-house, which matters given how sensitive this is.</w:t>
            </w:r>
          </w:p>
        </w:tc>
      </w:tr>
    </w:tbl>
    <w:p>
      <w:pPr>
        <w:spacing w:after="120"/>
      </w:pPr>
      <w:r>
        <w:rPr>
          <w:i/>
          <w:iCs/>
          <w:color w:val="595959"/>
          <w:sz w:val="20"/>
          <w:szCs w:val="20"/>
        </w:rPr>
        <w:t xml:space="preserve">Decision: go with build for the prototype, since it's cheap to test the idea, but treat a vendor scan as something to do in parallel, not something to skip just because we're building.</w:t>
      </w:r>
    </w:p>
    <w:p>
      <w:r>
        <w:br w:type="page"/>
      </w:r>
    </w:p>
    <w:p>
      <w:pPr>
        <w:pStyle w:val="Heading1"/>
      </w:pPr>
      <w:r>
        <w:t xml:space="preserve">5. Governance and risk management</w:t>
      </w:r>
    </w:p>
    <w:p>
      <w:pPr>
        <w:pStyle w:val="Heading2"/>
      </w:pPr>
      <w:r>
        <w:t xml:space="preserve">5.1 Identified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13"/>
        <w:gridCol w:w="2313"/>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Risk</w:t>
            </w:r>
          </w:p>
        </w:tc>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Mitigation</w:t>
            </w:r>
          </w:p>
        </w:tc>
        <w:tc>
          <w:tcPr>
            <w:tcW w:type="dxa" w:w="23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Hallucination — agent makes up a requirement that isn't actually in the text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Mandatory human check before anything moves forward to engineering</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Officer / Product Owner]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Undetected ambiguity — agent quietly assumes something that's wrong</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Prompt tells it explicitly to flag ambiguity instead of guessing; confidence level required on every output</w:t>
            </w:r>
          </w:p>
        </w:tc>
        <w:tc>
          <w:tcPr>
            <w:tcW w:type="dxa" w:w="2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[Human reviewer]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Regulatory text has sensitive or confidential info in it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Anonymize before anything goes to the agent; never use real customer data in tests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 Legal]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Relying too much on the agent, losing the ability to interpret things manually in-house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Rotate periodically — team keeps manually reviewing samples even once the agent is in production</w:t>
            </w:r>
          </w:p>
        </w:tc>
        <w:tc>
          <w:tcPr>
            <w:tcW w:type="dxa" w:w="2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[Compliance/Product leadership]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The source regulatory text is genuinely incomplete (e.g. the SEPA rule doesn't say how to handle non-Latin characters)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Agent flags it as ambiguous instead of guessing; human reviewer escalates to legal/compliance or the scheme operator before finalizing anything</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 Legal]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Interpreting things inconsistently across related rulebook updates over time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Keep a running log of past approved requirements so reviewers can catch inconsistencies</w:t>
            </w:r>
          </w:p>
        </w:tc>
        <w:tc>
          <w:tcPr>
            <w:tcW w:type="dxa" w:w="2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[Compliance Specialist]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Model/vendor risk — depending on one LLM provider's uptime and pricing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Keep the prompt provider-agnostic where possible; treat the agent as a draftsman, not the system of record, so switching providers doesn't lose historical data</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[Engineering / Product Owner]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Prompt injection — a regulatory bulletin or changelog (coming from an outside source, email, or web page) could have hidden instructions meant to manipulate the agent</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Treat all input text as untrusted content, not as commands; strip or flag suspicious meta-instructions before processing; never let the agent do anything beyond producing a draft for review, which limits the damage if an injection does work</w:t>
            </w:r>
          </w:p>
        </w:tc>
        <w:tc>
          <w:tcPr>
            <w:tcW w:type="dxa" w:w="2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[Engineering / Security]</w:t>
            </w:r>
          </w:p>
        </w:tc>
      </w:tr>
    </w:tbl>
    <w:p>
      <w:pPr>
        <w:pStyle w:val="Heading2"/>
      </w:pPr>
      <w:r>
        <w:t xml:space="preserve">5.2 A note on confidence calibration</w:t>
      </w:r>
    </w:p>
    <w:p>
      <w:pPr>
        <w:spacing w:after="120"/>
      </w:pPr>
      <w:r>
        <w:t xml:space="preserve">The confidence level the agent returns (Section 3) is something it reports about itself, not something actually measured. It's a known issue with large language models, they're not great at judging their own certainty. A "high confidence" answer isn't a guarantee it's correct, the model can sound sure and still be wrong. I'm treating this confidence field as a useful signal for deciding what to review more carefully, never as a reason to skip the human check, even when the agent says it's highly confident.</w:t>
      </w:r>
    </w:p>
    <w:p>
      <w:pPr>
        <w:pStyle w:val="Heading2"/>
      </w:pPr>
      <w:r>
        <w:t xml:space="preserve">5.3 Risk level (EU AI Act reference)</w:t>
      </w:r>
    </w:p>
    <w:p>
      <w:pPr>
        <w:spacing w:after="120"/>
      </w:pPr>
      <w:r>
        <w:t xml:space="preserve">This system helps with compliance decisions, but it doesn't decide anything on its own, there's always a human in the loop before anything with real consequences happens. That should put it outside the "high risk" category of the EU AI Act, in principle, but the actual classification needs to be confirmed by legal/compliance, especially if the scope ever grows to include more autonomous decisions (like auto-approving high-confidence outputs without a review).</w:t>
      </w:r>
    </w:p>
    <w:p>
      <w:pPr>
        <w:pStyle w:val="Heading2"/>
      </w:pPr>
      <w:r>
        <w:t xml:space="preserve">5.4 Transparency</w:t>
      </w:r>
    </w:p>
    <w:p>
      <w:pPr>
        <w:pStyle w:val="ListParagraph"/>
        <w:numPr>
          <w:ilvl w:val="0"/>
          <w:numId w:val="2"/>
        </w:numPr>
        <w:spacing w:after="60"/>
      </w:pPr>
      <w:r>
        <w:t xml:space="preserve">Everything the agent produces is clearly labeled "AI-generated draft, pending review".</w:t>
      </w:r>
    </w:p>
    <w:p>
      <w:pPr>
        <w:pStyle w:val="ListParagraph"/>
        <w:numPr>
          <w:ilvl w:val="0"/>
          <w:numId w:val="2"/>
        </w:numPr>
        <w:spacing w:after="60"/>
      </w:pPr>
      <w:r>
        <w:t xml:space="preserve">The confidence level the agent reports stays visible to whoever is reviewing it, it's not hidden anywhere.</w:t>
      </w:r>
    </w:p>
    <w:p>
      <w:pPr>
        <w:pStyle w:val="ListParagraph"/>
        <w:numPr>
          <w:ilvl w:val="0"/>
          <w:numId w:val="2"/>
        </w:numPr>
        <w:spacing w:after="60"/>
      </w:pPr>
      <w:r>
        <w:t xml:space="preserve">There's a historical log of every approval and rejection, for auditing later.</w:t>
      </w:r>
    </w:p>
    <w:p>
      <w:pPr>
        <w:pStyle w:val="ListParagraph"/>
        <w:numPr>
          <w:ilvl w:val="0"/>
          <w:numId w:val="2"/>
        </w:numPr>
        <w:spacing w:after="60"/>
      </w:pPr>
      <w:r>
        <w:t xml:space="preserve">Any requirement that reaches engineering keeps a record of who approved it and when, plus the original agent output, so it's traceable.</w:t>
      </w:r>
    </w:p>
    <w:p>
      <w:pPr>
        <w:pStyle w:val="Heading2"/>
      </w:pPr>
      <w:r>
        <w:t xml:space="preserve">5.5 Data handling and confidentiality</w:t>
      </w:r>
    </w:p>
    <w:p>
      <w:pPr>
        <w:pStyle w:val="ListParagraph"/>
        <w:numPr>
          <w:ilvl w:val="0"/>
          <w:numId w:val="2"/>
        </w:numPr>
        <w:spacing w:after="60"/>
      </w:pPr>
      <w:r>
        <w:t xml:space="preserve">Only the regulatory text or changelog itself goes to the model, never live customer or transaction data.</w:t>
      </w:r>
    </w:p>
    <w:p>
      <w:pPr>
        <w:pStyle w:val="ListParagraph"/>
        <w:numPr>
          <w:ilvl w:val="0"/>
          <w:numId w:val="2"/>
        </w:numPr>
        <w:spacing w:after="60"/>
      </w:pPr>
      <w:r>
        <w:t xml:space="preserve">If a bulletin happens to mention specific counterparties or internal system names, those get redacted or anonymized before being used as input.</w:t>
      </w:r>
    </w:p>
    <w:p>
      <w:pPr>
        <w:pStyle w:val="ListParagraph"/>
        <w:numPr>
          <w:ilvl w:val="0"/>
          <w:numId w:val="2"/>
        </w:numPr>
        <w:spacing w:after="60"/>
      </w:pPr>
      <w:r>
        <w:t xml:space="preserve">API calls follow the provider's standard data-handling terms. For an actual production rollout, this needs to be checked against the organization's data processing agreements and any data residency rules.</w:t>
      </w:r>
    </w:p>
    <w:p>
      <w:r>
        <w:br w:type="page"/>
      </w:r>
    </w:p>
    <w:p>
      <w:pPr>
        <w:pStyle w:val="Heading1"/>
      </w:pPr>
      <w:r>
        <w:t xml:space="preserve">6. Tool vs. Teammate positioning</w:t>
      </w:r>
    </w:p>
    <w:p>
      <w:pPr>
        <w:spacing w:after="120"/>
      </w:pPr>
      <w:r>
        <w:t xml:space="preserve">The MIT Sloan course uses a "Tool vs. Teammate" framework to decide how much autonomy an agent should have, and how that changes the way teams are organized around it. Here's where I stand on this going in, and I expect to revisit it once we actually cover the course's own version of the framework.</w:t>
      </w:r>
    </w:p>
    <w:p>
      <w:pPr>
        <w:pStyle w:val="Heading2"/>
      </w:pPr>
      <w:r>
        <w:t xml:space="preserve">6.1 My position: Tool, not Teammate</w:t>
      </w:r>
    </w:p>
    <w:p>
      <w:pPr>
        <w:spacing w:after="120"/>
      </w:pPr>
      <w:r>
        <w:t xml:space="preserve">I'm scoping this agent as a Tool on purpose. It drafts things, requirements, validation rules, test cases, release notes, but it has no authority to approve its own work or take any action in production. A human compliance specialist makes the actual decision at every step. This is a deliberate choice, not just the default I happened to land on.</w:t>
      </w:r>
    </w:p>
    <w:p>
      <w:pPr>
        <w:pStyle w:val="Heading2"/>
      </w:pPr>
      <w:r>
        <w:t xml:space="preserve">6.2 Why Tool and not Teammate, for this case</w:t>
      </w:r>
    </w:p>
    <w:p>
      <w:pPr>
        <w:pStyle w:val="ListParagraph"/>
        <w:numPr>
          <w:ilvl w:val="0"/>
          <w:numId w:val="2"/>
        </w:numPr>
        <w:spacing w:after="60"/>
      </w:pPr>
      <w:r>
        <w:t xml:space="preserve">The stakes are real: a mistake in payments compliance requirements can mean rejected transactions at the scheme level, and possibly regulatory attention. A wrong autonomous action here is expensive and hard to undo.</w:t>
      </w:r>
    </w:p>
    <w:p>
      <w:pPr>
        <w:pStyle w:val="ListParagraph"/>
        <w:numPr>
          <w:ilvl w:val="0"/>
          <w:numId w:val="2"/>
        </w:numPr>
        <w:spacing w:after="60"/>
      </w:pPr>
      <w:r>
        <w:t xml:space="preserve">The source material isn't always reliable: regulatory text itself can be ambiguous or incomplete (see Section 1.3), so an agent acting as a "teammate" with its own judgment would basically be making legal-adjacent calls on the organization's behalf. That doesn't feel right yet.</w:t>
      </w:r>
    </w:p>
    <w:p>
      <w:pPr>
        <w:pStyle w:val="ListParagraph"/>
        <w:numPr>
          <w:ilvl w:val="0"/>
          <w:numId w:val="2"/>
        </w:numPr>
        <w:spacing w:after="60"/>
      </w:pPr>
      <w:r>
        <w:t xml:space="preserve">We just don't have a track record with this agent yet. Starting at Tool level is the right call for any agentic workflow before there's evidence it can be trusted (see the phased rollout in Section 10).</w:t>
      </w:r>
    </w:p>
    <w:p>
      <w:pPr>
        <w:pStyle w:val="Heading2"/>
      </w:pPr>
      <w:r>
        <w:t xml:space="preserve">6.3 Could this become a Teammate later? Not for this one</w:t>
      </w:r>
    </w:p>
    <w:p>
      <w:pPr>
        <w:spacing w:after="120"/>
      </w:pPr>
      <w:r>
        <w:t xml:space="preserve">Some workflows can justify giving an agent more autonomy as confidence grows, like auto-approving only the highest-confidence outputs. I don't think that applies here. The risk is uneven: an occasional slower review cycle costs very little, but one wrong requirement that gets auto-approved and reaches production could cost a lot. So my position is that this agent stays at Tool level indefinitely for this specific process, given what's at stake. If the course's framework points to something more nuanced, maybe partial autonomy for lower-risk parts like drafting release notes, while keeping full review for validation rules, I'll fold that in. But the default for the core requirements work stays Tool.</w:t>
      </w:r>
    </w:p>
    <w:p>
      <w:r>
        <w:br w:type="page"/>
      </w:r>
    </w:p>
    <w:p>
      <w:pPr>
        <w:pStyle w:val="Heading1"/>
      </w:pPr>
      <w:r>
        <w:t xml:space="preserve">7. Incident response — failure scenario</w:t>
      </w:r>
    </w:p>
    <w:p>
      <w:pPr>
        <w:spacing w:after="120"/>
      </w:pPr>
      <w:r>
        <w:t xml:space="preserve">Instead of treating governance as something purely theoretical, this section walks through an actual failure scenario, following the standard pattern used for agentic systems in regulated industries: detect, contain, communicate, correct, prevent.</w:t>
      </w:r>
    </w:p>
    <w:p>
      <w:pPr>
        <w:pStyle w:val="Heading2"/>
      </w:pPr>
      <w:r>
        <w:t xml:space="preserve">7.1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AFAFA" w:val="clear"/>
            <w:tcMar>
              <w:top w:type="dxa" w:w="160"/>
              <w:left w:type="dxa" w:w="200"/>
              <w:bottom w:type="dxa" w:w="160"/>
              <w:right w:type="dxa" w:w="200"/>
            </w:tcMar>
          </w:tcPr>
          <w:p>
            <w:pPr>
              <w:spacing w:after="80"/>
            </w:pPr>
            <w:r>
              <w:rPr>
                <w:i/>
                <w:iCs/>
                <w:color w:val="595959"/>
                <w:sz w:val="20"/>
                <w:szCs w:val="20"/>
              </w:rPr>
              <w:t xml:space="preserve">The agent processes a regulatory changelog and generates a validation rule that is subtly</w:t>
            </w:r>
          </w:p>
          <w:p>
            <w:pPr>
              <w:spacing w:after="80"/>
            </w:pPr>
            <w:r>
              <w:rPr>
                <w:i/>
                <w:iCs/>
                <w:color w:val="595959"/>
                <w:sz w:val="20"/>
                <w:szCs w:val="20"/>
              </w:rPr>
              <w:t xml:space="preserve">wrong — for example, it states that the free-text address line limit is 80 characters instead</w:t>
            </w:r>
          </w:p>
          <w:p>
            <w:pPr>
              <w:spacing w:after="80"/>
            </w:pPr>
            <w:r>
              <w:rPr>
                <w:i/>
                <w:iCs/>
                <w:color w:val="595959"/>
                <w:sz w:val="20"/>
                <w:szCs w:val="20"/>
              </w:rPr>
              <w:t xml:space="preserve">of the correct 70. The human reviewer, under time pressure ahead of the 15 November 2026</w:t>
            </w:r>
          </w:p>
          <w:p>
            <w:pPr>
              <w:spacing w:after="80"/>
            </w:pPr>
            <w:r>
              <w:rPr>
                <w:i/>
                <w:iCs/>
                <w:color w:val="595959"/>
                <w:sz w:val="20"/>
                <w:szCs w:val="20"/>
              </w:rPr>
              <w:t xml:space="preserve">deadline, approves the output without catching the discrepancy. The incorrect rule is</w:t>
            </w:r>
          </w:p>
          <w:p>
            <w:pPr>
              <w:spacing w:after="80"/>
            </w:pPr>
            <w:r>
              <w:rPr>
                <w:i/>
                <w:iCs/>
                <w:color w:val="595959"/>
                <w:sz w:val="20"/>
                <w:szCs w:val="20"/>
              </w:rPr>
              <w:t xml:space="preserve">implemented by engineering and reaches production, causing a number of payments with</w:t>
            </w:r>
          </w:p>
          <w:p>
            <w:pPr>
              <w:spacing w:after="80"/>
            </w:pPr>
            <w:r>
              <w:rPr>
                <w:i/>
                <w:iCs/>
                <w:color w:val="595959"/>
                <w:sz w:val="20"/>
                <w:szCs w:val="20"/>
              </w:rPr>
              <w:t xml:space="preserve">longer address lines to be incorrectly accepted, which are then rejected downstream by the</w:t>
            </w:r>
          </w:p>
          <w:p>
            <w:pPr>
              <w:spacing w:after="80"/>
            </w:pPr>
            <w:r>
              <w:rPr>
                <w:i/>
                <w:iCs/>
                <w:color w:val="595959"/>
                <w:sz w:val="20"/>
                <w:szCs w:val="20"/>
              </w:rPr>
              <w:t xml:space="preserve">scheme — discovered a week later when rejection rates for a specific payment corridor</w:t>
            </w:r>
          </w:p>
          <w:p>
            <w:pPr>
              <w:spacing w:after="0"/>
            </w:pPr>
            <w:r>
              <w:rPr>
                <w:i/>
                <w:iCs/>
                <w:color w:val="595959"/>
                <w:sz w:val="20"/>
                <w:szCs w:val="20"/>
              </w:rPr>
              <w:t xml:space="preserve">spike.</w:t>
            </w:r>
          </w:p>
        </w:tc>
      </w:tr>
    </w:tbl>
    <w:p>
      <w:pPr>
        <w:pStyle w:val="Heading2"/>
      </w:pPr>
      <w:r>
        <w:t xml:space="preserve">7.2 Response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Stage</w:t>
            </w:r>
          </w:p>
        </w:tc>
        <w:tc>
          <w:tcPr>
            <w:tcW w:type="dxa" w:w="7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Action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1. Detect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Monitoring on downstream rejection rates picks up something odd, a spike in scheme-level rejections for a specific payment flow. That's the trigger, not the agent reporting itself, since it has no way of knowing its own output was wrong.</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2. Contain</w:t>
            </w:r>
          </w:p>
        </w:tc>
        <w:tc>
          <w:tcPr>
            <w:tcW w:type="dxa" w:w="7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Engineering and the compliance specialist pull the audit trail together (Section 5.3), the original agent output, the confidence level it gave, and the human approval record, to figure out the scope: which requirement, which message types, since when. The faulty rule gets disabled or fixed in the platform right away, separate from any deeper root-cause work.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3. Communicate</w:t>
            </w:r>
          </w:p>
        </w:tc>
        <w:tc>
          <w:tcPr>
            <w:tcW w:type="dxa" w:w="7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Product Owner tells the Risk Committee and Customer Support (see the stakeholder map in Section 2) what happened, in plain terms: what went wrong, since when, roughly how many customers affected, and where the fix stands. Customer Support uses this to answer questions about rejected payments.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4. Correct</w:t>
            </w:r>
          </w:p>
        </w:tc>
        <w:tc>
          <w:tcPr>
            <w:tcW w:type="dxa" w:w="7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Root-cause review: was this about prompt quality (the agent's instructions allowed this kind of mistake), or about the review process (the human checkpoint was rushed because of the deadline), or both? Either way, this exact scenario gets added to the golden set (Section 8.1), so it gets caught during evaluation next time, not just in production.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5. Prevent</w:t>
            </w:r>
          </w:p>
        </w:tc>
        <w:tc>
          <w:tcPr>
            <w:tcW w:type="dxa" w:w="7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If reviewer time pressure was the real cause, it's worth adding a lightweight second check just for numbers, lengths, counts, thresholds, since those are easy to skim past when rushing. This becomes an actual change to the workflow, written down, not just a lesson that gets forgotten in a week.</w:t>
            </w:r>
          </w:p>
        </w:tc>
      </w:tr>
    </w:tbl>
    <w:p>
      <w:pPr>
        <w:pStyle w:val="Heading2"/>
      </w:pPr>
      <w:r>
        <w:t xml:space="preserve">7.3 What this is meant to show</w:t>
      </w:r>
    </w:p>
    <w:p>
      <w:pPr>
        <w:spacing w:after="120"/>
      </w:pPr>
      <w:r>
        <w:t xml:space="preserve">This isn't meant to prove the workflow can't fail, no agentic system can claim that. It's meant to show that when something does go wrong, it's something we can detect, contain, and fix using the governance already laid out in Section 5, rather than scrambling to figure it out on the spot.</w:t>
      </w:r>
    </w:p>
    <w:p>
      <w:r>
        <w:br w:type="page"/>
      </w:r>
    </w:p>
    <w:p>
      <w:pPr>
        <w:pStyle w:val="Heading1"/>
      </w:pPr>
      <w:r>
        <w:t xml:space="preserve">8. Success metrics and evaluation plan</w:t>
      </w:r>
    </w:p>
    <w:p>
      <w:pPr>
        <w:spacing w:after="120"/>
      </w:pPr>
      <w:r>
        <w:t xml:space="preserve">The targets below are placeholders for now, until there's an actual measured baseline. See 8.1 for why that matters before treating any of these numbers as a real commitment.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13"/>
        <w:gridCol w:w="2513"/>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Metric</w:t>
            </w:r>
          </w:p>
        </w:tc>
        <w:tc>
          <w:tcPr>
            <w:tcW w:type="dxa" w:w="43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Definition</w:t>
            </w:r>
          </w:p>
        </w:tc>
        <w:tc>
          <w:tcPr>
            <w:tcW w:type="dxa" w:w="2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Initial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Unedited approval rate</w:t>
            </w:r>
          </w:p>
        </w:tc>
        <w:tc>
          <w:tcPr>
            <w:tcW w:type="dxa" w:w="4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 of outputs approved without any edit by the human reviewer</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[E.g.: ≥60% — TBD against baseline, see 8.1]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Cycle time</w:t>
            </w:r>
          </w:p>
        </w:tc>
        <w:tc>
          <w:tcPr>
            <w:tcW w:type="dxa" w:w="4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Time between receiving the regulatory change and approved requirements</w:t>
            </w:r>
          </w:p>
        </w:tc>
        <w:tc>
          <w:tcPr>
            <w:tcW w:type="dxa" w:w="2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[E.g.: reduce from X days to Y hours — TBD against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Test coverage</w:t>
            </w:r>
          </w:p>
        </w:tc>
        <w:tc>
          <w:tcPr>
            <w:tcW w:type="dxa" w:w="4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Ratio between generated requirements and associated test cases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[E.g.: ≥1 test case per 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Ambiguity detection rate</w:t>
            </w:r>
          </w:p>
        </w:tc>
        <w:tc>
          <w:tcPr>
            <w:tcW w:type="dxa" w:w="4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 of ambiguous inputs correctly flagged as such (vs. incorrectly assumed)</w:t>
            </w:r>
          </w:p>
        </w:tc>
        <w:tc>
          <w:tcPr>
            <w:tcW w:type="dxa" w:w="2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[E.g.: 100% on deliberately ambiguous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Downstream rework rate</w:t>
            </w:r>
          </w:p>
        </w:tc>
        <w:tc>
          <w:tcPr>
            <w:tcW w:type="dxa" w:w="4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 of approved requirements later sent back for revision during engineering implementation or QA</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[E.g.: ≤10% — TBD against baseline, see 8.1]</w:t>
            </w:r>
          </w:p>
        </w:tc>
      </w:tr>
    </w:tbl>
    <w:p>
      <w:pPr>
        <w:pStyle w:val="Heading2"/>
      </w:pPr>
      <w:r>
        <w:t xml:space="preserve">8.1 Evaluation plan</w:t>
      </w:r>
    </w:p>
    <w:p>
      <w:pPr>
        <w:spacing w:after="120"/>
      </w:pPr>
      <w:r>
        <w:t xml:space="preserve">Before I treat any number above as a real target, I need an actual baseline from the current manual process: how long does a specialist actually take today, what's today's rework rate, measured from a handful of past regulatory changes, not just guessed at. Without that, a number like "≥60% unedited approval" doesn't really mean anything, it could be an improvement or a step backward, depending on how the unaided process actually performs, which I haven't measured yet.</w:t>
      </w:r>
    </w:p>
    <w:p>
      <w:pPr>
        <w:pStyle w:val="ListParagraph"/>
        <w:numPr>
          <w:ilvl w:val="0"/>
          <w:numId w:val="2"/>
        </w:numPr>
        <w:spacing w:after="60"/>
      </w:pPr>
      <w:r>
        <w:t xml:space="preserve">Starting golden set: 5-8 made-up or anonymized regulatory change scenarios, with 1-2 deliberately ambiguous ones, and at least one based on the SEPA example used in this document.</w:t>
      </w:r>
    </w:p>
    <w:p>
      <w:pPr>
        <w:pStyle w:val="ListParagraph"/>
        <w:numPr>
          <w:ilvl w:val="0"/>
          <w:numId w:val="2"/>
        </w:numPr>
        <w:spacing w:after="60"/>
      </w:pPr>
      <w:r>
        <w:t xml:space="preserve">A real caveat on sample size: 5-8 scenarios is enough to catch obvious problems and check the prompt is on the right track, but it's way too small to say anything statistically about how reliable the agent is. Early metrics should be read as a signal to iterate on, not as a real performance number, the golden set needs to grow a lot (ideally several dozen scenarios, covering different message types and ambiguity levels) before any number from it gets quoted outside this document or used to justify giving the agent more autonomy.</w:t>
      </w:r>
    </w:p>
    <w:p>
      <w:pPr>
        <w:pStyle w:val="ListParagraph"/>
        <w:numPr>
          <w:ilvl w:val="0"/>
          <w:numId w:val="2"/>
        </w:numPr>
        <w:spacing w:after="60"/>
      </w:pPr>
      <w:r>
        <w:t xml:space="preserve">Each output gets checked by a human against the rubric in the AI PM Toolkit (section 5.3).</w:t>
      </w:r>
    </w:p>
    <w:p>
      <w:pPr>
        <w:pStyle w:val="ListParagraph"/>
        <w:numPr>
          <w:ilvl w:val="0"/>
          <w:numId w:val="2"/>
        </w:numPr>
        <w:spacing w:after="60"/>
      </w:pPr>
      <w:r>
        <w:t xml:space="preserve">The golden set gets reviewed regularly and updated with real cases as they come up, so it keeps up with the actual regulatory landscape.</w:t>
      </w:r>
    </w:p>
    <w:p>
      <w:pPr>
        <w:pStyle w:val="ListParagraph"/>
        <w:numPr>
          <w:ilvl w:val="0"/>
          <w:numId w:val="2"/>
        </w:numPr>
        <w:spacing w:after="60"/>
      </w:pPr>
      <w:r>
        <w:t xml:space="preserve">Metrics get tracked over time, not just once at launch, one good demo doesn't prove reliability. The golden set should be re-run every time the prompt changes.</w:t>
      </w:r>
    </w:p>
    <w:p>
      <w:r>
        <w:br w:type="page"/>
      </w:r>
    </w:p>
    <w:p>
      <w:pPr>
        <w:pStyle w:val="Heading1"/>
      </w:pPr>
      <w:r>
        <w:t xml:space="preserve">9. Business case</w:t>
      </w:r>
    </w:p>
    <w:p>
      <w:pPr>
        <w:pStyle w:val="Heading2"/>
      </w:pPr>
      <w:r>
        <w:t xml:space="preserve">9.1 Expected value</w:t>
      </w:r>
    </w:p>
    <w:p>
      <w:pPr>
        <w:spacing w:after="120"/>
      </w:pPr>
      <w:r>
        <w:t xml:space="preserve">Looking at this through the SEPA structured address deadline (15 November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AAAA" w:sz="4"/>
              <w:left w:val="dashed" w:color="AAAAAA" w:sz="4"/>
              <w:bottom w:val="dashed" w:color="AAAAAA" w:sz="4"/>
              <w:right w:val="dashed" w:color="AAAAAA" w:sz="4"/>
            </w:tcBorders>
            <w:shd w:fill="FAFAFA" w:val="clear"/>
            <w:tcMar>
              <w:top w:type="dxa" w:w="160"/>
              <w:left w:type="dxa" w:w="200"/>
              <w:bottom w:type="dxa" w:w="160"/>
              <w:right w:type="dxa" w:w="200"/>
            </w:tcMar>
          </w:tcPr>
          <w:p>
            <w:pPr>
              <w:spacing w:after="80"/>
            </w:pPr>
            <w:r>
              <w:rPr>
                <w:i/>
                <w:iCs/>
                <w:color w:val="595959"/>
                <w:sz w:val="20"/>
                <w:szCs w:val="20"/>
              </w:rPr>
              <w:t xml:space="preserve">[Put a real number here, even a rough one: e.g. "If turning a rulebook change like this into</w:t>
            </w:r>
          </w:p>
          <w:p>
            <w:pPr>
              <w:spacing w:after="80"/>
            </w:pPr>
            <w:r>
              <w:rPr>
                <w:i/>
                <w:iCs/>
                <w:color w:val="595959"/>
                <w:sz w:val="20"/>
                <w:szCs w:val="20"/>
              </w:rPr>
              <w:t xml:space="preserve">engineering-ready requirements takes a specialist roughly X days today, and the platform</w:t>
            </w:r>
          </w:p>
          <w:p>
            <w:pPr>
              <w:spacing w:after="80"/>
            </w:pPr>
            <w:r>
              <w:rPr>
                <w:i/>
                <w:iCs/>
                <w:color w:val="595959"/>
                <w:sz w:val="20"/>
                <w:szCs w:val="20"/>
              </w:rPr>
              <w:t xml:space="preserve">deals with Y of these scheme/rulebook updates per year, big and small combined, then</w:t>
            </w:r>
          </w:p>
          <w:p>
            <w:pPr>
              <w:spacing w:after="80"/>
            </w:pPr>
            <w:r>
              <w:rPr>
                <w:i/>
                <w:iCs/>
                <w:color w:val="595959"/>
                <w:sz w:val="20"/>
                <w:szCs w:val="20"/>
              </w:rPr>
              <w:t xml:space="preserve">automating the first draft could save something like Z days/year of specialist time, time</w:t>
            </w:r>
          </w:p>
          <w:p>
            <w:pPr>
              <w:spacing w:after="80"/>
            </w:pPr>
            <w:r>
              <w:rPr>
                <w:i/>
                <w:iCs/>
                <w:color w:val="595959"/>
                <w:sz w:val="20"/>
                <w:szCs w:val="20"/>
              </w:rPr>
              <w:t xml:space="preserve">that could go toward edge cases and escalations instead of transcription. For a change tied</w:t>
            </w:r>
          </w:p>
          <w:p>
            <w:pPr>
              <w:spacing w:after="80"/>
            </w:pPr>
            <w:r>
              <w:rPr>
                <w:i/>
                <w:iCs/>
                <w:color w:val="595959"/>
                <w:sz w:val="20"/>
                <w:szCs w:val="20"/>
              </w:rPr>
              <w:t xml:space="preserve">to a hard deadline like this one, the more concrete win is speed: a faster first draft leaves</w:t>
            </w:r>
          </w:p>
          <w:p>
            <w:pPr>
              <w:spacing w:after="80"/>
            </w:pPr>
            <w:r>
              <w:rPr>
                <w:i/>
                <w:iCs/>
                <w:color w:val="595959"/>
                <w:sz w:val="20"/>
                <w:szCs w:val="20"/>
              </w:rPr>
              <w:t xml:space="preserve">more time for engineering to actually build and test it before 15 November 2026, which</w:t>
            </w:r>
          </w:p>
          <w:p>
            <w:pPr>
              <w:spacing w:after="0"/>
            </w:pPr>
            <w:r>
              <w:rPr>
                <w:i/>
                <w:iCs/>
                <w:color w:val="595959"/>
                <w:sz w:val="20"/>
                <w:szCs w:val="20"/>
              </w:rPr>
              <w:t xml:space="preserve">lowers the risk of payment rejections once it's live."]</w:t>
            </w:r>
          </w:p>
        </w:tc>
      </w:tr>
    </w:tbl>
    <w:p>
      <w:pPr>
        <w:pStyle w:val="Heading2"/>
      </w:pPr>
      <w:r>
        <w:t xml:space="preserve">9.2 What happens if we do nothing</w:t>
      </w:r>
    </w:p>
    <w:p>
      <w:pPr>
        <w:spacing w:after="120"/>
      </w:pPr>
      <w:r>
        <w:t xml:space="preserve">Worth spelling this out: if this process doesn't improve, missing the 15 November 2026 deadline for any affected message flow risks payment rejections at the scheme level. That means failed transactions for customers, support tickets, and possibly some regulatory or reputational fallout. Framing this around the cost of doing nothing, not just the efficiency gains, tends to land better with risk-averse stakeholders in a regulated industry like this one.</w:t>
      </w:r>
    </w:p>
    <w:p>
      <w:pPr>
        <w:pStyle w:val="Heading2"/>
      </w:pPr>
      <w:r>
        <w:t xml:space="preserve">9.3 What this would actually cost</w:t>
      </w:r>
    </w:p>
    <w:p>
      <w:pPr>
        <w:pStyle w:val="ListParagraph"/>
        <w:numPr>
          <w:ilvl w:val="0"/>
          <w:numId w:val="2"/>
        </w:numPr>
        <w:spacing w:after="60"/>
      </w:pPr>
      <w:r>
        <w:t xml:space="preserve">API/inference cost: very cheap per use, just cents, scaling up with how many regulatory changes get processed.</w:t>
      </w:r>
    </w:p>
    <w:p>
      <w:pPr>
        <w:pStyle w:val="ListParagraph"/>
        <w:numPr>
          <w:ilvl w:val="0"/>
          <w:numId w:val="2"/>
        </w:numPr>
        <w:spacing w:after="60"/>
      </w:pPr>
      <w:r>
        <w:t xml:space="preserve">Getting it set up: time to build the workflow (n8n or similar) and get the prompt working properly. Weeks, not months.</w:t>
      </w:r>
    </w:p>
    <w:p>
      <w:pPr>
        <w:pStyle w:val="ListParagraph"/>
        <w:numPr>
          <w:ilvl w:val="0"/>
          <w:numId w:val="2"/>
        </w:numPr>
        <w:spacing w:after="60"/>
      </w:pPr>
      <w:r>
        <w:t xml:space="preserve">Keeping it running: regular review of the golden set, and tweaking the prompt as new kinds of regulatory change come up.</w:t>
      </w:r>
    </w:p>
    <w:p>
      <w:pPr>
        <w:pStyle w:val="ListParagraph"/>
        <w:numPr>
          <w:ilvl w:val="0"/>
          <w:numId w:val="2"/>
        </w:numPr>
        <w:spacing w:after="60"/>
      </w:pPr>
      <w:r>
        <w:t xml:space="preserve">Cost of not doing it: specialist time keeps going into transcription-style work instead of the things that actually need judgment, escalations, cross-market nuances, and so on.</w:t>
      </w:r>
    </w:p>
    <w:p>
      <w:pPr>
        <w:pStyle w:val="Heading2"/>
      </w:pPr>
      <w:r>
        <w:t xml:space="preserve">9.4 How I'd roll this out</w:t>
      </w:r>
    </w:p>
    <w:p>
      <w:pPr>
        <w:pStyle w:val="ListParagraph"/>
        <w:numPr>
          <w:ilvl w:val="0"/>
          <w:numId w:val="3"/>
        </w:numPr>
        <w:spacing w:after="60"/>
      </w:pPr>
      <w:r>
        <w:t xml:space="preserve">Start with an internal pilot with the compliance team, using only historical or anonymized scenarios. No real production risk at this stage.</w:t>
      </w:r>
    </w:p>
    <w:p>
      <w:pPr>
        <w:pStyle w:val="ListParagraph"/>
        <w:numPr>
          <w:ilvl w:val="0"/>
          <w:numId w:val="3"/>
        </w:numPr>
        <w:spacing w:after="60"/>
      </w:pPr>
      <w:r>
        <w:t xml:space="preserve">Expand to 1-2 real regulatory changes, but run it alongside the manual process, not replacing it yet.</w:t>
      </w:r>
    </w:p>
    <w:p>
      <w:pPr>
        <w:pStyle w:val="ListParagraph"/>
        <w:numPr>
          <w:ilvl w:val="0"/>
          <w:numId w:val="3"/>
        </w:numPr>
        <w:spacing w:after="60"/>
      </w:pPr>
      <w:r>
        <w:t xml:space="preserve">After 4-6 weeks, review the results and decide whether to expand, adjust, or just drop it, based on the metrics from Section 8.</w:t>
      </w:r>
    </w:p>
    <w:p>
      <w:pPr>
        <w:pStyle w:val="ListParagraph"/>
        <w:numPr>
          <w:ilvl w:val="0"/>
          <w:numId w:val="3"/>
        </w:numPr>
        <w:spacing w:after="60"/>
      </w:pPr>
      <w:r>
        <w:t xml:space="preserve">If it gets the green light, bring it into the real workflow gradually, but always keep the human checkpoint.</w:t>
      </w:r>
    </w:p>
    <w:p>
      <w:r>
        <w:br w:type="page"/>
      </w:r>
    </w:p>
    <w:p>
      <w:pPr>
        <w:pStyle w:val="Heading1"/>
      </w:pPr>
      <w:r>
        <w:t xml:space="preserve">10.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Duration (indicative)</w:t>
            </w:r>
          </w:p>
        </w:tc>
        <w:tc>
          <w:tcPr>
            <w:tcW w:type="dxa" w:w="4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Key activities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Phase 0 — Prompt 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1-2 weeks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Build and manually test the core prompt against 5-8 golden-set scenarios in a plain chat interface, before any automation. Confirms the "brain" works before investing in orchestration.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Phase 1 — Pilot workflow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2-3 weeks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Wire the validated prompt into a low-code workflow (input form → API call → output sheet with human-approval column). Run with the compliance team on historical/anonymized scenarios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Phase 2 — Shadow run on a real change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4-6 weeks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Run the tool in parallel with the manual process on the SEPA structured address change (or an equivalent live regulatory update), without yet relying on its output for production decisions. Compare agent output against what the specialist produces manually.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Phase 3 — Supervised production use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Ongoing</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If Phase 2 metrics meet the targets in Section 8, allow the tool's output to become the first draft that the specialist edits, rather than starting from a blank page. Human checkpoint remains mandatory.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Phase 4 — Scope expansion (optional)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Future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Consider the multi-agent decomposition (Section 3.5) or RAG-based regulation retrieval (Section 4.1) once the single-agent version has a proven track record.</w:t>
            </w:r>
          </w:p>
        </w:tc>
      </w:tr>
    </w:tbl>
    <w:p>
      <w:r>
        <w:br w:type="page"/>
      </w:r>
    </w:p>
    <w:p>
      <w:pPr>
        <w:pStyle w:val="Heading1"/>
      </w:pPr>
      <w:r>
        <w:t xml:space="preserve">11. Change management and adoption</w:t>
      </w:r>
    </w:p>
    <w:p>
      <w:pPr>
        <w:spacing w:after="120"/>
      </w:pPr>
      <w:r>
        <w:t xml:space="preserve">Even a well-designed agentic workflow fails to deliver value if the people who need to use it don't trust it or don't change their habits. This section addresses adoption explicitly, rather than assuming the tool will be used just because it exists.</w:t>
      </w:r>
    </w:p>
    <w:p>
      <w:pPr>
        <w:pStyle w:val="Heading2"/>
      </w:pPr>
      <w:r>
        <w:t xml:space="preserve">11.1 Anticipated sources of resistance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6200"/>
      </w:tblGrid>
      <w:tr>
        <w:trPr>
          <w:tblHeader/>
        </w:trPr>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Concern</w:t>
            </w:r>
          </w:p>
        </w:tc>
        <w:tc>
          <w:tcPr>
            <w:tcW w:type="dxa" w:w="6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Response</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"Will this replace my job?"</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Position the tool explicitly as removing transcription-style work, not judgment work — the specialist still owns interpretation, escalation, and final approval. Communicate this clearly before rollout, not after.</w:t>
            </w:r>
          </w:p>
        </w:tc>
      </w:tr>
      <w:tr>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"I don't trust AI-generated requirements in a compliance-critical process"</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Start with shadow-run mode (Phase 2 in Section 10) so the specialist can compare agent output to their own work without any production risk, building trust gradually through evidence rather than assertion.</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"This adds a new tool/step to my workflow"</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Keep the interface as close as possible to the specialist's existing tools (e.g. output lands in a spreadsheet they already use) rather than requiring a new system to learn.</w:t>
            </w:r>
          </w:p>
        </w:tc>
      </w:tr>
    </w:tbl>
    <w:p>
      <w:pPr>
        <w:pStyle w:val="Heading2"/>
      </w:pPr>
      <w:r>
        <w:t xml:space="preserve">11.2 Training and enablement</w:t>
      </w:r>
    </w:p>
    <w:p>
      <w:pPr>
        <w:pStyle w:val="ListParagraph"/>
        <w:numPr>
          <w:ilvl w:val="0"/>
          <w:numId w:val="2"/>
        </w:numPr>
        <w:spacing w:after="60"/>
      </w:pPr>
      <w:r>
        <w:t xml:space="preserve">Short onboarding session (30-45 minutes) walking the compliance team through the workflow, the meaning of the confidence level field, and what to do when an ambiguity is flagged.</w:t>
      </w:r>
    </w:p>
    <w:p>
      <w:pPr>
        <w:pStyle w:val="ListParagraph"/>
        <w:numPr>
          <w:ilvl w:val="0"/>
          <w:numId w:val="2"/>
        </w:numPr>
        <w:spacing w:after="60"/>
      </w:pPr>
      <w:r>
        <w:t xml:space="preserve">A one-page "how to review agent output" guide, derived from the evaluation rubric in the AI PM Toolkit.</w:t>
      </w:r>
    </w:p>
    <w:p>
      <w:pPr>
        <w:pStyle w:val="ListParagraph"/>
        <w:numPr>
          <w:ilvl w:val="0"/>
          <w:numId w:val="2"/>
        </w:numPr>
        <w:spacing w:after="60"/>
      </w:pPr>
      <w:r>
        <w:t xml:space="preserve">A clear escalation path for cases where the specialist disagrees with or doesn't trust a given output — captured as feedback to refine the prompt, not dismissed as a one-off.</w:t>
      </w:r>
    </w:p>
    <w:p>
      <w:pPr>
        <w:pStyle w:val="Heading2"/>
      </w:pPr>
      <w:r>
        <w:t xml:space="preserve">11.3 Feedback loop</w:t>
      </w:r>
    </w:p>
    <w:p>
      <w:pPr>
        <w:spacing w:after="120"/>
      </w:pPr>
      <w:r>
        <w:t xml:space="preserve">Every time a human edits something the agent wrote, that's basically a free, labeled example for improving the prompt. Worth checking a sample of edited outputs every so often to spot patterns, like "the agent keeps missing this kind of edge case", and feeding that back into the prompt. That's how this turns into an actual improvement loop instead of just a static tool that never gets better.</w:t>
      </w:r>
    </w:p>
    <w:p>
      <w:pPr>
        <w:pStyle w:val="Heading2"/>
      </w:pPr>
      <w:r>
        <w:t xml:space="preserve">11.4 Incentives, power, and sponsorship</w:t>
      </w:r>
    </w:p>
    <w:p>
      <w:pPr>
        <w:spacing w:after="120"/>
      </w:pPr>
      <w:r>
        <w:t xml:space="preserve">Most adoption frameworks assume people will cooperate in good faith once their concerns are addressed. In practice, there's also a political side to organizational change that's worth naming directly, not just a behavioral one.</w:t>
      </w:r>
    </w:p>
    <w:p>
      <w:pPr>
        <w:pStyle w:val="ListParagraph"/>
        <w:numPr>
          <w:ilvl w:val="0"/>
          <w:numId w:val="2"/>
        </w:numPr>
        <w:spacing w:after="60"/>
      </w:pPr>
      <w:r>
        <w:t xml:space="preserve">Incentive check: the Compliance Specialist reviewing agent output (Section 2, RACI) doesn't have much personal reason to catch subtle errors carefully if review quality itself isn't measured or recognized somehow. The easy path is to just approve quickly. The evaluation plan (Section 8) should track reviewer engagement too, average review time, edit rate per reviewer, not just agent quality, as a check against rubber-stamping rather than just assuming people will be diligent.</w:t>
      </w:r>
    </w:p>
    <w:p>
      <w:pPr>
        <w:pStyle w:val="ListParagraph"/>
        <w:numPr>
          <w:ilvl w:val="0"/>
          <w:numId w:val="2"/>
        </w:numPr>
        <w:spacing w:after="60"/>
      </w:pPr>
      <w:r>
        <w:t xml:space="preserve">Who loses out: if part of this specialist's value today comes from being the one person who really understands a complicated, opaque process, a tool that makes that process faster and easier to understand can feel like a loss of status, even if no one's job is actually at risk. Better to say this out loud and reposition the role around judgment and escalation (Section 2.2) than to leave it unsaid and let quiet resistance build up.</w:t>
      </w:r>
    </w:p>
    <w:p>
      <w:pPr>
        <w:pStyle w:val="ListParagraph"/>
        <w:numPr>
          <w:ilvl w:val="0"/>
          <w:numId w:val="2"/>
        </w:numPr>
        <w:spacing w:after="60"/>
      </w:pPr>
      <w:r>
        <w:t xml:space="preserve">Who pays vs. who benefits: Compliance ends up doing most of the work to adopt this, reviewing drafts, validating the golden set, flagging ambiguities, while the measurable wins, faster engineering turnaround, fewer payment rejections, probably show up in Product or Operations metrics instead. If Compliance doesn't get credited for those downstream wins (for example, mentioning the workflow explicitly when reporting cycle-time or rejection-rate improvements), there's not much reason for them to keep championing it.</w:t>
      </w:r>
    </w:p>
    <w:p>
      <w:pPr>
        <w:pStyle w:val="ListParagraph"/>
        <w:numPr>
          <w:ilvl w:val="0"/>
          <w:numId w:val="2"/>
        </w:numPr>
        <w:spacing w:after="60"/>
      </w:pPr>
      <w:r>
        <w:t xml:space="preserve">A real sponsor: right now this playbook names roles (Section 2) but not one specific person willing to spend their own credibility defending this pilot when things go a bit wrong, like the first review cycle that ends up slower than the old manual process while trust is still being built. Before Phase 1 (Section 10), someone's actual name needs to be attached to this, not just a job title. Sponsorship that's only a title tends to disappear the moment something gets hard.</w:t>
      </w:r>
    </w:p>
    <w:p>
      <w:r>
        <w:br w:type="page"/>
      </w:r>
    </w:p>
    <w:p>
      <w:pPr>
        <w:pStyle w:val="Heading1"/>
      </w:pPr>
      <w:r>
        <w:t xml:space="preserve">12. Limitations and lessons learned</w:t>
      </w:r>
    </w:p>
    <w:p>
      <w:pPr>
        <w:spacing w:after="120"/>
      </w:pPr>
      <w:r>
        <w:t xml:space="preserve">A playbook that only lists the good parts reads more like marketing than something credible. So here's an honest list of what this version doesn't solve.</w:t>
      </w:r>
    </w:p>
    <w:p>
      <w:pPr>
        <w:pStyle w:val="ListParagraph"/>
        <w:numPr>
          <w:ilvl w:val="0"/>
          <w:numId w:val="2"/>
        </w:numPr>
        <w:spacing w:after="60"/>
      </w:pPr>
      <w:r>
        <w:t xml:space="preserve">The agent is only as good as the regulatory text it gets. If the source bulletin is itself unclear or incomplete, which is plausible for parts of the SEPA address rule, like how non-Latin characters should be handled, the agent can't actually resolve that. It can only flag it for someone to escalate.</w:t>
      </w:r>
    </w:p>
    <w:p>
      <w:pPr>
        <w:pStyle w:val="ListParagraph"/>
        <w:numPr>
          <w:ilvl w:val="0"/>
          <w:numId w:val="2"/>
        </w:numPr>
        <w:spacing w:after="60"/>
      </w:pPr>
      <w:r>
        <w:t xml:space="preserve">The single-agent setup (Section 3) is simpler to govern, but it probably produces lower-quality edge cases than the multi-agent version (Section 3.5) would. That's a trade-off I'm making on purpose, favoring auditability over getting the absolute best output in this first version.</w:t>
      </w:r>
    </w:p>
    <w:p>
      <w:pPr>
        <w:pStyle w:val="ListParagraph"/>
        <w:numPr>
          <w:ilvl w:val="0"/>
          <w:numId w:val="2"/>
        </w:numPr>
        <w:spacing w:after="60"/>
      </w:pPr>
      <w:r>
        <w:t xml:space="preserve">The tool drafts requirements and test cases, but it doesn't check them against the actual payments platform's schema or codebase. Something that looks right on its own might still need adjusting once engineering checks it against how the real system actually works.</w:t>
      </w:r>
    </w:p>
    <w:p>
      <w:pPr>
        <w:pStyle w:val="ListParagraph"/>
        <w:numPr>
          <w:ilvl w:val="0"/>
          <w:numId w:val="2"/>
        </w:numPr>
        <w:spacing w:after="60"/>
      </w:pPr>
      <w:r>
        <w:t xml:space="preserve">The confidence levels the agent gives are useful for triage, not a guarantee, a "high confidence" output can still be wrong. That's exactly why the human checkpoint stays mandatory even on high-confidence outputs in this version.</w:t>
      </w:r>
    </w:p>
    <w:p>
      <w:pPr>
        <w:pStyle w:val="ListParagraph"/>
        <w:numPr>
          <w:ilvl w:val="0"/>
          <w:numId w:val="2"/>
        </w:numPr>
        <w:spacing w:after="60"/>
      </w:pPr>
      <w:r>
        <w:t xml:space="preserve">This playbook is built around one well-documented regulatory change (SEPA structured addresses). If this needs to generalize to very different kinds of regulatory text, AML rule changes, tax reporting changes, whatever, the golden set would need to be re-validated for that domain. I can't just assume the same prompt works the same way elsewhere.</w:t>
      </w:r>
    </w:p>
    <w:p>
      <w:pPr>
        <w:pStyle w:val="ListParagraph"/>
        <w:numPr>
          <w:ilvl w:val="0"/>
          <w:numId w:val="2"/>
        </w:numPr>
        <w:spacing w:after="60"/>
      </w:pPr>
      <w:r>
        <w:t xml:space="preserve">The metrics in Section 8 don't have a measured baseline yet from the manual process, and the golden set is too small right now to say anything statistically solid about reliability. Both of these are flagged on purpose as things still to do, not glossed over as minor details.</w:t>
      </w:r>
    </w:p>
    <w:p>
      <w:pPr>
        <w:pStyle w:val="ListParagraph"/>
        <w:numPr>
          <w:ilvl w:val="0"/>
          <w:numId w:val="2"/>
        </w:numPr>
        <w:spacing w:after="60"/>
      </w:pPr>
      <w:r>
        <w:t xml:space="preserve">There's no formal adversarial-input testing in this version, like deliberately trying to trick the prompt with manipulative regulatory-looking text. Since the source documents come from outside the company, this seems like a reasonable thing to do before expanding to production, even if it's not needed for this first draft.</w:t>
      </w:r>
    </w:p>
    <w:p>
      <w:r>
        <w:br w:type="page"/>
      </w:r>
    </w:p>
    <w:p>
      <w:pPr>
        <w:pStyle w:val="Heading1"/>
      </w:pPr>
      <w:r>
        <w:t xml:space="preserve">13. Next steps</w:t>
      </w:r>
    </w:p>
    <w:p>
      <w:pPr>
        <w:pStyle w:val="ListParagraph"/>
        <w:numPr>
          <w:ilvl w:val="0"/>
          <w:numId w:val="2"/>
        </w:numPr>
        <w:spacing w:after="60"/>
      </w:pPr>
      <w:r>
        <w:t xml:space="preserve">Fill in the [bracketed] fields with real detail (anonymized where needed) as the course goes on.</w:t>
      </w:r>
    </w:p>
    <w:p>
      <w:pPr>
        <w:pStyle w:val="ListParagraph"/>
        <w:numPr>
          <w:ilvl w:val="0"/>
          <w:numId w:val="2"/>
        </w:numPr>
        <w:spacing w:after="60"/>
      </w:pPr>
      <w:r>
        <w:t xml:space="preserve">Swap out or build on the governance and risk sections using whatever specific frameworks the course teaches.</w:t>
      </w:r>
    </w:p>
    <w:p>
      <w:pPr>
        <w:pStyle w:val="ListParagraph"/>
        <w:numPr>
          <w:ilvl w:val="0"/>
          <w:numId w:val="2"/>
        </w:numPr>
        <w:spacing w:after="60"/>
      </w:pPr>
      <w:r>
        <w:t xml:space="preserve">Turn this into the final playbook version to submit once the course wraps up.</w:t>
      </w:r>
    </w:p>
    <w:p>
      <w:pPr>
        <w:pStyle w:val="ListParagraph"/>
        <w:numPr>
          <w:ilvl w:val="0"/>
          <w:numId w:val="2"/>
        </w:numPr>
        <w:spacing w:after="60"/>
      </w:pPr>
      <w:r>
        <w:t xml:space="preserve">Use that final version as the direct basis for the portfolio case study (see the "Prototype Action Plan").</w:t>
      </w:r>
    </w:p>
    <w:p>
      <w:pPr>
        <w:pStyle w:val="ListParagraph"/>
        <w:numPr>
          <w:ilvl w:val="0"/>
          <w:numId w:val="2"/>
        </w:numPr>
        <w:spacing w:after="60"/>
      </w:pPr>
      <w:r>
        <w:t xml:space="preserve">Actually build the diagram mentioned in Section 3.3 with a real tool before submitting. The written-out version is just a placeholder.</w:t>
      </w:r>
    </w:p>
    <w:p>
      <w:pPr>
        <w:spacing w:after="120"/>
      </w:pPr>
      <w:r>
        <w:rPr>
          <w:b/>
          <w:bCs/>
          <w:sz w:val="18"/>
          <w:szCs w:val="18"/>
        </w:rPr>
        <w:t xml:space="preserve">Last updated: </w:t>
      </w:r>
    </w:p>
    <w:p>
      <w:pPr>
        <w:spacing w:after="120"/>
      </w:pPr>
      <w:r>
        <w:rPr>
          <w:i/>
          <w:iCs/>
          <w:color w:val="595959"/>
          <w:sz w:val="18"/>
          <w:szCs w:val="18"/>
        </w:rPr>
        <w:t xml:space="preserve">[Update this date every time you revise the document.]</w:t>
      </w:r>
    </w:p>
    <w:p>
      <w:r>
        <w:br w:type="page"/>
      </w:r>
    </w:p>
    <w:p>
      <w:pPr>
        <w:pStyle w:val="Heading1"/>
      </w:pPr>
      <w:r>
        <w:t xml:space="preserve">Appendix A — One-page Agentic AI Business Model Canvas</w:t>
      </w:r>
    </w:p>
    <w:p>
      <w:pPr>
        <w:spacing w:after="120"/>
      </w:pPr>
      <w:r>
        <w:t xml:space="preserve">A condensed, one-page version of this whole playbook, similar in spirit to the canvas tool the MIT Sloan course mentions for quickly checking organizational fit, value proposition, and governance needs before committing real resources. I'll check this against the course's actual canvas template once we see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Block</w:t>
            </w:r>
          </w:p>
        </w:tc>
        <w:tc>
          <w:tcPr>
            <w:tcW w:type="dxa" w:w="6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Summary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Use case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Translate SEPA/ISO 20022 regulatory changes (e.g. the 15 Nov 2026 structured address mandate) into engineering-ready requirements, validation rules, and test cases.</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Value proposition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Faster, more consistent first drafts of compliance requirements ahead of hard external deadlines, freeing specialist time for judgment-heavy escalation work.</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Organizational fit</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Fits teams that already run a manual interpret-then-specify process for scheme/rulebook changes; requires a compliance specialist willing to review agent drafts rather than write from scratch.</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Autonomy level</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Tool, not Teammate (Section 6). Human checkpoint mandatory at every cycle; no autonomous production action.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Key risks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Hallucinated requirements; undetected ambiguity in source text; reviewer fatigue under deadline pressure (Section 7 incident scenario).</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Governance requirements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Mandatory human approval, confidence scoring on every output, audit trail of approvals, periodic golden-set re-evaluation (Section 5, Section 8).</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Resources required</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Low-code orchestration (e.g. n8n), LLM API access, a small golden set of scenarios, and compliance specialist time for review and validation — no new headcount required for the pilot phase.</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Success signal to scale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Unedited approval rate and cycle-time improvements sustained over the shadow-run phase (Section 10, Phase 2) before moving to supervised production use.</w:t>
            </w:r>
          </w:p>
        </w:tc>
      </w:tr>
    </w:tbl>
    <w:p>
      <w:r>
        <w:br w:type="page"/>
      </w:r>
    </w:p>
    <w:p>
      <w:pPr>
        <w:pStyle w:val="Heading1"/>
      </w:pPr>
      <w:r>
        <w:t xml:space="preserve">Appendix B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Term</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i w:val="false"/>
                <w:iCs w:val="false"/>
                <w:color w:val="FFFFFF"/>
                <w:sz w:val="20"/>
                <w:szCs w:val="20"/>
              </w:rPr>
              <w:t xml:space="preserve">Meaning in this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SEPA</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Single Euro Payments Area — the EU framework enabling euro-denominated payments to be made under the same basic conditions across member countries.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ISO 20022</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An international standard for financial messaging, defining structured data formats (including the address fields referenced in this playbook) used in payment messages.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EPC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European Payments Council — the body that defines and maintains SEPA payment scheme rulebooks.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CBPR+</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Cross-Border Payments and Reporting Plus — the SWIFT initiative aligning cross-border payment messages with the ISO 20022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pacs.008 / pacs.003</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ISO 20022 message types used respectively for SEPA Credit Transfers and SEPA Direct Debits.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Golden set</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 fixed set of test scenarios with known expected outcomes, used to evaluate the agent's output consistently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Human-in-the-loop / checkpoint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 design pattern where a human must review and approve an AI-generated output before it has any real-world effect.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Confidence level</w:t>
            </w:r>
          </w:p>
        </w:tc>
        <w:tc>
          <w:tcPr>
            <w:tcW w:type="dxa" w:w="6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i w:val="false"/>
                <w:iCs w:val="false"/>
                <w:sz w:val="20"/>
                <w:szCs w:val="20"/>
              </w:rPr>
              <w:t xml:space="preserve">A self-reported signal from the agent indicating how certain it is that its output is correct and complete, used to triage which outputs need closer human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Tool vs. Teammate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A framework for deciding how much autonomy an agent holds in a workflow — "Tool" drafts and waits for human decision; "Teammate" can act with greater independence within defined boundaries.</w:t>
            </w:r>
          </w:p>
        </w:tc>
      </w:tr>
    </w:tbl>
    <w:p>
      <w:pPr>
        <w:spacing w:after="120"/>
      </w:pPr>
      <w:r>
        <w:rPr>
          <w:i/>
          <w:iCs/>
          <w:color w:val="595959"/>
          <w:sz w:val="20"/>
          <w:szCs w:val="20"/>
        </w:rPr>
        <w:t xml:space="preserve">The actual implementation detail, full agent prompt, more worked examples, the step-by-step build, lives in the companion "Prototype Action Plan" document instead. Keeping it separate from this playbook on purpose, so this one stays focused on the decisions, not the build.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Playbook Draft — AI Payments Compliance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2026-06-18T11:37:49.668Z</dcterms:created>
  <dcterms:modified xsi:type="dcterms:W3CDTF">2026-06-18T11:37:49.669Z</dcterms:modified>
</cp:coreProperties>
</file>

<file path=docProps/custom.xml><?xml version="1.0" encoding="utf-8"?>
<Properties xmlns="http://schemas.openxmlformats.org/officeDocument/2006/custom-properties" xmlns:vt="http://schemas.openxmlformats.org/officeDocument/2006/docPropsVTypes"/>
</file>