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F186A5" w14:textId="747D7A90" w:rsidR="004B2896" w:rsidRPr="006F722D" w:rsidRDefault="00000000" w:rsidP="003967F2">
      <w:pPr>
        <w:jc w:val="center"/>
        <w:rPr>
          <w:rFonts w:cs="Arial"/>
          <w:color w:val="000000" w:themeColor="text1"/>
          <w:lang w:val="es-ES"/>
        </w:rPr>
      </w:pPr>
      <w:r w:rsidRPr="006F722D">
        <w:rPr>
          <w:rFonts w:cs="Arial"/>
          <w:b/>
          <w:color w:val="000000" w:themeColor="text1"/>
          <w:sz w:val="36"/>
          <w:lang w:val="es-ES"/>
        </w:rPr>
        <w:t>Manual Marco del Biobanco HEC-CEMET</w:t>
      </w:r>
    </w:p>
    <w:p w14:paraId="59C76B70" w14:textId="77777777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i/>
          <w:color w:val="000000" w:themeColor="text1"/>
          <w:sz w:val="22"/>
          <w:lang w:val="es-ES"/>
        </w:rPr>
        <w:t>Gobierno, estructura de dos unidades y criterios generales</w:t>
      </w:r>
    </w:p>
    <w:p w14:paraId="52719F7F" w14:textId="6F9A2CD0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b/>
          <w:color w:val="000000" w:themeColor="text1"/>
          <w:lang w:val="es-ES"/>
        </w:rPr>
        <w:t>Hospital El Cruce - Centro de Medicina Traslacional (CEMET)</w:t>
      </w:r>
      <w:r w:rsidRPr="006F722D">
        <w:rPr>
          <w:rFonts w:cs="Arial"/>
          <w:b/>
          <w:color w:val="000000" w:themeColor="text1"/>
          <w:lang w:val="es-ES"/>
        </w:rPr>
        <w:br/>
      </w:r>
    </w:p>
    <w:p w14:paraId="6C00B5FB" w14:textId="77777777" w:rsidR="004B2896" w:rsidRPr="006F722D" w:rsidRDefault="004B2896" w:rsidP="003967F2">
      <w:pPr>
        <w:jc w:val="both"/>
        <w:rPr>
          <w:rFonts w:cs="Arial"/>
          <w:color w:val="000000" w:themeColor="text1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4B2896" w:rsidRPr="006F722D" w14:paraId="11CFC276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72525F22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Director del Biobanco</w:t>
            </w:r>
          </w:p>
        </w:tc>
        <w:tc>
          <w:tcPr>
            <w:tcW w:w="5071" w:type="dxa"/>
            <w:vAlign w:val="center"/>
          </w:tcPr>
          <w:p w14:paraId="5D188C6B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8"/>
                <w:lang w:val="es-ES"/>
              </w:rPr>
              <w:t>Dr. Martín Ledesma</w:t>
            </w:r>
          </w:p>
        </w:tc>
      </w:tr>
      <w:tr w:rsidR="004B2896" w:rsidRPr="006F722D" w14:paraId="5923CF4B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6A63D752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Técnico operativo</w:t>
            </w:r>
          </w:p>
        </w:tc>
        <w:tc>
          <w:tcPr>
            <w:tcW w:w="5071" w:type="dxa"/>
            <w:vAlign w:val="center"/>
          </w:tcPr>
          <w:p w14:paraId="1348564F" w14:textId="614481BF" w:rsidR="004B2896" w:rsidRPr="006F722D" w:rsidRDefault="005B1D44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8"/>
                <w:lang w:val="es-ES"/>
              </w:rPr>
              <w:t>Lic. Ezequiel Romero</w:t>
            </w:r>
          </w:p>
        </w:tc>
      </w:tr>
      <w:tr w:rsidR="004B2896" w:rsidRPr="006F722D" w14:paraId="5AAC0FBE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4DD44BBC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Fecha de elaboración</w:t>
            </w:r>
          </w:p>
        </w:tc>
        <w:tc>
          <w:tcPr>
            <w:tcW w:w="5071" w:type="dxa"/>
            <w:vAlign w:val="center"/>
          </w:tcPr>
          <w:p w14:paraId="646A3CD1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8"/>
                <w:lang w:val="es-ES"/>
              </w:rPr>
              <w:t>2026-09-04</w:t>
            </w:r>
          </w:p>
        </w:tc>
      </w:tr>
      <w:tr w:rsidR="004B2896" w:rsidRPr="006F722D" w14:paraId="7B0A734F" w14:textId="77777777">
        <w:trPr>
          <w:jc w:val="center"/>
        </w:trPr>
        <w:tc>
          <w:tcPr>
            <w:tcW w:w="5071" w:type="dxa"/>
            <w:shd w:val="clear" w:color="auto" w:fill="D9EAF7"/>
            <w:vAlign w:val="center"/>
          </w:tcPr>
          <w:p w14:paraId="15E4C27E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Estado</w:t>
            </w:r>
          </w:p>
        </w:tc>
        <w:tc>
          <w:tcPr>
            <w:tcW w:w="5071" w:type="dxa"/>
            <w:vAlign w:val="center"/>
          </w:tcPr>
          <w:p w14:paraId="040626C8" w14:textId="38946F3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8"/>
                <w:lang w:val="es-ES"/>
              </w:rPr>
              <w:t xml:space="preserve">BORRADOR </w:t>
            </w:r>
          </w:p>
        </w:tc>
      </w:tr>
    </w:tbl>
    <w:p w14:paraId="02B48BB0" w14:textId="77777777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br w:type="page"/>
      </w:r>
    </w:p>
    <w:p w14:paraId="635F8DC4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lastRenderedPageBreak/>
        <w:t>1. Modelo operativo propuesto</w:t>
      </w:r>
    </w:p>
    <w:p w14:paraId="63CE8633" w14:textId="77777777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Se propone un único Biobanco institucional con un Sistema de Gestión de Calidad común y dos unidades operativas físicamente separadas:</w:t>
      </w:r>
    </w:p>
    <w:p w14:paraId="04FF35E3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Unidad A - Investigación Institucional HEC-CEMET: 2 </w:t>
      </w:r>
      <w:proofErr w:type="spellStart"/>
      <w:r w:rsidRPr="006F722D">
        <w:rPr>
          <w:rFonts w:cs="Arial"/>
          <w:color w:val="000000" w:themeColor="text1"/>
          <w:lang w:val="es-ES"/>
        </w:rPr>
        <w:t>ultrafreezers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de -80 °C y 1 </w:t>
      </w:r>
      <w:proofErr w:type="spellStart"/>
      <w:r w:rsidRPr="006F722D">
        <w:rPr>
          <w:rFonts w:cs="Arial"/>
          <w:color w:val="000000" w:themeColor="text1"/>
          <w:lang w:val="es-ES"/>
        </w:rPr>
        <w:t>ultrafreezer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de -150 °C; destinada a investigadores, servicios hospitalarios y colecciones institucionales.</w:t>
      </w:r>
    </w:p>
    <w:p w14:paraId="4DC2F365" w14:textId="646AF03C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Unidad B - Servicios / Industria: 2 </w:t>
      </w:r>
      <w:proofErr w:type="spellStart"/>
      <w:r w:rsidRPr="006F722D">
        <w:rPr>
          <w:rFonts w:cs="Arial"/>
          <w:color w:val="000000" w:themeColor="text1"/>
          <w:lang w:val="es-ES"/>
        </w:rPr>
        <w:t>ultrafreezers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</w:t>
      </w:r>
      <w:r w:rsidR="00862374">
        <w:rPr>
          <w:rFonts w:cs="Arial"/>
          <w:color w:val="000000" w:themeColor="text1"/>
          <w:lang w:val="es-ES"/>
        </w:rPr>
        <w:t>a</w:t>
      </w:r>
      <w:r w:rsidRPr="006F722D">
        <w:rPr>
          <w:rFonts w:cs="Arial"/>
          <w:color w:val="000000" w:themeColor="text1"/>
          <w:lang w:val="es-ES"/>
        </w:rPr>
        <w:t xml:space="preserve"> -80 °C y 1 </w:t>
      </w:r>
      <w:proofErr w:type="spellStart"/>
      <w:r w:rsidRPr="006F722D">
        <w:rPr>
          <w:rFonts w:cs="Arial"/>
          <w:color w:val="000000" w:themeColor="text1"/>
          <w:lang w:val="es-ES"/>
        </w:rPr>
        <w:t>ultrafreezer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</w:t>
      </w:r>
      <w:r w:rsidR="00862374">
        <w:rPr>
          <w:rFonts w:cs="Arial"/>
          <w:color w:val="000000" w:themeColor="text1"/>
          <w:lang w:val="es-ES"/>
        </w:rPr>
        <w:t>a</w:t>
      </w:r>
      <w:r w:rsidRPr="006F722D">
        <w:rPr>
          <w:rFonts w:cs="Arial"/>
          <w:color w:val="000000" w:themeColor="text1"/>
          <w:lang w:val="es-ES"/>
        </w:rPr>
        <w:t xml:space="preserve"> -150 °C; destinada a protocolos clínicos, CRO, industria farmacéutica/biotecnológica y otros servicios externos.</w:t>
      </w:r>
    </w:p>
    <w:p w14:paraId="4B0050CB" w14:textId="0D45453A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La asignación de los identificadores </w:t>
      </w:r>
      <w:r w:rsidR="00862374">
        <w:rPr>
          <w:rFonts w:cs="Arial"/>
          <w:color w:val="000000" w:themeColor="text1"/>
          <w:lang w:val="es-ES"/>
        </w:rPr>
        <w:t xml:space="preserve">específicos </w:t>
      </w:r>
      <w:r w:rsidRPr="006F722D">
        <w:rPr>
          <w:rFonts w:cs="Arial"/>
          <w:color w:val="000000" w:themeColor="text1"/>
          <w:lang w:val="es-ES"/>
        </w:rPr>
        <w:t xml:space="preserve">de equipo a cada sala debe formalizarse en la Matriz de Equipamiento antes de </w:t>
      </w:r>
      <w:r w:rsidR="006F722D">
        <w:rPr>
          <w:rFonts w:cs="Arial"/>
          <w:color w:val="000000" w:themeColor="text1"/>
          <w:lang w:val="es-ES"/>
        </w:rPr>
        <w:t>su</w:t>
      </w:r>
      <w:r w:rsidRPr="006F722D">
        <w:rPr>
          <w:rFonts w:cs="Arial"/>
          <w:color w:val="000000" w:themeColor="text1"/>
          <w:lang w:val="es-ES"/>
        </w:rPr>
        <w:t xml:space="preserve"> </w:t>
      </w:r>
      <w:proofErr w:type="gramStart"/>
      <w:r w:rsidRPr="006F722D">
        <w:rPr>
          <w:rFonts w:cs="Arial"/>
          <w:color w:val="000000" w:themeColor="text1"/>
          <w:lang w:val="es-ES"/>
        </w:rPr>
        <w:t>entrada en vigencia</w:t>
      </w:r>
      <w:proofErr w:type="gramEnd"/>
      <w:r w:rsidRPr="006F722D">
        <w:rPr>
          <w:rFonts w:cs="Arial"/>
          <w:color w:val="000000" w:themeColor="text1"/>
          <w:lang w:val="es-ES"/>
        </w:rPr>
        <w:t xml:space="preserve">. Los documentos institucionales adjuntos describen cuatro unidades </w:t>
      </w:r>
      <w:r w:rsidR="006F722D">
        <w:rPr>
          <w:rFonts w:cs="Arial"/>
          <w:color w:val="000000" w:themeColor="text1"/>
          <w:lang w:val="es-ES"/>
        </w:rPr>
        <w:t xml:space="preserve">a </w:t>
      </w:r>
      <w:r w:rsidRPr="006F722D">
        <w:rPr>
          <w:rFonts w:cs="Arial"/>
          <w:color w:val="000000" w:themeColor="text1"/>
          <w:lang w:val="es-ES"/>
        </w:rPr>
        <w:t xml:space="preserve">-80 °C y dos </w:t>
      </w:r>
      <w:r w:rsidR="006F722D">
        <w:rPr>
          <w:rFonts w:cs="Arial"/>
          <w:color w:val="000000" w:themeColor="text1"/>
          <w:lang w:val="es-ES"/>
        </w:rPr>
        <w:t xml:space="preserve">a </w:t>
      </w:r>
      <w:r w:rsidRPr="006F722D">
        <w:rPr>
          <w:rFonts w:cs="Arial"/>
          <w:color w:val="000000" w:themeColor="text1"/>
          <w:lang w:val="es-ES"/>
        </w:rPr>
        <w:t xml:space="preserve">-150 °C, además de </w:t>
      </w:r>
      <w:r w:rsidR="006F722D">
        <w:rPr>
          <w:rFonts w:cs="Arial"/>
          <w:color w:val="000000" w:themeColor="text1"/>
          <w:lang w:val="es-ES"/>
        </w:rPr>
        <w:t xml:space="preserve">los </w:t>
      </w:r>
      <w:r w:rsidRPr="006F722D">
        <w:rPr>
          <w:rFonts w:cs="Arial"/>
          <w:color w:val="000000" w:themeColor="text1"/>
          <w:lang w:val="es-ES"/>
        </w:rPr>
        <w:t xml:space="preserve">antecedentes de </w:t>
      </w:r>
      <w:r w:rsidR="006F722D">
        <w:rPr>
          <w:rFonts w:cs="Arial"/>
          <w:color w:val="000000" w:themeColor="text1"/>
          <w:lang w:val="es-ES"/>
        </w:rPr>
        <w:t xml:space="preserve">los </w:t>
      </w:r>
      <w:r w:rsidRPr="006F722D">
        <w:rPr>
          <w:rFonts w:cs="Arial"/>
          <w:color w:val="000000" w:themeColor="text1"/>
          <w:lang w:val="es-ES"/>
        </w:rPr>
        <w:t>equipos de tránsito</w:t>
      </w:r>
      <w:r w:rsidR="006F722D">
        <w:rPr>
          <w:rFonts w:cs="Arial"/>
          <w:color w:val="000000" w:themeColor="text1"/>
          <w:lang w:val="es-ES"/>
        </w:rPr>
        <w:t xml:space="preserve"> y de respaldo.</w:t>
      </w:r>
      <w:r w:rsidRPr="006F722D">
        <w:rPr>
          <w:rFonts w:cs="Arial"/>
          <w:color w:val="000000" w:themeColor="text1"/>
          <w:lang w:val="es-ES"/>
        </w:rPr>
        <w:t xml:space="preserve"> </w:t>
      </w:r>
      <w:r w:rsidR="006F722D">
        <w:rPr>
          <w:rFonts w:cs="Arial"/>
          <w:color w:val="000000" w:themeColor="text1"/>
          <w:lang w:val="es-ES"/>
        </w:rPr>
        <w:t>L</w:t>
      </w:r>
      <w:r w:rsidRPr="006F722D">
        <w:rPr>
          <w:rFonts w:cs="Arial"/>
          <w:color w:val="000000" w:themeColor="text1"/>
          <w:lang w:val="es-ES"/>
        </w:rPr>
        <w:t xml:space="preserve">a nueva distribución exige redefinir </w:t>
      </w:r>
      <w:r w:rsidR="006F722D">
        <w:rPr>
          <w:rFonts w:cs="Arial"/>
          <w:color w:val="000000" w:themeColor="text1"/>
          <w:lang w:val="es-ES"/>
        </w:rPr>
        <w:t>explícitamente</w:t>
      </w:r>
      <w:r w:rsidRPr="006F722D">
        <w:rPr>
          <w:rFonts w:cs="Arial"/>
          <w:color w:val="000000" w:themeColor="text1"/>
          <w:lang w:val="es-ES"/>
        </w:rPr>
        <w:t xml:space="preserve"> la estrategia de respaldo.</w:t>
      </w:r>
    </w:p>
    <w:p w14:paraId="6628532F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2. Principios de funcionamiento</w:t>
      </w:r>
    </w:p>
    <w:p w14:paraId="340C314E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Acceso físico restringido y trazable.</w:t>
      </w:r>
    </w:p>
    <w:p w14:paraId="52CC4125" w14:textId="48E505AF" w:rsidR="004B2896" w:rsidRPr="006F722D" w:rsidRDefault="006F722D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>
        <w:rPr>
          <w:rFonts w:cs="Arial"/>
          <w:color w:val="000000" w:themeColor="text1"/>
          <w:lang w:val="es-ES"/>
        </w:rPr>
        <w:t>La m</w:t>
      </w:r>
      <w:r w:rsidRPr="006F722D">
        <w:rPr>
          <w:rFonts w:cs="Arial"/>
          <w:color w:val="000000" w:themeColor="text1"/>
          <w:lang w:val="es-ES"/>
        </w:rPr>
        <w:t xml:space="preserve">anipulación de </w:t>
      </w:r>
      <w:r w:rsidR="00862374">
        <w:rPr>
          <w:rFonts w:cs="Arial"/>
          <w:color w:val="000000" w:themeColor="text1"/>
          <w:lang w:val="es-ES"/>
        </w:rPr>
        <w:t xml:space="preserve">los </w:t>
      </w:r>
      <w:proofErr w:type="spellStart"/>
      <w:r w:rsidRPr="006F722D">
        <w:rPr>
          <w:rFonts w:cs="Arial"/>
          <w:color w:val="000000" w:themeColor="text1"/>
          <w:lang w:val="es-ES"/>
        </w:rPr>
        <w:t>ultrafreezers</w:t>
      </w:r>
      <w:proofErr w:type="spellEnd"/>
      <w:r>
        <w:rPr>
          <w:rFonts w:cs="Arial"/>
          <w:color w:val="000000" w:themeColor="text1"/>
          <w:lang w:val="es-ES"/>
        </w:rPr>
        <w:t xml:space="preserve"> es</w:t>
      </w:r>
      <w:r w:rsidRPr="006F722D">
        <w:rPr>
          <w:rFonts w:cs="Arial"/>
          <w:color w:val="000000" w:themeColor="text1"/>
          <w:lang w:val="es-ES"/>
        </w:rPr>
        <w:t xml:space="preserve"> realizada preferentemente por personal del Biobanco; en </w:t>
      </w:r>
      <w:r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Unidad B no se permite</w:t>
      </w:r>
      <w:r>
        <w:rPr>
          <w:rFonts w:cs="Arial"/>
          <w:color w:val="000000" w:themeColor="text1"/>
          <w:lang w:val="es-ES"/>
        </w:rPr>
        <w:t xml:space="preserve"> el</w:t>
      </w:r>
      <w:r w:rsidRPr="006F722D">
        <w:rPr>
          <w:rFonts w:cs="Arial"/>
          <w:color w:val="000000" w:themeColor="text1"/>
          <w:lang w:val="es-ES"/>
        </w:rPr>
        <w:t xml:space="preserve"> autoservicio</w:t>
      </w:r>
      <w:r>
        <w:rPr>
          <w:rFonts w:cs="Arial"/>
          <w:color w:val="000000" w:themeColor="text1"/>
          <w:lang w:val="es-ES"/>
        </w:rPr>
        <w:t xml:space="preserve"> por parte</w:t>
      </w:r>
      <w:r w:rsidRPr="006F722D">
        <w:rPr>
          <w:rFonts w:cs="Arial"/>
          <w:color w:val="000000" w:themeColor="text1"/>
          <w:lang w:val="es-ES"/>
        </w:rPr>
        <w:t xml:space="preserve"> </w:t>
      </w:r>
      <w:r w:rsidR="00862374">
        <w:rPr>
          <w:rFonts w:cs="Arial"/>
          <w:color w:val="000000" w:themeColor="text1"/>
          <w:lang w:val="es-ES"/>
        </w:rPr>
        <w:t xml:space="preserve">del </w:t>
      </w:r>
      <w:proofErr w:type="gramStart"/>
      <w:r w:rsidR="00862374">
        <w:rPr>
          <w:rFonts w:cs="Arial"/>
          <w:color w:val="000000" w:themeColor="text1"/>
          <w:lang w:val="es-ES"/>
        </w:rPr>
        <w:t>sponsor</w:t>
      </w:r>
      <w:proofErr w:type="gramEnd"/>
      <w:r w:rsidR="00862374">
        <w:rPr>
          <w:rFonts w:cs="Arial"/>
          <w:color w:val="000000" w:themeColor="text1"/>
          <w:lang w:val="es-ES"/>
        </w:rPr>
        <w:t>, el monitor, la CRO o el investigador.</w:t>
      </w:r>
    </w:p>
    <w:p w14:paraId="00EC110C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NORAYBANKS como registro maestro de caso codificado, recepción/donación, muestra, derivado, ubicación, consentimiento/documentación, movimientos e incidencias.</w:t>
      </w:r>
    </w:p>
    <w:p w14:paraId="7B569C59" w14:textId="33A2A3D2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Separación física y lógica de </w:t>
      </w:r>
      <w:r w:rsidR="006F722D">
        <w:rPr>
          <w:rFonts w:cs="Arial"/>
          <w:color w:val="000000" w:themeColor="text1"/>
          <w:lang w:val="es-ES"/>
        </w:rPr>
        <w:t>amba</w:t>
      </w:r>
      <w:r w:rsidRPr="006F722D">
        <w:rPr>
          <w:rFonts w:cs="Arial"/>
          <w:color w:val="000000" w:themeColor="text1"/>
          <w:lang w:val="es-ES"/>
        </w:rPr>
        <w:t xml:space="preserve">s unidades, con procedimientos comunes </w:t>
      </w:r>
      <w:r w:rsidR="00862374">
        <w:rPr>
          <w:rFonts w:cs="Arial"/>
          <w:color w:val="000000" w:themeColor="text1"/>
          <w:lang w:val="es-ES"/>
        </w:rPr>
        <w:t>en materia de calidad, bioseguridad, equipos, temperaturas, contingencias y datos.</w:t>
      </w:r>
    </w:p>
    <w:p w14:paraId="44B8FBDE" w14:textId="65F89A1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Capacidad de contingencia reservada y mapa de respaldo cruzado entre salas, manteniendo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 xml:space="preserve">segregación de </w:t>
      </w:r>
      <w:r w:rsidR="006F722D">
        <w:rPr>
          <w:rFonts w:cs="Arial"/>
          <w:color w:val="000000" w:themeColor="text1"/>
          <w:lang w:val="es-ES"/>
        </w:rPr>
        <w:t xml:space="preserve">las </w:t>
      </w:r>
      <w:r w:rsidRPr="006F722D">
        <w:rPr>
          <w:rFonts w:cs="Arial"/>
          <w:color w:val="000000" w:themeColor="text1"/>
          <w:lang w:val="es-ES"/>
        </w:rPr>
        <w:t>colecciones.</w:t>
      </w:r>
    </w:p>
    <w:p w14:paraId="07A34A7E" w14:textId="2CA9CFE2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Toda utilización de muestras debe ser compatible con </w:t>
      </w:r>
      <w:r w:rsidR="006F722D">
        <w:rPr>
          <w:rFonts w:cs="Arial"/>
          <w:color w:val="000000" w:themeColor="text1"/>
          <w:lang w:val="es-ES"/>
        </w:rPr>
        <w:t>el consentimiento informado/la base ética, la aprobación de la CEI y el marco</w:t>
      </w:r>
      <w:r w:rsidRPr="006F722D">
        <w:rPr>
          <w:rFonts w:cs="Arial"/>
          <w:color w:val="000000" w:themeColor="text1"/>
          <w:lang w:val="es-ES"/>
        </w:rPr>
        <w:t xml:space="preserve"> contractual aplicable.</w:t>
      </w:r>
    </w:p>
    <w:p w14:paraId="1E6D8B42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3. Responsabilidades nominales iniciales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4B2896" w:rsidRPr="006F722D" w14:paraId="746E0977" w14:textId="77777777">
        <w:tc>
          <w:tcPr>
            <w:tcW w:w="3381" w:type="dxa"/>
            <w:shd w:val="clear" w:color="auto" w:fill="D9EAF7"/>
            <w:vAlign w:val="center"/>
          </w:tcPr>
          <w:p w14:paraId="6B842164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Rol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4701DEEE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Persona</w:t>
            </w:r>
          </w:p>
        </w:tc>
        <w:tc>
          <w:tcPr>
            <w:tcW w:w="3381" w:type="dxa"/>
            <w:shd w:val="clear" w:color="auto" w:fill="D9EAF7"/>
            <w:vAlign w:val="center"/>
          </w:tcPr>
          <w:p w14:paraId="2DD235FD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b/>
                <w:color w:val="000000" w:themeColor="text1"/>
                <w:sz w:val="18"/>
                <w:lang w:val="es-ES"/>
              </w:rPr>
              <w:t>Responsabilidades principales</w:t>
            </w:r>
          </w:p>
        </w:tc>
      </w:tr>
      <w:tr w:rsidR="004B2896" w:rsidRPr="006F722D" w14:paraId="79EAD995" w14:textId="77777777">
        <w:tc>
          <w:tcPr>
            <w:tcW w:w="3381" w:type="dxa"/>
            <w:vAlign w:val="center"/>
          </w:tcPr>
          <w:p w14:paraId="3C6E2346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>Director del Biobanco</w:t>
            </w:r>
          </w:p>
        </w:tc>
        <w:tc>
          <w:tcPr>
            <w:tcW w:w="3381" w:type="dxa"/>
            <w:vAlign w:val="center"/>
          </w:tcPr>
          <w:p w14:paraId="684C16CF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  <w:tc>
          <w:tcPr>
            <w:tcW w:w="3381" w:type="dxa"/>
            <w:vAlign w:val="center"/>
          </w:tcPr>
          <w:p w14:paraId="4A13EFFF" w14:textId="0F3EC64D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 xml:space="preserve">Gobierno, </w:t>
            </w:r>
            <w:r w:rsidR="00862374">
              <w:rPr>
                <w:rFonts w:cs="Arial"/>
                <w:color w:val="000000" w:themeColor="text1"/>
                <w:sz w:val="17"/>
                <w:lang w:val="es-ES"/>
              </w:rPr>
              <w:t>elaboración</w:t>
            </w: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 xml:space="preserve"> de POE, aceptación de colecciones/servicios, relación con CEI, cesiones, revisión de eventos críticos.</w:t>
            </w:r>
          </w:p>
        </w:tc>
      </w:tr>
      <w:tr w:rsidR="004B2896" w:rsidRPr="006F722D" w14:paraId="5BEF0E97" w14:textId="77777777">
        <w:tc>
          <w:tcPr>
            <w:tcW w:w="3381" w:type="dxa"/>
            <w:vAlign w:val="center"/>
          </w:tcPr>
          <w:p w14:paraId="41AA2210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>Técnico operativo</w:t>
            </w:r>
          </w:p>
        </w:tc>
        <w:tc>
          <w:tcPr>
            <w:tcW w:w="3381" w:type="dxa"/>
            <w:vAlign w:val="center"/>
          </w:tcPr>
          <w:p w14:paraId="36E9A019" w14:textId="7F769C7E" w:rsidR="004B2896" w:rsidRPr="006F722D" w:rsidRDefault="003967F2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>Lic. Ezequiel Romero</w:t>
            </w:r>
          </w:p>
        </w:tc>
        <w:tc>
          <w:tcPr>
            <w:tcW w:w="3381" w:type="dxa"/>
            <w:vAlign w:val="center"/>
          </w:tcPr>
          <w:p w14:paraId="3BAFA238" w14:textId="77777777" w:rsidR="004B2896" w:rsidRPr="006F722D" w:rsidRDefault="00000000" w:rsidP="003967F2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F722D">
              <w:rPr>
                <w:rFonts w:cs="Arial"/>
                <w:color w:val="000000" w:themeColor="text1"/>
                <w:sz w:val="17"/>
                <w:lang w:val="es-ES"/>
              </w:rPr>
              <w:t>Recepción, NORAYBANKS, almacenamiento, movimientos, temperaturas, equipos, limpieza operativa, incidencias y soporte de envíos.</w:t>
            </w:r>
          </w:p>
        </w:tc>
      </w:tr>
    </w:tbl>
    <w:p w14:paraId="5C454AC5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4. Política de bioseguridad y vestimenta</w:t>
      </w:r>
    </w:p>
    <w:p w14:paraId="695252A3" w14:textId="73E2A775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Guardapolvo cerrado, pantalón largo y calzado cerrado para </w:t>
      </w:r>
      <w:r w:rsidR="006F722D">
        <w:rPr>
          <w:rFonts w:cs="Arial"/>
          <w:color w:val="000000" w:themeColor="text1"/>
          <w:lang w:val="es-ES"/>
        </w:rPr>
        <w:t xml:space="preserve">el </w:t>
      </w:r>
      <w:r w:rsidRPr="006F722D">
        <w:rPr>
          <w:rFonts w:cs="Arial"/>
          <w:color w:val="000000" w:themeColor="text1"/>
          <w:lang w:val="es-ES"/>
        </w:rPr>
        <w:t>ingreso operativo.</w:t>
      </w:r>
    </w:p>
    <w:p w14:paraId="163926B6" w14:textId="12D4CD15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Guantes descartables durante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manipulación de muestras; higiene de manos antes y después.</w:t>
      </w:r>
    </w:p>
    <w:p w14:paraId="298ED262" w14:textId="48370ECC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Protección ocular</w:t>
      </w:r>
      <w:r w:rsidR="006F722D">
        <w:rPr>
          <w:rFonts w:cs="Arial"/>
          <w:color w:val="000000" w:themeColor="text1"/>
          <w:lang w:val="es-ES"/>
        </w:rPr>
        <w:t xml:space="preserve"> y </w:t>
      </w:r>
      <w:r w:rsidRPr="006F722D">
        <w:rPr>
          <w:rFonts w:cs="Arial"/>
          <w:color w:val="000000" w:themeColor="text1"/>
          <w:lang w:val="es-ES"/>
        </w:rPr>
        <w:t xml:space="preserve">facial </w:t>
      </w:r>
      <w:r w:rsidR="00862374">
        <w:rPr>
          <w:rFonts w:cs="Arial"/>
          <w:color w:val="000000" w:themeColor="text1"/>
          <w:lang w:val="es-ES"/>
        </w:rPr>
        <w:t>fre</w:t>
      </w:r>
      <w:r w:rsidRPr="006F722D">
        <w:rPr>
          <w:rFonts w:cs="Arial"/>
          <w:color w:val="000000" w:themeColor="text1"/>
          <w:lang w:val="es-ES"/>
        </w:rPr>
        <w:t>nte</w:t>
      </w:r>
      <w:r w:rsidR="00862374">
        <w:rPr>
          <w:rFonts w:cs="Arial"/>
          <w:color w:val="000000" w:themeColor="text1"/>
          <w:lang w:val="es-ES"/>
        </w:rPr>
        <w:t xml:space="preserve"> a</w:t>
      </w:r>
      <w:r w:rsidR="006F722D">
        <w:rPr>
          <w:rFonts w:cs="Arial"/>
          <w:color w:val="000000" w:themeColor="text1"/>
          <w:lang w:val="es-ES"/>
        </w:rPr>
        <w:t>l</w:t>
      </w:r>
      <w:r w:rsidRPr="006F722D">
        <w:rPr>
          <w:rFonts w:cs="Arial"/>
          <w:color w:val="000000" w:themeColor="text1"/>
          <w:lang w:val="es-ES"/>
        </w:rPr>
        <w:t xml:space="preserve"> riesgo de salpicaduras; EPP criogénico a</w:t>
      </w:r>
      <w:r w:rsidR="006F722D">
        <w:rPr>
          <w:rFonts w:cs="Arial"/>
          <w:color w:val="000000" w:themeColor="text1"/>
          <w:lang w:val="es-ES"/>
        </w:rPr>
        <w:t>decu</w:t>
      </w:r>
      <w:r w:rsidRPr="006F722D">
        <w:rPr>
          <w:rFonts w:cs="Arial"/>
          <w:color w:val="000000" w:themeColor="text1"/>
          <w:lang w:val="es-ES"/>
        </w:rPr>
        <w:t>ado para -150 °C.</w:t>
      </w:r>
    </w:p>
    <w:p w14:paraId="6729D144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Prohibido comer, beber, fumar o almacenar alimentos.</w:t>
      </w:r>
    </w:p>
    <w:p w14:paraId="4A4E0B79" w14:textId="3E15FC20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No tocar picaportes, teclados </w:t>
      </w:r>
      <w:r w:rsidR="006F722D">
        <w:rPr>
          <w:rFonts w:cs="Arial"/>
          <w:color w:val="000000" w:themeColor="text1"/>
          <w:lang w:val="es-ES"/>
        </w:rPr>
        <w:t>ni</w:t>
      </w:r>
      <w:r w:rsidRPr="006F722D">
        <w:rPr>
          <w:rFonts w:cs="Arial"/>
          <w:color w:val="000000" w:themeColor="text1"/>
          <w:lang w:val="es-ES"/>
        </w:rPr>
        <w:t xml:space="preserve"> teléfonos con guantes utilizados para muestras.</w:t>
      </w:r>
    </w:p>
    <w:p w14:paraId="2F1AFEC5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lastRenderedPageBreak/>
        <w:t>5. Política de temperatura y contingencia</w:t>
      </w:r>
    </w:p>
    <w:p w14:paraId="39AC8EED" w14:textId="0A720B0E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Monitoreo continuo siempre que el sistema institucional esté disponible.</w:t>
      </w:r>
    </w:p>
    <w:p w14:paraId="2BF3FF41" w14:textId="7593A6FB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Revisión diaria </w:t>
      </w:r>
      <w:r w:rsidR="006F722D" w:rsidRPr="006F722D">
        <w:rPr>
          <w:rFonts w:cs="Arial"/>
          <w:color w:val="000000" w:themeColor="text1"/>
          <w:lang w:val="es-ES"/>
        </w:rPr>
        <w:t xml:space="preserve">documentada </w:t>
      </w:r>
      <w:r w:rsidRPr="006F722D">
        <w:rPr>
          <w:rFonts w:cs="Arial"/>
          <w:color w:val="000000" w:themeColor="text1"/>
          <w:lang w:val="es-ES"/>
        </w:rPr>
        <w:t>por</w:t>
      </w:r>
      <w:r w:rsidR="006F722D" w:rsidRPr="006F722D">
        <w:rPr>
          <w:rFonts w:cs="Arial"/>
          <w:color w:val="000000" w:themeColor="text1"/>
          <w:lang w:val="es-ES"/>
        </w:rPr>
        <w:t xml:space="preserve"> el</w:t>
      </w:r>
      <w:r w:rsidRPr="006F722D">
        <w:rPr>
          <w:rFonts w:cs="Arial"/>
          <w:color w:val="000000" w:themeColor="text1"/>
          <w:lang w:val="es-ES"/>
        </w:rPr>
        <w:t xml:space="preserve"> personal del Biobanco.</w:t>
      </w:r>
    </w:p>
    <w:p w14:paraId="4A941C55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Revisión mensual de tendencias y eventos por Dirección.</w:t>
      </w:r>
    </w:p>
    <w:p w14:paraId="2F0FB9CE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Cadena de llamados para alarmas con prueba periódica.</w:t>
      </w:r>
    </w:p>
    <w:p w14:paraId="0957CDE9" w14:textId="7B567FB1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Límites de alarma por equipo definidos en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 xml:space="preserve">matriz técnica; en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Unidad B</w:t>
      </w:r>
      <w:r w:rsidR="006F722D">
        <w:rPr>
          <w:rFonts w:cs="Arial"/>
          <w:color w:val="000000" w:themeColor="text1"/>
          <w:lang w:val="es-ES"/>
        </w:rPr>
        <w:t>, además,</w:t>
      </w:r>
      <w:r w:rsidRPr="006F722D">
        <w:rPr>
          <w:rFonts w:cs="Arial"/>
          <w:color w:val="000000" w:themeColor="text1"/>
          <w:lang w:val="es-ES"/>
        </w:rPr>
        <w:t xml:space="preserve"> se aplican los límites específicos del protocolo/</w:t>
      </w:r>
      <w:proofErr w:type="gramStart"/>
      <w:r w:rsidRPr="006F722D">
        <w:rPr>
          <w:rFonts w:cs="Arial"/>
          <w:color w:val="000000" w:themeColor="text1"/>
          <w:lang w:val="es-ES"/>
        </w:rPr>
        <w:t>sponsor</w:t>
      </w:r>
      <w:proofErr w:type="gramEnd"/>
      <w:r w:rsidRPr="006F722D">
        <w:rPr>
          <w:rFonts w:cs="Arial"/>
          <w:color w:val="000000" w:themeColor="text1"/>
          <w:lang w:val="es-ES"/>
        </w:rPr>
        <w:t>.</w:t>
      </w:r>
    </w:p>
    <w:p w14:paraId="08830E5B" w14:textId="430B19B9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Mapa documentado de capacidad de respaldo; evitar </w:t>
      </w:r>
      <w:r w:rsidR="006F722D" w:rsidRPr="006F722D">
        <w:rPr>
          <w:rFonts w:cs="Arial"/>
          <w:color w:val="000000" w:themeColor="text1"/>
          <w:lang w:val="es-ES"/>
        </w:rPr>
        <w:t>utiliz</w:t>
      </w:r>
      <w:r w:rsidRPr="006F722D">
        <w:rPr>
          <w:rFonts w:cs="Arial"/>
          <w:color w:val="000000" w:themeColor="text1"/>
          <w:lang w:val="es-ES"/>
        </w:rPr>
        <w:t xml:space="preserve">ar la totalidad de la capacidad </w:t>
      </w:r>
      <w:r w:rsidR="006F722D">
        <w:rPr>
          <w:rFonts w:cs="Arial"/>
          <w:color w:val="000000" w:themeColor="text1"/>
          <w:lang w:val="es-ES"/>
        </w:rPr>
        <w:t>disponi</w:t>
      </w:r>
      <w:r w:rsidRPr="006F722D">
        <w:rPr>
          <w:rFonts w:cs="Arial"/>
          <w:color w:val="000000" w:themeColor="text1"/>
          <w:lang w:val="es-ES"/>
        </w:rPr>
        <w:t>ble.</w:t>
      </w:r>
    </w:p>
    <w:p w14:paraId="26CA8111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6. Política de consentimiento y uso</w:t>
      </w:r>
    </w:p>
    <w:p w14:paraId="41C63202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Consentimiento específico para proyectos definidos cuando corresponda.</w:t>
      </w:r>
    </w:p>
    <w:p w14:paraId="6B793F7B" w14:textId="5ADA8158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Consentimiento amplio para </w:t>
      </w:r>
      <w:r w:rsidR="00862374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guarda y futuras investigaciones</w:t>
      </w:r>
      <w:r w:rsidR="00862374">
        <w:rPr>
          <w:rFonts w:cs="Arial"/>
          <w:color w:val="000000" w:themeColor="text1"/>
          <w:lang w:val="es-ES"/>
        </w:rPr>
        <w:t>,</w:t>
      </w:r>
      <w:r w:rsidRPr="006F722D">
        <w:rPr>
          <w:rFonts w:cs="Arial"/>
          <w:color w:val="000000" w:themeColor="text1"/>
          <w:lang w:val="es-ES"/>
        </w:rPr>
        <w:t xml:space="preserve"> cuando corresponda y sea aprobado por </w:t>
      </w:r>
      <w:r w:rsidR="006F722D">
        <w:rPr>
          <w:rFonts w:cs="Arial"/>
          <w:color w:val="000000" w:themeColor="text1"/>
          <w:lang w:val="es-ES"/>
        </w:rPr>
        <w:t xml:space="preserve">el </w:t>
      </w:r>
      <w:r w:rsidRPr="006F722D">
        <w:rPr>
          <w:rFonts w:cs="Arial"/>
          <w:color w:val="000000" w:themeColor="text1"/>
          <w:lang w:val="es-ES"/>
        </w:rPr>
        <w:t>CEI.</w:t>
      </w:r>
    </w:p>
    <w:p w14:paraId="258539D6" w14:textId="21D89011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Diseño combinado recomendado: participación en estudio específico + opción independiente para almacenamiento/uso futuro; sujeto a aprobación </w:t>
      </w:r>
      <w:r w:rsidR="006F722D">
        <w:rPr>
          <w:rFonts w:cs="Arial"/>
          <w:color w:val="000000" w:themeColor="text1"/>
          <w:lang w:val="es-ES"/>
        </w:rPr>
        <w:t xml:space="preserve">del </w:t>
      </w:r>
      <w:r w:rsidRPr="006F722D">
        <w:rPr>
          <w:rFonts w:cs="Arial"/>
          <w:color w:val="000000" w:themeColor="text1"/>
          <w:lang w:val="es-ES"/>
        </w:rPr>
        <w:t>CEI.</w:t>
      </w:r>
    </w:p>
    <w:p w14:paraId="03088CA8" w14:textId="21898D94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Consentimiento/representación para menores y procedimiento de </w:t>
      </w:r>
      <w:proofErr w:type="spellStart"/>
      <w:r w:rsidRPr="006F722D">
        <w:rPr>
          <w:rFonts w:cs="Arial"/>
          <w:color w:val="000000" w:themeColor="text1"/>
          <w:lang w:val="es-ES"/>
        </w:rPr>
        <w:t>reconsentimiento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según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evaluación ética y normativa.</w:t>
      </w:r>
    </w:p>
    <w:p w14:paraId="7A08A833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Revocación: bloqueo inmediato de nuevos usos y resolución documentada del destino de muestras/datos.</w:t>
      </w:r>
    </w:p>
    <w:p w14:paraId="39299BF3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7. Política para servicios a industria</w:t>
      </w:r>
    </w:p>
    <w:p w14:paraId="0C508795" w14:textId="77777777" w:rsidR="004B2896" w:rsidRPr="006F722D" w:rsidRDefault="00000000" w:rsidP="003967F2">
      <w:pPr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La Unidad B se plantea como una prestación institucional de recepción, custodia, almacenamiento, trazabilidad, preparación y expedición de muestras. Los contratos deberán ser revisados por las áreas institucionales competentes. Las muestras no deben tratarse como bienes objeto de compraventa; cualquier arancel debe corresponder al servicio y a los costos/recursos asociados.</w:t>
      </w:r>
    </w:p>
    <w:p w14:paraId="086E0B7D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8. Normativa y referencias verificadas</w:t>
      </w:r>
    </w:p>
    <w:p w14:paraId="00BB8245" w14:textId="4AA089A8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Resolución </w:t>
      </w:r>
      <w:r w:rsidR="006F722D">
        <w:rPr>
          <w:rFonts w:cs="Arial"/>
          <w:color w:val="000000" w:themeColor="text1"/>
          <w:lang w:val="es-ES"/>
        </w:rPr>
        <w:t xml:space="preserve">del </w:t>
      </w:r>
      <w:r w:rsidRPr="006F722D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34814BF6" w14:textId="34EA84D6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Resolución </w:t>
      </w:r>
      <w:r w:rsidR="006F722D">
        <w:rPr>
          <w:rFonts w:cs="Arial"/>
          <w:color w:val="000000" w:themeColor="text1"/>
          <w:lang w:val="es-ES"/>
        </w:rPr>
        <w:t xml:space="preserve">del </w:t>
      </w:r>
      <w:r w:rsidRPr="006F722D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5F4BED5D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Ley 25.326 - Protección de los Datos Personales.</w:t>
      </w:r>
    </w:p>
    <w:p w14:paraId="7EDDFBAF" w14:textId="108A30D5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Ley 26.529 y </w:t>
      </w:r>
      <w:r w:rsidR="006F722D">
        <w:rPr>
          <w:rFonts w:cs="Arial"/>
          <w:color w:val="000000" w:themeColor="text1"/>
          <w:lang w:val="es-ES"/>
        </w:rPr>
        <w:t xml:space="preserve">su </w:t>
      </w:r>
      <w:r w:rsidRPr="006F722D">
        <w:rPr>
          <w:rFonts w:cs="Arial"/>
          <w:color w:val="000000" w:themeColor="text1"/>
          <w:lang w:val="es-ES"/>
        </w:rPr>
        <w:t>modificatoria</w:t>
      </w:r>
      <w:r w:rsidR="006F722D">
        <w:rPr>
          <w:rFonts w:cs="Arial"/>
          <w:color w:val="000000" w:themeColor="text1"/>
          <w:lang w:val="es-ES"/>
        </w:rPr>
        <w:t>,</w:t>
      </w:r>
      <w:r w:rsidRPr="006F722D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250D6A94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0EBE68F0" w14:textId="4BC8B555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Ley </w:t>
      </w:r>
      <w:r w:rsidR="006F722D">
        <w:rPr>
          <w:rFonts w:cs="Arial"/>
          <w:color w:val="000000" w:themeColor="text1"/>
          <w:lang w:val="es-ES"/>
        </w:rPr>
        <w:t xml:space="preserve">de la </w:t>
      </w:r>
      <w:r w:rsidRPr="006F722D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39CC895E" w14:textId="4CF7D83D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6F722D">
        <w:rPr>
          <w:rFonts w:cs="Arial"/>
          <w:color w:val="000000" w:themeColor="text1"/>
          <w:lang w:val="es-ES"/>
        </w:rPr>
        <w:t>Practices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normativa aplicable).</w:t>
      </w:r>
    </w:p>
    <w:p w14:paraId="0C2F6B3A" w14:textId="0BA0F12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Disposición ANMAT 7516/2025: vigente desde 01/12/2025 para estudios de farmacología clínica con fines registrales; derogó la Disposición 6677/2010 y adoptó ICH E6(R3).</w:t>
      </w:r>
    </w:p>
    <w:p w14:paraId="1231365D" w14:textId="77777777" w:rsidR="004B2896" w:rsidRPr="006F722D" w:rsidRDefault="00000000" w:rsidP="003967F2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F722D">
        <w:rPr>
          <w:rFonts w:ascii="Arial" w:hAnsi="Arial" w:cs="Arial"/>
          <w:color w:val="000000" w:themeColor="text1"/>
          <w:lang w:val="es-ES"/>
        </w:rPr>
        <w:t>9. Pendientes antes de aprobar versión 1.0</w:t>
      </w:r>
    </w:p>
    <w:p w14:paraId="04FF3A4C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Asignar </w:t>
      </w:r>
      <w:proofErr w:type="spellStart"/>
      <w:r w:rsidRPr="006F722D">
        <w:rPr>
          <w:rFonts w:cs="Arial"/>
          <w:color w:val="000000" w:themeColor="text1"/>
          <w:lang w:val="es-ES"/>
        </w:rPr>
        <w:t>IDs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de </w:t>
      </w:r>
      <w:proofErr w:type="spellStart"/>
      <w:r w:rsidRPr="006F722D">
        <w:rPr>
          <w:rFonts w:cs="Arial"/>
          <w:color w:val="000000" w:themeColor="text1"/>
          <w:lang w:val="es-ES"/>
        </w:rPr>
        <w:t>ultrafreezers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a Sala A y B.</w:t>
      </w:r>
    </w:p>
    <w:p w14:paraId="4E6C250A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Definir límites de alarma y </w:t>
      </w:r>
      <w:proofErr w:type="spellStart"/>
      <w:r w:rsidRPr="006F722D">
        <w:rPr>
          <w:rFonts w:cs="Arial"/>
          <w:color w:val="000000" w:themeColor="text1"/>
          <w:lang w:val="es-ES"/>
        </w:rPr>
        <w:t>setpoints</w:t>
      </w:r>
      <w:proofErr w:type="spellEnd"/>
      <w:r w:rsidRPr="006F722D">
        <w:rPr>
          <w:rFonts w:cs="Arial"/>
          <w:color w:val="000000" w:themeColor="text1"/>
          <w:lang w:val="es-ES"/>
        </w:rPr>
        <w:t xml:space="preserve"> por equipo.</w:t>
      </w:r>
    </w:p>
    <w:p w14:paraId="25D5C9A6" w14:textId="1954A51C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Definir </w:t>
      </w:r>
      <w:r w:rsidR="006F722D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cadena de llamados y</w:t>
      </w:r>
      <w:r w:rsidR="006F722D">
        <w:rPr>
          <w:rFonts w:cs="Arial"/>
          <w:color w:val="000000" w:themeColor="text1"/>
          <w:lang w:val="es-ES"/>
        </w:rPr>
        <w:t xml:space="preserve"> los</w:t>
      </w:r>
      <w:r w:rsidRPr="006F722D">
        <w:rPr>
          <w:rFonts w:cs="Arial"/>
          <w:color w:val="000000" w:themeColor="text1"/>
          <w:lang w:val="es-ES"/>
        </w:rPr>
        <w:t xml:space="preserve"> suplentes.</w:t>
      </w:r>
    </w:p>
    <w:p w14:paraId="15A5B70E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lastRenderedPageBreak/>
        <w:t>Aprobar política de retención documental.</w:t>
      </w:r>
    </w:p>
    <w:p w14:paraId="116C4E15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Aprobar modelos de CI con CEI.</w:t>
      </w:r>
    </w:p>
    <w:p w14:paraId="02FC45BD" w14:textId="77777777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>Aprobar MTA/DTA/MTDA y contratos de servicios con Asesoría Legal.</w:t>
      </w:r>
    </w:p>
    <w:p w14:paraId="230C096D" w14:textId="10E69214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Validar </w:t>
      </w:r>
      <w:r w:rsidR="00862374">
        <w:rPr>
          <w:rFonts w:cs="Arial"/>
          <w:color w:val="000000" w:themeColor="text1"/>
          <w:lang w:val="es-ES"/>
        </w:rPr>
        <w:t xml:space="preserve">los </w:t>
      </w:r>
      <w:r w:rsidRPr="006F722D">
        <w:rPr>
          <w:rFonts w:cs="Arial"/>
          <w:color w:val="000000" w:themeColor="text1"/>
          <w:lang w:val="es-ES"/>
        </w:rPr>
        <w:t>permisos y</w:t>
      </w:r>
      <w:r w:rsidR="00862374">
        <w:rPr>
          <w:rFonts w:cs="Arial"/>
          <w:color w:val="000000" w:themeColor="text1"/>
          <w:lang w:val="es-ES"/>
        </w:rPr>
        <w:t xml:space="preserve"> los</w:t>
      </w:r>
      <w:r w:rsidRPr="006F722D">
        <w:rPr>
          <w:rFonts w:cs="Arial"/>
          <w:color w:val="000000" w:themeColor="text1"/>
          <w:lang w:val="es-ES"/>
        </w:rPr>
        <w:t xml:space="preserve"> respaldos de NORAYBANKS.</w:t>
      </w:r>
    </w:p>
    <w:p w14:paraId="1FD2630F" w14:textId="7C63B19F" w:rsidR="004B2896" w:rsidRPr="006F722D" w:rsidRDefault="00000000" w:rsidP="003967F2">
      <w:pPr>
        <w:pStyle w:val="Listaconvietas"/>
        <w:jc w:val="both"/>
        <w:rPr>
          <w:rFonts w:cs="Arial"/>
          <w:color w:val="000000" w:themeColor="text1"/>
          <w:lang w:val="es-ES"/>
        </w:rPr>
      </w:pPr>
      <w:r w:rsidRPr="006F722D">
        <w:rPr>
          <w:rFonts w:cs="Arial"/>
          <w:color w:val="000000" w:themeColor="text1"/>
          <w:lang w:val="es-ES"/>
        </w:rPr>
        <w:t xml:space="preserve">Definir </w:t>
      </w:r>
      <w:r w:rsidR="00862374">
        <w:rPr>
          <w:rFonts w:cs="Arial"/>
          <w:color w:val="000000" w:themeColor="text1"/>
          <w:lang w:val="es-ES"/>
        </w:rPr>
        <w:t xml:space="preserve">la </w:t>
      </w:r>
      <w:r w:rsidRPr="006F722D">
        <w:rPr>
          <w:rFonts w:cs="Arial"/>
          <w:color w:val="000000" w:themeColor="text1"/>
          <w:lang w:val="es-ES"/>
        </w:rPr>
        <w:t>política institucional de capacidad de contingencia (porcentaje de ocupación máxima).</w:t>
      </w:r>
    </w:p>
    <w:sectPr w:rsidR="004B2896" w:rsidRPr="006F722D" w:rsidSect="00034616">
      <w:headerReference w:type="default" r:id="rId8"/>
      <w:footerReference w:type="default" r:id="rId9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47A339" w14:textId="77777777" w:rsidR="009A1D00" w:rsidRDefault="009A1D00">
      <w:pPr>
        <w:spacing w:after="0" w:line="240" w:lineRule="auto"/>
      </w:pPr>
      <w:r>
        <w:separator/>
      </w:r>
    </w:p>
  </w:endnote>
  <w:endnote w:type="continuationSeparator" w:id="0">
    <w:p w14:paraId="28A4E9DF" w14:textId="77777777" w:rsidR="009A1D00" w:rsidRDefault="009A1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F5EC44" w14:textId="42F7661C" w:rsidR="004B2896" w:rsidRDefault="004B2896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2035EB" w14:textId="77777777" w:rsidR="009A1D00" w:rsidRDefault="009A1D00">
      <w:pPr>
        <w:spacing w:after="0" w:line="240" w:lineRule="auto"/>
      </w:pPr>
      <w:r>
        <w:separator/>
      </w:r>
    </w:p>
  </w:footnote>
  <w:footnote w:type="continuationSeparator" w:id="0">
    <w:p w14:paraId="33A47402" w14:textId="77777777" w:rsidR="009A1D00" w:rsidRDefault="009A1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A4D853" w14:textId="77777777" w:rsidR="004B2896" w:rsidRDefault="00000000">
    <w:pPr>
      <w:pStyle w:val="Encabezado"/>
      <w:jc w:val="right"/>
    </w:pP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 | Manual Marco del </w:t>
    </w:r>
    <w:proofErr w:type="spellStart"/>
    <w:r>
      <w:rPr>
        <w:sz w:val="16"/>
      </w:rPr>
      <w:t>Biobanco</w:t>
    </w:r>
    <w:proofErr w:type="spellEnd"/>
    <w:r>
      <w:rPr>
        <w:sz w:val="16"/>
      </w:rPr>
      <w:t xml:space="preserve"> HEC-CEMET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672089">
    <w:abstractNumId w:val="8"/>
  </w:num>
  <w:num w:numId="2" w16cid:durableId="837892306">
    <w:abstractNumId w:val="6"/>
  </w:num>
  <w:num w:numId="3" w16cid:durableId="219245042">
    <w:abstractNumId w:val="5"/>
  </w:num>
  <w:num w:numId="4" w16cid:durableId="740757963">
    <w:abstractNumId w:val="4"/>
  </w:num>
  <w:num w:numId="5" w16cid:durableId="698898898">
    <w:abstractNumId w:val="7"/>
  </w:num>
  <w:num w:numId="6" w16cid:durableId="101268281">
    <w:abstractNumId w:val="3"/>
  </w:num>
  <w:num w:numId="7" w16cid:durableId="1570578853">
    <w:abstractNumId w:val="2"/>
  </w:num>
  <w:num w:numId="8" w16cid:durableId="1132870878">
    <w:abstractNumId w:val="1"/>
  </w:num>
  <w:num w:numId="9" w16cid:durableId="1420430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C41"/>
    <w:rsid w:val="0015074B"/>
    <w:rsid w:val="0029639D"/>
    <w:rsid w:val="002A0105"/>
    <w:rsid w:val="00326F90"/>
    <w:rsid w:val="003967F2"/>
    <w:rsid w:val="004B2896"/>
    <w:rsid w:val="005B1D44"/>
    <w:rsid w:val="005E69DE"/>
    <w:rsid w:val="006F722D"/>
    <w:rsid w:val="00862374"/>
    <w:rsid w:val="008805BC"/>
    <w:rsid w:val="009A1D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079FF"/>
  <w14:defaultImageDpi w14:val="300"/>
  <w15:docId w15:val="{EA49FE17-1BC4-A14A-BDAC-314BBD21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i/>
      <w:color w:val="50505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894</Words>
  <Characters>4920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Manuel Ledesma</cp:lastModifiedBy>
  <cp:revision>4</cp:revision>
  <dcterms:created xsi:type="dcterms:W3CDTF">2013-12-23T23:15:00Z</dcterms:created>
  <dcterms:modified xsi:type="dcterms:W3CDTF">2026-09-04T21:27:00Z</dcterms:modified>
  <cp:category/>
</cp:coreProperties>
</file>