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A644E" w14:textId="77777777" w:rsidR="00B147AA" w:rsidRPr="00E45D55" w:rsidRDefault="00B147AA" w:rsidP="00E45D55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BB-BIO-002 - Limpieza, desinfección y orden de áreas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B147AA" w:rsidRPr="00E45D55" w14:paraId="628D852A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D56B44A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624F5E50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BB-BIO-002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9E1FE54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DE69923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B147AA" w:rsidRPr="00E45D55" w14:paraId="3B2F0AE5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A3A97F6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64E4B44C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Limpieza, desinfección y orden de áreas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4E5B215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6AEDADBD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B147AA" w:rsidRPr="00E45D55" w14:paraId="5051B523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6C1C7F0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23200660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EA14F98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2D772EF8" w14:textId="2EBFD897" w:rsidR="00B147AA" w:rsidRPr="00E45D55" w:rsidRDefault="002C56F6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B147AA" w:rsidRPr="00E45D55" w14:paraId="3371E141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99EDFC5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0EFB8387" w14:textId="0F46C636" w:rsidR="00B147AA" w:rsidRPr="00E45D55" w:rsidRDefault="002C56F6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1F1884A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0A066C35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B147AA" w:rsidRPr="00E45D55" w14:paraId="53B82A7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2DB56B4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2399F3EF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42FE8AC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1CFDE7F4" w14:textId="77777777" w:rsidR="00B147AA" w:rsidRPr="00E45D55" w:rsidRDefault="00B147AA" w:rsidP="00E45D5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45D55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B422B96" w14:textId="77777777" w:rsidR="00B147AA" w:rsidRPr="00E45D55" w:rsidRDefault="00B147AA" w:rsidP="00E45D55">
      <w:pPr>
        <w:jc w:val="both"/>
        <w:rPr>
          <w:rFonts w:cs="Arial"/>
          <w:color w:val="000000" w:themeColor="text1"/>
          <w:lang w:val="es-ES"/>
        </w:rPr>
      </w:pPr>
    </w:p>
    <w:p w14:paraId="148F0C36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Propósito</w:t>
      </w:r>
    </w:p>
    <w:p w14:paraId="4ED42A9D" w14:textId="77777777" w:rsidR="00B147AA" w:rsidRPr="00E45D55" w:rsidRDefault="00B147AA" w:rsidP="00E45D55">
      <w:pPr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Mantener superficies, mesadas y áreas de almacenamiento en condiciones higiénicas y ordenadas.</w:t>
      </w:r>
    </w:p>
    <w:p w14:paraId="3C73AF50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Alcance</w:t>
      </w:r>
    </w:p>
    <w:p w14:paraId="3D196794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Salas de </w:t>
      </w:r>
      <w:proofErr w:type="spellStart"/>
      <w:r w:rsidRPr="00E45D55">
        <w:rPr>
          <w:rFonts w:cs="Arial"/>
          <w:color w:val="000000" w:themeColor="text1"/>
          <w:lang w:val="es-ES"/>
        </w:rPr>
        <w:t>ultrafreezers</w:t>
      </w:r>
      <w:proofErr w:type="spellEnd"/>
      <w:r w:rsidRPr="00E45D55">
        <w:rPr>
          <w:rFonts w:cs="Arial"/>
          <w:color w:val="000000" w:themeColor="text1"/>
          <w:lang w:val="es-ES"/>
        </w:rPr>
        <w:t>, áreas de recepción y mesadas.</w:t>
      </w:r>
    </w:p>
    <w:p w14:paraId="12A7789A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Responsabilidades</w:t>
      </w:r>
    </w:p>
    <w:p w14:paraId="3DCA6BA3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Técnico: limpieza operativa y verificación.</w:t>
      </w:r>
    </w:p>
    <w:p w14:paraId="19900ED4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Servicios generales/mantenimiento: tareas asignadas institucionalmente.</w:t>
      </w:r>
    </w:p>
    <w:p w14:paraId="4695A0D9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754889C2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Usar productos compatibles con superficies y muestras.</w:t>
      </w:r>
    </w:p>
    <w:p w14:paraId="7AD9CB03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No aplicar líquidos directamente sobre paneles eléctricos o electrónicos.</w:t>
      </w:r>
    </w:p>
    <w:p w14:paraId="104E35BE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Procedimiento</w:t>
      </w:r>
    </w:p>
    <w:p w14:paraId="2370730C" w14:textId="4414A968" w:rsidR="00B147AA" w:rsidRPr="00E45D55" w:rsidRDefault="00B147AA" w:rsidP="00E45D5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1. Realizar </w:t>
      </w:r>
      <w:r w:rsidR="00E45D55">
        <w:rPr>
          <w:rFonts w:cs="Arial"/>
          <w:color w:val="000000" w:themeColor="text1"/>
          <w:lang w:val="es-ES"/>
        </w:rPr>
        <w:t xml:space="preserve">la </w:t>
      </w:r>
      <w:r w:rsidRPr="00E45D55">
        <w:rPr>
          <w:rFonts w:cs="Arial"/>
          <w:color w:val="000000" w:themeColor="text1"/>
          <w:lang w:val="es-ES"/>
        </w:rPr>
        <w:t xml:space="preserve">limpieza programada de </w:t>
      </w:r>
      <w:r w:rsidR="00E45D55">
        <w:rPr>
          <w:rFonts w:cs="Arial"/>
          <w:color w:val="000000" w:themeColor="text1"/>
          <w:lang w:val="es-ES"/>
        </w:rPr>
        <w:t xml:space="preserve">las </w:t>
      </w:r>
      <w:r w:rsidRPr="00E45D55">
        <w:rPr>
          <w:rFonts w:cs="Arial"/>
          <w:color w:val="000000" w:themeColor="text1"/>
          <w:lang w:val="es-ES"/>
        </w:rPr>
        <w:t>mesadas al inicio y al final de la jornada.</w:t>
      </w:r>
    </w:p>
    <w:p w14:paraId="2BFA4F9A" w14:textId="77777777" w:rsidR="00B147AA" w:rsidRPr="00E45D55" w:rsidRDefault="00B147AA" w:rsidP="00E45D5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2. Limpiar inmediatamente derrames según BB-BIO-003.</w:t>
      </w:r>
    </w:p>
    <w:p w14:paraId="3CCCA249" w14:textId="0E6604C0" w:rsidR="00B147AA" w:rsidRPr="00E45D55" w:rsidRDefault="00B147AA" w:rsidP="00E45D5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3. Mantener libres </w:t>
      </w:r>
      <w:r w:rsidR="00E45D55">
        <w:rPr>
          <w:rFonts w:cs="Arial"/>
          <w:color w:val="000000" w:themeColor="text1"/>
          <w:lang w:val="es-ES"/>
        </w:rPr>
        <w:t xml:space="preserve">los </w:t>
      </w:r>
      <w:r w:rsidRPr="00E45D55">
        <w:rPr>
          <w:rFonts w:cs="Arial"/>
          <w:color w:val="000000" w:themeColor="text1"/>
          <w:lang w:val="es-ES"/>
        </w:rPr>
        <w:t>pasillos,</w:t>
      </w:r>
      <w:r w:rsidR="00E45D55">
        <w:rPr>
          <w:rFonts w:cs="Arial"/>
          <w:color w:val="000000" w:themeColor="text1"/>
          <w:lang w:val="es-ES"/>
        </w:rPr>
        <w:t xml:space="preserve"> las</w:t>
      </w:r>
      <w:r w:rsidRPr="00E45D55">
        <w:rPr>
          <w:rFonts w:cs="Arial"/>
          <w:color w:val="000000" w:themeColor="text1"/>
          <w:lang w:val="es-ES"/>
        </w:rPr>
        <w:t xml:space="preserve"> rejillas de ventilación y </w:t>
      </w:r>
      <w:r w:rsidR="00E45D55">
        <w:rPr>
          <w:rFonts w:cs="Arial"/>
          <w:color w:val="000000" w:themeColor="text1"/>
          <w:lang w:val="es-ES"/>
        </w:rPr>
        <w:t xml:space="preserve">el </w:t>
      </w:r>
      <w:r w:rsidRPr="00E45D55">
        <w:rPr>
          <w:rFonts w:cs="Arial"/>
          <w:color w:val="000000" w:themeColor="text1"/>
          <w:lang w:val="es-ES"/>
        </w:rPr>
        <w:t>acceso a</w:t>
      </w:r>
      <w:r w:rsidR="00E45D55">
        <w:rPr>
          <w:rFonts w:cs="Arial"/>
          <w:color w:val="000000" w:themeColor="text1"/>
          <w:lang w:val="es-ES"/>
        </w:rPr>
        <w:t xml:space="preserve"> los</w:t>
      </w:r>
      <w:r w:rsidRPr="00E45D55">
        <w:rPr>
          <w:rFonts w:cs="Arial"/>
          <w:color w:val="000000" w:themeColor="text1"/>
          <w:lang w:val="es-ES"/>
        </w:rPr>
        <w:t xml:space="preserve"> equipos.</w:t>
      </w:r>
    </w:p>
    <w:p w14:paraId="117A8E1C" w14:textId="417836A0" w:rsidR="00B147AA" w:rsidRPr="00E45D55" w:rsidRDefault="00B147AA" w:rsidP="00E45D5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4. Registrar </w:t>
      </w:r>
      <w:r w:rsidR="00E45D55">
        <w:rPr>
          <w:rFonts w:cs="Arial"/>
          <w:color w:val="000000" w:themeColor="text1"/>
          <w:lang w:val="es-ES"/>
        </w:rPr>
        <w:t xml:space="preserve">la </w:t>
      </w:r>
      <w:r w:rsidRPr="00E45D55">
        <w:rPr>
          <w:rFonts w:cs="Arial"/>
          <w:color w:val="000000" w:themeColor="text1"/>
          <w:lang w:val="es-ES"/>
        </w:rPr>
        <w:t>limpieza profunda y</w:t>
      </w:r>
      <w:r w:rsidR="00E45D55">
        <w:rPr>
          <w:rFonts w:cs="Arial"/>
          <w:color w:val="000000" w:themeColor="text1"/>
          <w:lang w:val="es-ES"/>
        </w:rPr>
        <w:t xml:space="preserve"> el</w:t>
      </w:r>
      <w:r w:rsidRPr="00E45D55">
        <w:rPr>
          <w:rFonts w:cs="Arial"/>
          <w:color w:val="000000" w:themeColor="text1"/>
          <w:lang w:val="es-ES"/>
        </w:rPr>
        <w:t xml:space="preserve"> descongelamiento/acondicionamiento de equipos.</w:t>
      </w:r>
    </w:p>
    <w:p w14:paraId="25AA7581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176AAB96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Planilla de limpieza.</w:t>
      </w:r>
    </w:p>
    <w:p w14:paraId="7245452C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Registro de acondicionamiento de equipo.</w:t>
      </w:r>
    </w:p>
    <w:p w14:paraId="667BA537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lastRenderedPageBreak/>
        <w:t>Indicadores y control</w:t>
      </w:r>
    </w:p>
    <w:p w14:paraId="307E0EF7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Cumplimiento del cronograma de limpieza.</w:t>
      </w:r>
    </w:p>
    <w:p w14:paraId="6F10E75B" w14:textId="77777777" w:rsidR="00B147AA" w:rsidRPr="00E45D55" w:rsidRDefault="00B147AA" w:rsidP="00E45D5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45D55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6886ECA" w14:textId="527BF721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Resolución </w:t>
      </w:r>
      <w:r w:rsidR="00E45D55">
        <w:rPr>
          <w:rFonts w:cs="Arial"/>
          <w:color w:val="000000" w:themeColor="text1"/>
          <w:lang w:val="es-ES"/>
        </w:rPr>
        <w:t xml:space="preserve">del </w:t>
      </w:r>
      <w:r w:rsidRPr="00E45D55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6B0F2867" w14:textId="1EC55AA3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Resolución </w:t>
      </w:r>
      <w:r w:rsidR="00E45D55">
        <w:rPr>
          <w:rFonts w:cs="Arial"/>
          <w:color w:val="000000" w:themeColor="text1"/>
          <w:lang w:val="es-ES"/>
        </w:rPr>
        <w:t xml:space="preserve">del </w:t>
      </w:r>
      <w:r w:rsidRPr="00E45D55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F8DDC59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Ley 25.326 - Protección de los Datos Personales.</w:t>
      </w:r>
    </w:p>
    <w:p w14:paraId="404B0F95" w14:textId="732F88D6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Ley 26.529 y </w:t>
      </w:r>
      <w:r w:rsidR="00E45D55">
        <w:rPr>
          <w:rFonts w:cs="Arial"/>
          <w:color w:val="000000" w:themeColor="text1"/>
          <w:lang w:val="es-ES"/>
        </w:rPr>
        <w:t xml:space="preserve">su </w:t>
      </w:r>
      <w:r w:rsidRPr="00E45D55">
        <w:rPr>
          <w:rFonts w:cs="Arial"/>
          <w:color w:val="000000" w:themeColor="text1"/>
          <w:lang w:val="es-ES"/>
        </w:rPr>
        <w:t>modificatoria</w:t>
      </w:r>
      <w:r w:rsidR="00E45D55">
        <w:rPr>
          <w:rFonts w:cs="Arial"/>
          <w:color w:val="000000" w:themeColor="text1"/>
          <w:lang w:val="es-ES"/>
        </w:rPr>
        <w:t>,</w:t>
      </w:r>
      <w:r w:rsidRPr="00E45D55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1AA1AB63" w14:textId="77777777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4738A9CA" w14:textId="2DAA884D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Ley </w:t>
      </w:r>
      <w:r w:rsidR="00E45D55">
        <w:rPr>
          <w:rFonts w:cs="Arial"/>
          <w:color w:val="000000" w:themeColor="text1"/>
          <w:lang w:val="es-ES"/>
        </w:rPr>
        <w:t xml:space="preserve">de la </w:t>
      </w:r>
      <w:r w:rsidRPr="00E45D55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674A6E97" w14:textId="7A8F702C" w:rsidR="00B147AA" w:rsidRPr="00E45D55" w:rsidRDefault="00B147AA" w:rsidP="00E45D5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45D55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E45D55">
        <w:rPr>
          <w:rFonts w:cs="Arial"/>
          <w:color w:val="000000" w:themeColor="text1"/>
          <w:lang w:val="es-ES"/>
        </w:rPr>
        <w:t>Practices</w:t>
      </w:r>
      <w:proofErr w:type="spellEnd"/>
      <w:r w:rsidRPr="00E45D55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E45D55">
        <w:rPr>
          <w:rFonts w:cs="Arial"/>
          <w:color w:val="000000" w:themeColor="text1"/>
          <w:lang w:val="es-ES"/>
        </w:rPr>
        <w:t xml:space="preserve">la </w:t>
      </w:r>
      <w:r w:rsidRPr="00E45D55">
        <w:rPr>
          <w:rFonts w:cs="Arial"/>
          <w:color w:val="000000" w:themeColor="text1"/>
          <w:lang w:val="es-ES"/>
        </w:rPr>
        <w:t>normativa aplicable).</w:t>
      </w:r>
      <w:r w:rsidRPr="00E45D55">
        <w:rPr>
          <w:rFonts w:cs="Arial"/>
          <w:color w:val="000000" w:themeColor="text1"/>
          <w:lang w:val="es-ES"/>
        </w:rPr>
        <w:br w:type="page"/>
      </w:r>
    </w:p>
    <w:p w14:paraId="46A1D22D" w14:textId="77777777" w:rsidR="00C740E2" w:rsidRPr="00E45D55" w:rsidRDefault="00C740E2" w:rsidP="00E45D55">
      <w:pPr>
        <w:jc w:val="both"/>
        <w:rPr>
          <w:lang w:val="es-ES"/>
        </w:rPr>
      </w:pPr>
    </w:p>
    <w:sectPr w:rsidR="00C740E2" w:rsidRPr="00E45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C54F7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AA"/>
    <w:rsid w:val="0012748E"/>
    <w:rsid w:val="001517D0"/>
    <w:rsid w:val="002A0105"/>
    <w:rsid w:val="002C56F6"/>
    <w:rsid w:val="003040C5"/>
    <w:rsid w:val="00B147AA"/>
    <w:rsid w:val="00C740E2"/>
    <w:rsid w:val="00E4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4536C2"/>
  <w15:chartTrackingRefBased/>
  <w15:docId w15:val="{523D8E99-C07B-2743-A465-62757488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7AA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1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7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7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7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7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7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7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7AA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147AA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B147AA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B147AA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2026-09-04T15:08:00Z</dcterms:created>
  <dcterms:modified xsi:type="dcterms:W3CDTF">2026-09-04T19:55:00Z</dcterms:modified>
</cp:coreProperties>
</file>