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8D4C0" w14:textId="77777777" w:rsidR="004A5F1D" w:rsidRPr="00656772" w:rsidRDefault="004A5F1D" w:rsidP="00656772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656772">
        <w:rPr>
          <w:rFonts w:ascii="Arial" w:hAnsi="Arial" w:cs="Arial"/>
          <w:color w:val="000000" w:themeColor="text1"/>
          <w:lang w:val="es-ES"/>
        </w:rPr>
        <w:t>BB-BIO-003 - Gestión de residuos, derrames y exposición accidental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2167"/>
        <w:gridCol w:w="2152"/>
        <w:gridCol w:w="2242"/>
      </w:tblGrid>
      <w:tr w:rsidR="004A5F1D" w:rsidRPr="00656772" w14:paraId="31195454" w14:textId="77777777" w:rsidTr="003109A2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7B16A9BB" w14:textId="77777777" w:rsidR="004A5F1D" w:rsidRPr="00656772" w:rsidRDefault="004A5F1D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167" w:type="dxa"/>
            <w:vAlign w:val="center"/>
          </w:tcPr>
          <w:p w14:paraId="2F7A5F00" w14:textId="77777777" w:rsidR="004A5F1D" w:rsidRPr="00656772" w:rsidRDefault="004A5F1D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color w:val="000000" w:themeColor="text1"/>
                <w:sz w:val="17"/>
                <w:lang w:val="es-ES"/>
              </w:rPr>
              <w:t>BB-BIO-003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049B446B" w14:textId="77777777" w:rsidR="004A5F1D" w:rsidRPr="00656772" w:rsidRDefault="004A5F1D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42" w:type="dxa"/>
            <w:vAlign w:val="center"/>
          </w:tcPr>
          <w:p w14:paraId="539C5FF0" w14:textId="77777777" w:rsidR="004A5F1D" w:rsidRPr="00656772" w:rsidRDefault="004A5F1D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4A5F1D" w:rsidRPr="00656772" w14:paraId="70DEEF1C" w14:textId="77777777" w:rsidTr="003109A2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33C4E1B3" w14:textId="77777777" w:rsidR="004A5F1D" w:rsidRPr="00656772" w:rsidRDefault="004A5F1D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167" w:type="dxa"/>
            <w:vAlign w:val="center"/>
          </w:tcPr>
          <w:p w14:paraId="231358EF" w14:textId="77777777" w:rsidR="004A5F1D" w:rsidRPr="00656772" w:rsidRDefault="004A5F1D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color w:val="000000" w:themeColor="text1"/>
                <w:sz w:val="17"/>
                <w:lang w:val="es-ES"/>
              </w:rPr>
              <w:t>Gestión de residuos, derrames y exposición accidental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3847988C" w14:textId="77777777" w:rsidR="004A5F1D" w:rsidRPr="00656772" w:rsidRDefault="004A5F1D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42" w:type="dxa"/>
            <w:vAlign w:val="center"/>
          </w:tcPr>
          <w:p w14:paraId="2DB416E4" w14:textId="77777777" w:rsidR="004A5F1D" w:rsidRPr="00656772" w:rsidRDefault="004A5F1D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3109A2" w:rsidRPr="00656772" w14:paraId="100B2671" w14:textId="77777777" w:rsidTr="003109A2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3387ED8C" w14:textId="77777777" w:rsidR="003109A2" w:rsidRPr="00656772" w:rsidRDefault="003109A2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167" w:type="dxa"/>
            <w:vAlign w:val="center"/>
          </w:tcPr>
          <w:p w14:paraId="00B0EEC0" w14:textId="77777777" w:rsidR="003109A2" w:rsidRPr="00656772" w:rsidRDefault="003109A2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1EC3FBE4" w14:textId="77777777" w:rsidR="003109A2" w:rsidRPr="00656772" w:rsidRDefault="003109A2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42" w:type="dxa"/>
            <w:vAlign w:val="center"/>
          </w:tcPr>
          <w:p w14:paraId="5FA31FE3" w14:textId="74EA4194" w:rsidR="003109A2" w:rsidRPr="00656772" w:rsidRDefault="003109A2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3109A2" w:rsidRPr="00656772" w14:paraId="37D064FE" w14:textId="77777777" w:rsidTr="003109A2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16CE6630" w14:textId="77777777" w:rsidR="003109A2" w:rsidRPr="00656772" w:rsidRDefault="003109A2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167" w:type="dxa"/>
            <w:vAlign w:val="center"/>
          </w:tcPr>
          <w:p w14:paraId="07330E91" w14:textId="7869DF7E" w:rsidR="003109A2" w:rsidRPr="00656772" w:rsidRDefault="003109A2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4CC27CF5" w14:textId="77777777" w:rsidR="003109A2" w:rsidRPr="00656772" w:rsidRDefault="003109A2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42" w:type="dxa"/>
            <w:vAlign w:val="center"/>
          </w:tcPr>
          <w:p w14:paraId="5C40AA41" w14:textId="77777777" w:rsidR="003109A2" w:rsidRPr="00656772" w:rsidRDefault="003109A2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4A5F1D" w:rsidRPr="00656772" w14:paraId="594C34FC" w14:textId="77777777" w:rsidTr="003109A2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50BF34E5" w14:textId="77777777" w:rsidR="004A5F1D" w:rsidRPr="00656772" w:rsidRDefault="004A5F1D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167" w:type="dxa"/>
            <w:vAlign w:val="center"/>
          </w:tcPr>
          <w:p w14:paraId="525D201D" w14:textId="77777777" w:rsidR="004A5F1D" w:rsidRPr="00656772" w:rsidRDefault="004A5F1D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59A5DA17" w14:textId="77777777" w:rsidR="004A5F1D" w:rsidRPr="00656772" w:rsidRDefault="004A5F1D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42" w:type="dxa"/>
            <w:vAlign w:val="center"/>
          </w:tcPr>
          <w:p w14:paraId="4AAC913A" w14:textId="77777777" w:rsidR="004A5F1D" w:rsidRPr="00656772" w:rsidRDefault="004A5F1D" w:rsidP="0065677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56772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5B999C5C" w14:textId="77777777" w:rsidR="004A5F1D" w:rsidRPr="00656772" w:rsidRDefault="004A5F1D" w:rsidP="00656772">
      <w:pPr>
        <w:jc w:val="both"/>
        <w:rPr>
          <w:rFonts w:cs="Arial"/>
          <w:color w:val="000000" w:themeColor="text1"/>
          <w:lang w:val="es-ES"/>
        </w:rPr>
      </w:pPr>
    </w:p>
    <w:p w14:paraId="2F105615" w14:textId="77777777" w:rsidR="004A5F1D" w:rsidRPr="00656772" w:rsidRDefault="004A5F1D" w:rsidP="00656772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56772">
        <w:rPr>
          <w:rFonts w:ascii="Arial" w:hAnsi="Arial" w:cs="Arial"/>
          <w:color w:val="000000" w:themeColor="text1"/>
          <w:lang w:val="es-ES"/>
        </w:rPr>
        <w:t>Propósito</w:t>
      </w:r>
    </w:p>
    <w:p w14:paraId="20C3233F" w14:textId="4EBC7FA7" w:rsidR="004A5F1D" w:rsidRPr="00656772" w:rsidRDefault="004A5F1D" w:rsidP="00656772">
      <w:pPr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 xml:space="preserve">Definir </w:t>
      </w:r>
      <w:r w:rsidR="00656772">
        <w:rPr>
          <w:rFonts w:cs="Arial"/>
          <w:color w:val="000000" w:themeColor="text1"/>
          <w:lang w:val="es-ES"/>
        </w:rPr>
        <w:t xml:space="preserve">la </w:t>
      </w:r>
      <w:r w:rsidRPr="00656772">
        <w:rPr>
          <w:rFonts w:cs="Arial"/>
          <w:color w:val="000000" w:themeColor="text1"/>
          <w:lang w:val="es-ES"/>
        </w:rPr>
        <w:t>respuesta ante residuos biológicos, roturas, derrames o exposici</w:t>
      </w:r>
      <w:r w:rsidR="00656772">
        <w:rPr>
          <w:rFonts w:cs="Arial"/>
          <w:color w:val="000000" w:themeColor="text1"/>
          <w:lang w:val="es-ES"/>
        </w:rPr>
        <w:t>ones</w:t>
      </w:r>
      <w:r w:rsidRPr="00656772">
        <w:rPr>
          <w:rFonts w:cs="Arial"/>
          <w:color w:val="000000" w:themeColor="text1"/>
          <w:lang w:val="es-ES"/>
        </w:rPr>
        <w:t xml:space="preserve"> ocupacional</w:t>
      </w:r>
      <w:r w:rsidR="00656772">
        <w:rPr>
          <w:rFonts w:cs="Arial"/>
          <w:color w:val="000000" w:themeColor="text1"/>
          <w:lang w:val="es-ES"/>
        </w:rPr>
        <w:t>es</w:t>
      </w:r>
      <w:r w:rsidRPr="00656772">
        <w:rPr>
          <w:rFonts w:cs="Arial"/>
          <w:color w:val="000000" w:themeColor="text1"/>
          <w:lang w:val="es-ES"/>
        </w:rPr>
        <w:t>.</w:t>
      </w:r>
    </w:p>
    <w:p w14:paraId="792BE387" w14:textId="77777777" w:rsidR="004A5F1D" w:rsidRPr="00656772" w:rsidRDefault="004A5F1D" w:rsidP="00656772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56772">
        <w:rPr>
          <w:rFonts w:ascii="Arial" w:hAnsi="Arial" w:cs="Arial"/>
          <w:color w:val="000000" w:themeColor="text1"/>
          <w:lang w:val="es-ES"/>
        </w:rPr>
        <w:t>Alcance</w:t>
      </w:r>
    </w:p>
    <w:p w14:paraId="23C4A25D" w14:textId="77777777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>Muestras humanas y materiales potencialmente contaminados.</w:t>
      </w:r>
    </w:p>
    <w:p w14:paraId="4995880D" w14:textId="77777777" w:rsidR="004A5F1D" w:rsidRPr="00656772" w:rsidRDefault="004A5F1D" w:rsidP="00656772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56772">
        <w:rPr>
          <w:rFonts w:ascii="Arial" w:hAnsi="Arial" w:cs="Arial"/>
          <w:color w:val="000000" w:themeColor="text1"/>
          <w:lang w:val="es-ES"/>
        </w:rPr>
        <w:t>Responsabilidades</w:t>
      </w:r>
    </w:p>
    <w:p w14:paraId="08913264" w14:textId="77777777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>Técnico: primera respuesta y registro.</w:t>
      </w:r>
    </w:p>
    <w:p w14:paraId="4546EDBC" w14:textId="77777777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>Director: evaluación de incidentes relevantes.</w:t>
      </w:r>
    </w:p>
    <w:p w14:paraId="4D1B231B" w14:textId="7622412F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 xml:space="preserve">Salud ocupacional: seguimiento de </w:t>
      </w:r>
      <w:r w:rsidR="00656772">
        <w:rPr>
          <w:rFonts w:cs="Arial"/>
          <w:color w:val="000000" w:themeColor="text1"/>
          <w:lang w:val="es-ES"/>
        </w:rPr>
        <w:t xml:space="preserve">la </w:t>
      </w:r>
      <w:r w:rsidRPr="00656772">
        <w:rPr>
          <w:rFonts w:cs="Arial"/>
          <w:color w:val="000000" w:themeColor="text1"/>
          <w:lang w:val="es-ES"/>
        </w:rPr>
        <w:t>exposición según</w:t>
      </w:r>
      <w:r w:rsidR="00656772">
        <w:rPr>
          <w:rFonts w:cs="Arial"/>
          <w:color w:val="000000" w:themeColor="text1"/>
          <w:lang w:val="es-ES"/>
        </w:rPr>
        <w:t xml:space="preserve"> el</w:t>
      </w:r>
      <w:r w:rsidRPr="00656772">
        <w:rPr>
          <w:rFonts w:cs="Arial"/>
          <w:color w:val="000000" w:themeColor="text1"/>
          <w:lang w:val="es-ES"/>
        </w:rPr>
        <w:t xml:space="preserve"> circuito hospitalario.</w:t>
      </w:r>
    </w:p>
    <w:p w14:paraId="251EAC89" w14:textId="77777777" w:rsidR="004A5F1D" w:rsidRPr="00656772" w:rsidRDefault="004A5F1D" w:rsidP="00656772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56772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24CDC290" w14:textId="77777777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>Aplicar precauciones estándar.</w:t>
      </w:r>
    </w:p>
    <w:p w14:paraId="04ADCA09" w14:textId="77777777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>Nunca recoger vidrio roto con la mano.</w:t>
      </w:r>
    </w:p>
    <w:p w14:paraId="1A2C65D5" w14:textId="1592356B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 xml:space="preserve">La gestión final de </w:t>
      </w:r>
      <w:r w:rsidR="00656772">
        <w:rPr>
          <w:rFonts w:cs="Arial"/>
          <w:color w:val="000000" w:themeColor="text1"/>
          <w:lang w:val="es-ES"/>
        </w:rPr>
        <w:t xml:space="preserve">los </w:t>
      </w:r>
      <w:r w:rsidRPr="00656772">
        <w:rPr>
          <w:rFonts w:cs="Arial"/>
          <w:color w:val="000000" w:themeColor="text1"/>
          <w:lang w:val="es-ES"/>
        </w:rPr>
        <w:t>residuos seguirá el circuito institucional de residuos patogénicos.</w:t>
      </w:r>
    </w:p>
    <w:p w14:paraId="344B5673" w14:textId="77777777" w:rsidR="004A5F1D" w:rsidRPr="00656772" w:rsidRDefault="004A5F1D" w:rsidP="00656772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56772">
        <w:rPr>
          <w:rFonts w:ascii="Arial" w:hAnsi="Arial" w:cs="Arial"/>
          <w:color w:val="000000" w:themeColor="text1"/>
          <w:lang w:val="es-ES"/>
        </w:rPr>
        <w:t>Procedimiento</w:t>
      </w:r>
    </w:p>
    <w:p w14:paraId="49404AD9" w14:textId="77777777" w:rsidR="004A5F1D" w:rsidRPr="00656772" w:rsidRDefault="004A5F1D" w:rsidP="00656772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>1. Aislar el área y señalizar.</w:t>
      </w:r>
    </w:p>
    <w:p w14:paraId="42845534" w14:textId="77777777" w:rsidR="004A5F1D" w:rsidRPr="00656772" w:rsidRDefault="004A5F1D" w:rsidP="00656772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>2. Colocar EPP apropiado.</w:t>
      </w:r>
    </w:p>
    <w:p w14:paraId="69C574B8" w14:textId="34A52DDF" w:rsidR="004A5F1D" w:rsidRPr="00656772" w:rsidRDefault="004A5F1D" w:rsidP="00656772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 xml:space="preserve">3. Contener y desinfectar con </w:t>
      </w:r>
      <w:r w:rsidR="00656772">
        <w:rPr>
          <w:rFonts w:cs="Arial"/>
          <w:color w:val="000000" w:themeColor="text1"/>
          <w:lang w:val="es-ES"/>
        </w:rPr>
        <w:t xml:space="preserve">un </w:t>
      </w:r>
      <w:r w:rsidRPr="00656772">
        <w:rPr>
          <w:rFonts w:cs="Arial"/>
          <w:color w:val="000000" w:themeColor="text1"/>
          <w:lang w:val="es-ES"/>
        </w:rPr>
        <w:t>producto institucional compatible.</w:t>
      </w:r>
    </w:p>
    <w:p w14:paraId="571BA5F6" w14:textId="4898F921" w:rsidR="004A5F1D" w:rsidRPr="00656772" w:rsidRDefault="004A5F1D" w:rsidP="00656772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 xml:space="preserve">4. Descartar </w:t>
      </w:r>
      <w:r w:rsidR="00656772">
        <w:rPr>
          <w:rFonts w:cs="Arial"/>
          <w:color w:val="000000" w:themeColor="text1"/>
          <w:lang w:val="es-ES"/>
        </w:rPr>
        <w:t xml:space="preserve">los </w:t>
      </w:r>
      <w:r w:rsidRPr="00656772">
        <w:rPr>
          <w:rFonts w:cs="Arial"/>
          <w:color w:val="000000" w:themeColor="text1"/>
          <w:lang w:val="es-ES"/>
        </w:rPr>
        <w:t xml:space="preserve">residuos en </w:t>
      </w:r>
      <w:r w:rsidR="00656772">
        <w:rPr>
          <w:rFonts w:cs="Arial"/>
          <w:color w:val="000000" w:themeColor="text1"/>
          <w:lang w:val="es-ES"/>
        </w:rPr>
        <w:t xml:space="preserve">el </w:t>
      </w:r>
      <w:r w:rsidRPr="00656772">
        <w:rPr>
          <w:rFonts w:cs="Arial"/>
          <w:color w:val="000000" w:themeColor="text1"/>
          <w:lang w:val="es-ES"/>
        </w:rPr>
        <w:t>contenedor correspondiente.</w:t>
      </w:r>
    </w:p>
    <w:p w14:paraId="5ABAB684" w14:textId="0824A4C9" w:rsidR="004A5F1D" w:rsidRPr="00656772" w:rsidRDefault="004A5F1D" w:rsidP="00656772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 xml:space="preserve">5. Notificar </w:t>
      </w:r>
      <w:r w:rsidR="00656772">
        <w:rPr>
          <w:rFonts w:cs="Arial"/>
          <w:color w:val="000000" w:themeColor="text1"/>
          <w:lang w:val="es-ES"/>
        </w:rPr>
        <w:t xml:space="preserve">la </w:t>
      </w:r>
      <w:r w:rsidRPr="00656772">
        <w:rPr>
          <w:rFonts w:cs="Arial"/>
          <w:color w:val="000000" w:themeColor="text1"/>
          <w:lang w:val="es-ES"/>
        </w:rPr>
        <w:t>exposición al circuito de salud ocupacional.</w:t>
      </w:r>
    </w:p>
    <w:p w14:paraId="47F8D239" w14:textId="05DB0FFD" w:rsidR="004A5F1D" w:rsidRPr="00656772" w:rsidRDefault="004A5F1D" w:rsidP="00656772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 xml:space="preserve">6. Registrar </w:t>
      </w:r>
      <w:r w:rsidR="00656772">
        <w:rPr>
          <w:rFonts w:cs="Arial"/>
          <w:color w:val="000000" w:themeColor="text1"/>
          <w:lang w:val="es-ES"/>
        </w:rPr>
        <w:t xml:space="preserve">el </w:t>
      </w:r>
      <w:r w:rsidRPr="00656772">
        <w:rPr>
          <w:rFonts w:cs="Arial"/>
          <w:color w:val="000000" w:themeColor="text1"/>
          <w:lang w:val="es-ES"/>
        </w:rPr>
        <w:t>evento y evaluar</w:t>
      </w:r>
      <w:r w:rsidR="00656772">
        <w:rPr>
          <w:rFonts w:cs="Arial"/>
          <w:color w:val="000000" w:themeColor="text1"/>
          <w:lang w:val="es-ES"/>
        </w:rPr>
        <w:t xml:space="preserve"> la</w:t>
      </w:r>
      <w:r w:rsidRPr="00656772">
        <w:rPr>
          <w:rFonts w:cs="Arial"/>
          <w:color w:val="000000" w:themeColor="text1"/>
          <w:lang w:val="es-ES"/>
        </w:rPr>
        <w:t xml:space="preserve"> CAPA si corresponde.</w:t>
      </w:r>
    </w:p>
    <w:p w14:paraId="2FA5C09B" w14:textId="77777777" w:rsidR="004A5F1D" w:rsidRPr="00656772" w:rsidRDefault="004A5F1D" w:rsidP="00656772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56772">
        <w:rPr>
          <w:rFonts w:ascii="Arial" w:hAnsi="Arial" w:cs="Arial"/>
          <w:color w:val="000000" w:themeColor="text1"/>
          <w:lang w:val="es-ES"/>
        </w:rPr>
        <w:lastRenderedPageBreak/>
        <w:t>Registros obligatorios</w:t>
      </w:r>
    </w:p>
    <w:p w14:paraId="04DAC35E" w14:textId="77777777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>Registro de derrame/exposición.</w:t>
      </w:r>
    </w:p>
    <w:p w14:paraId="5785A472" w14:textId="77777777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>Formulario de desviación/CAPA.</w:t>
      </w:r>
    </w:p>
    <w:p w14:paraId="3D028534" w14:textId="77777777" w:rsidR="004A5F1D" w:rsidRPr="00656772" w:rsidRDefault="004A5F1D" w:rsidP="00656772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56772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24BCE2ED" w14:textId="77777777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>Número de derrames.</w:t>
      </w:r>
    </w:p>
    <w:p w14:paraId="7D5A5910" w14:textId="77777777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>Tiempo de cierre de incidentes.</w:t>
      </w:r>
    </w:p>
    <w:p w14:paraId="0E17B925" w14:textId="77777777" w:rsidR="004A5F1D" w:rsidRPr="00656772" w:rsidRDefault="004A5F1D" w:rsidP="00656772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56772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3F267D5C" w14:textId="10C41E34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 xml:space="preserve">Resolución </w:t>
      </w:r>
      <w:r w:rsidR="00656772">
        <w:rPr>
          <w:rFonts w:cs="Arial"/>
          <w:color w:val="000000" w:themeColor="text1"/>
          <w:lang w:val="es-ES"/>
        </w:rPr>
        <w:t xml:space="preserve">del </w:t>
      </w:r>
      <w:r w:rsidRPr="00656772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42A3FFBF" w14:textId="09EBE57F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 xml:space="preserve">Resolución </w:t>
      </w:r>
      <w:r w:rsidR="00656772">
        <w:rPr>
          <w:rFonts w:cs="Arial"/>
          <w:color w:val="000000" w:themeColor="text1"/>
          <w:lang w:val="es-ES"/>
        </w:rPr>
        <w:t xml:space="preserve">del </w:t>
      </w:r>
      <w:r w:rsidRPr="00656772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28972D9C" w14:textId="77777777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>Ley 25.326 - Protección de los Datos Personales.</w:t>
      </w:r>
    </w:p>
    <w:p w14:paraId="4ABD90BD" w14:textId="727DEDA7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 xml:space="preserve">Ley 26.529 y </w:t>
      </w:r>
      <w:r w:rsidR="00656772">
        <w:rPr>
          <w:rFonts w:cs="Arial"/>
          <w:color w:val="000000" w:themeColor="text1"/>
          <w:lang w:val="es-ES"/>
        </w:rPr>
        <w:t xml:space="preserve">su </w:t>
      </w:r>
      <w:r w:rsidRPr="00656772">
        <w:rPr>
          <w:rFonts w:cs="Arial"/>
          <w:color w:val="000000" w:themeColor="text1"/>
          <w:lang w:val="es-ES"/>
        </w:rPr>
        <w:t>modificatoria</w:t>
      </w:r>
      <w:r w:rsidR="00656772">
        <w:rPr>
          <w:rFonts w:cs="Arial"/>
          <w:color w:val="000000" w:themeColor="text1"/>
          <w:lang w:val="es-ES"/>
        </w:rPr>
        <w:t>,</w:t>
      </w:r>
      <w:r w:rsidRPr="00656772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65667F0B" w14:textId="77777777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2824C7C7" w14:textId="5C6AC40C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 xml:space="preserve">Ley </w:t>
      </w:r>
      <w:r w:rsidR="00656772">
        <w:rPr>
          <w:rFonts w:cs="Arial"/>
          <w:color w:val="000000" w:themeColor="text1"/>
          <w:lang w:val="es-ES"/>
        </w:rPr>
        <w:t xml:space="preserve">de la </w:t>
      </w:r>
      <w:r w:rsidRPr="00656772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2610DDA9" w14:textId="77D36FC7" w:rsidR="004A5F1D" w:rsidRPr="00656772" w:rsidRDefault="004A5F1D" w:rsidP="00656772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656772">
        <w:rPr>
          <w:rFonts w:cs="Arial"/>
          <w:color w:val="000000" w:themeColor="text1"/>
          <w:lang w:val="es-ES"/>
        </w:rPr>
        <w:t>Practices</w:t>
      </w:r>
      <w:proofErr w:type="spellEnd"/>
      <w:r w:rsidRPr="00656772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656772">
        <w:rPr>
          <w:rFonts w:cs="Arial"/>
          <w:color w:val="000000" w:themeColor="text1"/>
          <w:lang w:val="es-ES"/>
        </w:rPr>
        <w:t xml:space="preserve">la </w:t>
      </w:r>
      <w:r w:rsidRPr="00656772">
        <w:rPr>
          <w:rFonts w:cs="Arial"/>
          <w:color w:val="000000" w:themeColor="text1"/>
          <w:lang w:val="es-ES"/>
        </w:rPr>
        <w:t>normativa aplicable).</w:t>
      </w:r>
    </w:p>
    <w:p w14:paraId="3D401A66" w14:textId="77777777" w:rsidR="004A5F1D" w:rsidRPr="00656772" w:rsidRDefault="004A5F1D" w:rsidP="00656772">
      <w:pPr>
        <w:jc w:val="both"/>
        <w:rPr>
          <w:rFonts w:cs="Arial"/>
          <w:color w:val="000000" w:themeColor="text1"/>
          <w:lang w:val="es-ES"/>
        </w:rPr>
      </w:pPr>
      <w:r w:rsidRPr="00656772">
        <w:rPr>
          <w:rFonts w:cs="Arial"/>
          <w:color w:val="000000" w:themeColor="text1"/>
          <w:lang w:val="es-ES"/>
        </w:rPr>
        <w:br w:type="page"/>
      </w:r>
    </w:p>
    <w:p w14:paraId="5F4195DE" w14:textId="77777777" w:rsidR="00C740E2" w:rsidRPr="00656772" w:rsidRDefault="00C740E2" w:rsidP="00656772">
      <w:pPr>
        <w:jc w:val="both"/>
        <w:rPr>
          <w:lang w:val="es-ES"/>
        </w:rPr>
      </w:pPr>
    </w:p>
    <w:sectPr w:rsidR="00C740E2" w:rsidRPr="006567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0900A78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F1D"/>
    <w:rsid w:val="0012748E"/>
    <w:rsid w:val="001517D0"/>
    <w:rsid w:val="002A0105"/>
    <w:rsid w:val="003040C5"/>
    <w:rsid w:val="003109A2"/>
    <w:rsid w:val="004A5F1D"/>
    <w:rsid w:val="00656772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90C5B7"/>
  <w15:chartTrackingRefBased/>
  <w15:docId w15:val="{25A0A778-0406-714C-9A36-51DECB7A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F1D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A5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5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F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F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F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F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5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F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F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F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F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F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F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F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F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F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F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F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F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F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F1D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4A5F1D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4A5F1D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4A5F1D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333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2026-09-04T15:09:00Z</dcterms:created>
  <dcterms:modified xsi:type="dcterms:W3CDTF">2026-09-04T19:57:00Z</dcterms:modified>
</cp:coreProperties>
</file>