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C9D0DFC" w14:textId="77777777" w:rsidR="00BC3544" w:rsidRPr="00ED272A" w:rsidRDefault="00BC3544" w:rsidP="00ED272A">
      <w:pPr>
        <w:pStyle w:val="Ttulo1"/>
        <w:jc w:val="center"/>
        <w:rPr>
          <w:rFonts w:ascii="Arial" w:hAnsi="Arial" w:cs="Arial"/>
          <w:color w:val="000000" w:themeColor="text1"/>
          <w:lang w:val="es-ES"/>
        </w:rPr>
      </w:pPr>
      <w:r w:rsidRPr="00ED272A">
        <w:rPr>
          <w:rFonts w:ascii="Arial" w:hAnsi="Arial" w:cs="Arial"/>
          <w:color w:val="000000" w:themeColor="text1"/>
          <w:lang w:val="es-ES"/>
        </w:rPr>
        <w:t>BB-DAT-001 - Registro maestro y trazabilidad en NORAYBANKS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51"/>
        <w:gridCol w:w="2224"/>
        <w:gridCol w:w="2129"/>
        <w:gridCol w:w="2224"/>
      </w:tblGrid>
      <w:tr w:rsidR="00BC3544" w:rsidRPr="00ED272A" w14:paraId="56705E3C" w14:textId="77777777" w:rsidTr="00663CDF">
        <w:trPr>
          <w:jc w:val="center"/>
        </w:trPr>
        <w:tc>
          <w:tcPr>
            <w:tcW w:w="2251" w:type="dxa"/>
            <w:shd w:val="clear" w:color="auto" w:fill="D9EAF7"/>
            <w:vAlign w:val="center"/>
          </w:tcPr>
          <w:p w14:paraId="102E67FF" w14:textId="77777777" w:rsidR="00BC3544" w:rsidRPr="00ED272A" w:rsidRDefault="00BC3544" w:rsidP="00ED272A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ED272A">
              <w:rPr>
                <w:rFonts w:cs="Arial"/>
                <w:b/>
                <w:color w:val="000000" w:themeColor="text1"/>
                <w:sz w:val="17"/>
                <w:lang w:val="es-ES"/>
              </w:rPr>
              <w:t>Código</w:t>
            </w:r>
          </w:p>
        </w:tc>
        <w:tc>
          <w:tcPr>
            <w:tcW w:w="2224" w:type="dxa"/>
            <w:vAlign w:val="center"/>
          </w:tcPr>
          <w:p w14:paraId="5F58673E" w14:textId="77777777" w:rsidR="00BC3544" w:rsidRPr="00ED272A" w:rsidRDefault="00BC3544" w:rsidP="00ED272A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ED272A">
              <w:rPr>
                <w:rFonts w:cs="Arial"/>
                <w:color w:val="000000" w:themeColor="text1"/>
                <w:sz w:val="17"/>
                <w:lang w:val="es-ES"/>
              </w:rPr>
              <w:t>BB-DAT-001</w:t>
            </w:r>
          </w:p>
        </w:tc>
        <w:tc>
          <w:tcPr>
            <w:tcW w:w="2129" w:type="dxa"/>
            <w:shd w:val="clear" w:color="auto" w:fill="D9EAF7"/>
            <w:vAlign w:val="center"/>
          </w:tcPr>
          <w:p w14:paraId="5D7DABE9" w14:textId="77777777" w:rsidR="00BC3544" w:rsidRPr="00ED272A" w:rsidRDefault="00BC3544" w:rsidP="00ED272A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ED272A">
              <w:rPr>
                <w:rFonts w:cs="Arial"/>
                <w:b/>
                <w:color w:val="000000" w:themeColor="text1"/>
                <w:sz w:val="17"/>
                <w:lang w:val="es-ES"/>
              </w:rPr>
              <w:t>Versión</w:t>
            </w:r>
          </w:p>
        </w:tc>
        <w:tc>
          <w:tcPr>
            <w:tcW w:w="2224" w:type="dxa"/>
            <w:vAlign w:val="center"/>
          </w:tcPr>
          <w:p w14:paraId="3938E32F" w14:textId="77777777" w:rsidR="00BC3544" w:rsidRPr="00ED272A" w:rsidRDefault="00BC3544" w:rsidP="00ED272A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ED272A">
              <w:rPr>
                <w:rFonts w:cs="Arial"/>
                <w:color w:val="000000" w:themeColor="text1"/>
                <w:sz w:val="17"/>
                <w:lang w:val="es-ES"/>
              </w:rPr>
              <w:t>0.1</w:t>
            </w:r>
          </w:p>
        </w:tc>
      </w:tr>
      <w:tr w:rsidR="00BC3544" w:rsidRPr="00ED272A" w14:paraId="0E4EFEBE" w14:textId="77777777" w:rsidTr="00663CDF">
        <w:trPr>
          <w:jc w:val="center"/>
        </w:trPr>
        <w:tc>
          <w:tcPr>
            <w:tcW w:w="2251" w:type="dxa"/>
            <w:shd w:val="clear" w:color="auto" w:fill="D9EAF7"/>
            <w:vAlign w:val="center"/>
          </w:tcPr>
          <w:p w14:paraId="2FDC0DAC" w14:textId="77777777" w:rsidR="00BC3544" w:rsidRPr="00ED272A" w:rsidRDefault="00BC3544" w:rsidP="00ED272A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ED272A">
              <w:rPr>
                <w:rFonts w:cs="Arial"/>
                <w:b/>
                <w:color w:val="000000" w:themeColor="text1"/>
                <w:sz w:val="17"/>
                <w:lang w:val="es-ES"/>
              </w:rPr>
              <w:t>Título</w:t>
            </w:r>
          </w:p>
        </w:tc>
        <w:tc>
          <w:tcPr>
            <w:tcW w:w="2224" w:type="dxa"/>
            <w:vAlign w:val="center"/>
          </w:tcPr>
          <w:p w14:paraId="28054C36" w14:textId="77777777" w:rsidR="00BC3544" w:rsidRPr="00ED272A" w:rsidRDefault="00BC3544" w:rsidP="00ED272A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ED272A">
              <w:rPr>
                <w:rFonts w:cs="Arial"/>
                <w:color w:val="000000" w:themeColor="text1"/>
                <w:sz w:val="17"/>
                <w:lang w:val="es-ES"/>
              </w:rPr>
              <w:t>Registro maestro y trazabilidad en NORAYBANKS</w:t>
            </w:r>
          </w:p>
        </w:tc>
        <w:tc>
          <w:tcPr>
            <w:tcW w:w="2129" w:type="dxa"/>
            <w:shd w:val="clear" w:color="auto" w:fill="D9EAF7"/>
            <w:vAlign w:val="center"/>
          </w:tcPr>
          <w:p w14:paraId="6E498D74" w14:textId="77777777" w:rsidR="00BC3544" w:rsidRPr="00ED272A" w:rsidRDefault="00BC3544" w:rsidP="00ED272A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ED272A">
              <w:rPr>
                <w:rFonts w:cs="Arial"/>
                <w:b/>
                <w:color w:val="000000" w:themeColor="text1"/>
                <w:sz w:val="17"/>
                <w:lang w:val="es-ES"/>
              </w:rPr>
              <w:t>Vigencia</w:t>
            </w:r>
          </w:p>
        </w:tc>
        <w:tc>
          <w:tcPr>
            <w:tcW w:w="2224" w:type="dxa"/>
            <w:vAlign w:val="center"/>
          </w:tcPr>
          <w:p w14:paraId="16C4932E" w14:textId="77777777" w:rsidR="00BC3544" w:rsidRPr="00ED272A" w:rsidRDefault="00BC3544" w:rsidP="00ED272A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ED272A">
              <w:rPr>
                <w:rFonts w:cs="Arial"/>
                <w:color w:val="000000" w:themeColor="text1"/>
                <w:sz w:val="17"/>
                <w:lang w:val="es-ES"/>
              </w:rPr>
              <w:t>A definir tras aprobación</w:t>
            </w:r>
          </w:p>
        </w:tc>
      </w:tr>
      <w:tr w:rsidR="00663CDF" w:rsidRPr="00ED272A" w14:paraId="101FE302" w14:textId="77777777" w:rsidTr="00663CDF">
        <w:trPr>
          <w:jc w:val="center"/>
        </w:trPr>
        <w:tc>
          <w:tcPr>
            <w:tcW w:w="2251" w:type="dxa"/>
            <w:shd w:val="clear" w:color="auto" w:fill="D9EAF7"/>
            <w:vAlign w:val="center"/>
          </w:tcPr>
          <w:p w14:paraId="078F66E4" w14:textId="77777777" w:rsidR="00663CDF" w:rsidRPr="00ED272A" w:rsidRDefault="00663CDF" w:rsidP="00ED272A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ED272A">
              <w:rPr>
                <w:rFonts w:cs="Arial"/>
                <w:b/>
                <w:color w:val="000000" w:themeColor="text1"/>
                <w:sz w:val="17"/>
                <w:lang w:val="es-ES"/>
              </w:rPr>
              <w:t>Aplicación</w:t>
            </w:r>
          </w:p>
        </w:tc>
        <w:tc>
          <w:tcPr>
            <w:tcW w:w="2224" w:type="dxa"/>
            <w:vAlign w:val="center"/>
          </w:tcPr>
          <w:p w14:paraId="236ADE38" w14:textId="77777777" w:rsidR="00663CDF" w:rsidRPr="00ED272A" w:rsidRDefault="00663CDF" w:rsidP="00ED272A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ED272A">
              <w:rPr>
                <w:rFonts w:cs="Arial"/>
                <w:color w:val="000000" w:themeColor="text1"/>
                <w:sz w:val="17"/>
                <w:lang w:val="es-ES"/>
              </w:rPr>
              <w:t>Ambas unidades</w:t>
            </w:r>
          </w:p>
        </w:tc>
        <w:tc>
          <w:tcPr>
            <w:tcW w:w="2129" w:type="dxa"/>
            <w:shd w:val="clear" w:color="auto" w:fill="D9EAF7"/>
            <w:vAlign w:val="center"/>
          </w:tcPr>
          <w:p w14:paraId="55DBD652" w14:textId="77777777" w:rsidR="00663CDF" w:rsidRPr="00ED272A" w:rsidRDefault="00663CDF" w:rsidP="00ED272A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ED272A">
              <w:rPr>
                <w:rFonts w:cs="Arial"/>
                <w:b/>
                <w:color w:val="000000" w:themeColor="text1"/>
                <w:sz w:val="17"/>
                <w:lang w:val="es-ES"/>
              </w:rPr>
              <w:t>Elaborado por</w:t>
            </w:r>
          </w:p>
        </w:tc>
        <w:tc>
          <w:tcPr>
            <w:tcW w:w="2224" w:type="dxa"/>
            <w:vAlign w:val="center"/>
          </w:tcPr>
          <w:p w14:paraId="6DB9E8AB" w14:textId="0FE6D31F" w:rsidR="00663CDF" w:rsidRPr="00ED272A" w:rsidRDefault="00663CDF" w:rsidP="00ED272A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ED272A">
              <w:rPr>
                <w:rFonts w:cs="Arial"/>
                <w:color w:val="000000" w:themeColor="text1"/>
                <w:sz w:val="17"/>
                <w:lang w:val="es-ES"/>
              </w:rPr>
              <w:t>Dr. Martín Ledesma</w:t>
            </w:r>
          </w:p>
        </w:tc>
      </w:tr>
      <w:tr w:rsidR="00663CDF" w:rsidRPr="00ED272A" w14:paraId="20934F5C" w14:textId="77777777" w:rsidTr="00663CDF">
        <w:trPr>
          <w:jc w:val="center"/>
        </w:trPr>
        <w:tc>
          <w:tcPr>
            <w:tcW w:w="2251" w:type="dxa"/>
            <w:shd w:val="clear" w:color="auto" w:fill="D9EAF7"/>
            <w:vAlign w:val="center"/>
          </w:tcPr>
          <w:p w14:paraId="32547302" w14:textId="77777777" w:rsidR="00663CDF" w:rsidRPr="00ED272A" w:rsidRDefault="00663CDF" w:rsidP="00ED272A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ED272A">
              <w:rPr>
                <w:rFonts w:cs="Arial"/>
                <w:b/>
                <w:color w:val="000000" w:themeColor="text1"/>
                <w:sz w:val="17"/>
                <w:lang w:val="es-ES"/>
              </w:rPr>
              <w:t>Aprobación</w:t>
            </w:r>
          </w:p>
        </w:tc>
        <w:tc>
          <w:tcPr>
            <w:tcW w:w="2224" w:type="dxa"/>
            <w:vAlign w:val="center"/>
          </w:tcPr>
          <w:p w14:paraId="6CCCDECD" w14:textId="212D1201" w:rsidR="00663CDF" w:rsidRPr="00ED272A" w:rsidRDefault="00663CDF" w:rsidP="00ED272A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ED272A">
              <w:rPr>
                <w:rFonts w:cs="Arial"/>
                <w:color w:val="000000" w:themeColor="text1"/>
                <w:sz w:val="17"/>
                <w:lang w:val="es-ES"/>
              </w:rPr>
              <w:t>Coordinadora CEMET Viviana Fanessi</w:t>
            </w:r>
          </w:p>
        </w:tc>
        <w:tc>
          <w:tcPr>
            <w:tcW w:w="2129" w:type="dxa"/>
            <w:shd w:val="clear" w:color="auto" w:fill="D9EAF7"/>
            <w:vAlign w:val="center"/>
          </w:tcPr>
          <w:p w14:paraId="0A8C5ED4" w14:textId="77777777" w:rsidR="00663CDF" w:rsidRPr="00ED272A" w:rsidRDefault="00663CDF" w:rsidP="00ED272A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ED272A">
              <w:rPr>
                <w:rFonts w:cs="Arial"/>
                <w:b/>
                <w:color w:val="000000" w:themeColor="text1"/>
                <w:sz w:val="17"/>
                <w:lang w:val="es-ES"/>
              </w:rPr>
              <w:t>Revisión</w:t>
            </w:r>
          </w:p>
        </w:tc>
        <w:tc>
          <w:tcPr>
            <w:tcW w:w="2224" w:type="dxa"/>
            <w:vAlign w:val="center"/>
          </w:tcPr>
          <w:p w14:paraId="461EA456" w14:textId="77777777" w:rsidR="00663CDF" w:rsidRPr="00ED272A" w:rsidRDefault="00663CDF" w:rsidP="00ED272A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ED272A">
              <w:rPr>
                <w:rFonts w:cs="Arial"/>
                <w:color w:val="000000" w:themeColor="text1"/>
                <w:sz w:val="17"/>
                <w:lang w:val="es-ES"/>
              </w:rPr>
              <w:t>Anual o ante cambio regulatorio</w:t>
            </w:r>
          </w:p>
        </w:tc>
      </w:tr>
      <w:tr w:rsidR="00663CDF" w:rsidRPr="00ED272A" w14:paraId="255F6E9A" w14:textId="77777777" w:rsidTr="00663CDF">
        <w:trPr>
          <w:jc w:val="center"/>
        </w:trPr>
        <w:tc>
          <w:tcPr>
            <w:tcW w:w="2251" w:type="dxa"/>
            <w:shd w:val="clear" w:color="auto" w:fill="D9EAF7"/>
            <w:vAlign w:val="center"/>
          </w:tcPr>
          <w:p w14:paraId="4E584746" w14:textId="77777777" w:rsidR="00663CDF" w:rsidRPr="00ED272A" w:rsidRDefault="00663CDF" w:rsidP="00ED272A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ED272A">
              <w:rPr>
                <w:rFonts w:cs="Arial"/>
                <w:b/>
                <w:color w:val="000000" w:themeColor="text1"/>
                <w:sz w:val="17"/>
                <w:lang w:val="es-ES"/>
              </w:rPr>
              <w:t>Documentación</w:t>
            </w:r>
          </w:p>
        </w:tc>
        <w:tc>
          <w:tcPr>
            <w:tcW w:w="2224" w:type="dxa"/>
            <w:vAlign w:val="center"/>
          </w:tcPr>
          <w:p w14:paraId="2BB333E1" w14:textId="77777777" w:rsidR="00663CDF" w:rsidRPr="00ED272A" w:rsidRDefault="00663CDF" w:rsidP="00ED272A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ED272A">
              <w:rPr>
                <w:rFonts w:cs="Arial"/>
                <w:color w:val="000000" w:themeColor="text1"/>
                <w:sz w:val="17"/>
                <w:lang w:val="es-ES"/>
              </w:rPr>
              <w:t>Registro electrónico y/o formulario controlado</w:t>
            </w:r>
          </w:p>
        </w:tc>
        <w:tc>
          <w:tcPr>
            <w:tcW w:w="2129" w:type="dxa"/>
            <w:shd w:val="clear" w:color="auto" w:fill="D9EAF7"/>
            <w:vAlign w:val="center"/>
          </w:tcPr>
          <w:p w14:paraId="14DA045A" w14:textId="77777777" w:rsidR="00663CDF" w:rsidRPr="00ED272A" w:rsidRDefault="00663CDF" w:rsidP="00ED272A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ED272A">
              <w:rPr>
                <w:rFonts w:cs="Arial"/>
                <w:b/>
                <w:color w:val="000000" w:themeColor="text1"/>
                <w:sz w:val="17"/>
                <w:lang w:val="es-ES"/>
              </w:rPr>
              <w:t>Sistema</w:t>
            </w:r>
          </w:p>
        </w:tc>
        <w:tc>
          <w:tcPr>
            <w:tcW w:w="2224" w:type="dxa"/>
            <w:vAlign w:val="center"/>
          </w:tcPr>
          <w:p w14:paraId="0AE59A5C" w14:textId="77777777" w:rsidR="00663CDF" w:rsidRPr="00ED272A" w:rsidRDefault="00663CDF" w:rsidP="00ED272A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ED272A">
              <w:rPr>
                <w:rFonts w:cs="Arial"/>
                <w:color w:val="000000" w:themeColor="text1"/>
                <w:sz w:val="17"/>
                <w:lang w:val="es-ES"/>
              </w:rPr>
              <w:t>NORAYBANKS + registros institucionales</w:t>
            </w:r>
          </w:p>
        </w:tc>
      </w:tr>
    </w:tbl>
    <w:p w14:paraId="5922BFBE" w14:textId="77777777" w:rsidR="00BC3544" w:rsidRPr="00ED272A" w:rsidRDefault="00BC3544" w:rsidP="00ED272A">
      <w:pPr>
        <w:jc w:val="both"/>
        <w:rPr>
          <w:rFonts w:cs="Arial"/>
          <w:color w:val="000000" w:themeColor="text1"/>
          <w:lang w:val="es-ES"/>
        </w:rPr>
      </w:pPr>
    </w:p>
    <w:p w14:paraId="2522C5E6" w14:textId="77777777" w:rsidR="00BC3544" w:rsidRPr="00ED272A" w:rsidRDefault="00BC3544" w:rsidP="00ED272A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ED272A">
        <w:rPr>
          <w:rFonts w:ascii="Arial" w:hAnsi="Arial" w:cs="Arial"/>
          <w:color w:val="000000" w:themeColor="text1"/>
          <w:lang w:val="es-ES"/>
        </w:rPr>
        <w:t>Propósito</w:t>
      </w:r>
    </w:p>
    <w:p w14:paraId="420ED548" w14:textId="3BD82A31" w:rsidR="00BC3544" w:rsidRPr="00ED272A" w:rsidRDefault="00BC3544" w:rsidP="00ED272A">
      <w:pPr>
        <w:jc w:val="both"/>
        <w:rPr>
          <w:rFonts w:cs="Arial"/>
          <w:color w:val="000000" w:themeColor="text1"/>
          <w:lang w:val="es-ES"/>
        </w:rPr>
      </w:pPr>
      <w:r w:rsidRPr="00ED272A">
        <w:rPr>
          <w:rFonts w:cs="Arial"/>
          <w:color w:val="000000" w:themeColor="text1"/>
          <w:lang w:val="es-ES"/>
        </w:rPr>
        <w:t xml:space="preserve">Definir NORAYBANKS como </w:t>
      </w:r>
      <w:r w:rsidR="00ED272A">
        <w:rPr>
          <w:rFonts w:cs="Arial"/>
          <w:color w:val="000000" w:themeColor="text1"/>
          <w:lang w:val="es-ES"/>
        </w:rPr>
        <w:t xml:space="preserve">el </w:t>
      </w:r>
      <w:r w:rsidRPr="00ED272A">
        <w:rPr>
          <w:rFonts w:cs="Arial"/>
          <w:color w:val="000000" w:themeColor="text1"/>
          <w:lang w:val="es-ES"/>
        </w:rPr>
        <w:t>sistema de trazabilidad de muestras, derivados, ubicaciones y eventos.</w:t>
      </w:r>
    </w:p>
    <w:p w14:paraId="4E1904FF" w14:textId="77777777" w:rsidR="00BC3544" w:rsidRPr="00ED272A" w:rsidRDefault="00BC3544" w:rsidP="00ED272A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ED272A">
        <w:rPr>
          <w:rFonts w:ascii="Arial" w:hAnsi="Arial" w:cs="Arial"/>
          <w:color w:val="000000" w:themeColor="text1"/>
          <w:lang w:val="es-ES"/>
        </w:rPr>
        <w:t>Alcance</w:t>
      </w:r>
    </w:p>
    <w:p w14:paraId="30E17C4F" w14:textId="77777777" w:rsidR="00BC3544" w:rsidRPr="00ED272A" w:rsidRDefault="00BC3544" w:rsidP="00ED272A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ED272A">
        <w:rPr>
          <w:rFonts w:cs="Arial"/>
          <w:color w:val="000000" w:themeColor="text1"/>
          <w:lang w:val="es-ES"/>
        </w:rPr>
        <w:t>Casos, donaciones/recepciones, muestras, alícuotas, ubicaciones, documentos, incidencias y envíos.</w:t>
      </w:r>
    </w:p>
    <w:p w14:paraId="556ABC16" w14:textId="77777777" w:rsidR="00BC3544" w:rsidRPr="00ED272A" w:rsidRDefault="00BC3544" w:rsidP="00ED272A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ED272A">
        <w:rPr>
          <w:rFonts w:ascii="Arial" w:hAnsi="Arial" w:cs="Arial"/>
          <w:color w:val="000000" w:themeColor="text1"/>
          <w:lang w:val="es-ES"/>
        </w:rPr>
        <w:t>Responsabilidades</w:t>
      </w:r>
    </w:p>
    <w:p w14:paraId="7ABE8C94" w14:textId="77777777" w:rsidR="00BC3544" w:rsidRPr="00ED272A" w:rsidRDefault="00BC3544" w:rsidP="00ED272A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ED272A">
        <w:rPr>
          <w:rFonts w:cs="Arial"/>
          <w:color w:val="000000" w:themeColor="text1"/>
          <w:lang w:val="es-ES"/>
        </w:rPr>
        <w:t>Técnico: carga operativa y control de calidad de datos.</w:t>
      </w:r>
    </w:p>
    <w:p w14:paraId="7B23FBE1" w14:textId="77777777" w:rsidR="00BC3544" w:rsidRPr="00ED272A" w:rsidRDefault="00BC3544" w:rsidP="00ED272A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ED272A">
        <w:rPr>
          <w:rFonts w:cs="Arial"/>
          <w:color w:val="000000" w:themeColor="text1"/>
          <w:lang w:val="es-ES"/>
        </w:rPr>
        <w:t>Director: define permisos, reglas y auditorías.</w:t>
      </w:r>
    </w:p>
    <w:p w14:paraId="2E82D928" w14:textId="77777777" w:rsidR="00BC3544" w:rsidRPr="00ED272A" w:rsidRDefault="00BC3544" w:rsidP="00ED272A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ED272A">
        <w:rPr>
          <w:rFonts w:ascii="Arial" w:hAnsi="Arial" w:cs="Arial"/>
          <w:color w:val="000000" w:themeColor="text1"/>
          <w:lang w:val="es-ES"/>
        </w:rPr>
        <w:t>Definiciones / criterios</w:t>
      </w:r>
    </w:p>
    <w:p w14:paraId="6CD19517" w14:textId="77777777" w:rsidR="00BC3544" w:rsidRPr="00ED272A" w:rsidRDefault="00BC3544" w:rsidP="00ED272A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ED272A">
        <w:rPr>
          <w:rFonts w:cs="Arial"/>
          <w:color w:val="000000" w:themeColor="text1"/>
          <w:lang w:val="es-ES"/>
        </w:rPr>
        <w:t>Utilizar identificadores únicos.</w:t>
      </w:r>
    </w:p>
    <w:p w14:paraId="3F519116" w14:textId="77777777" w:rsidR="00BC3544" w:rsidRPr="00ED272A" w:rsidRDefault="00BC3544" w:rsidP="00ED272A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ED272A">
        <w:rPr>
          <w:rFonts w:cs="Arial"/>
          <w:color w:val="000000" w:themeColor="text1"/>
          <w:lang w:val="es-ES"/>
        </w:rPr>
        <w:t>Diferenciar caso, colección, donación/recepción y muestra.</w:t>
      </w:r>
    </w:p>
    <w:p w14:paraId="3737CAE4" w14:textId="77777777" w:rsidR="00BC3544" w:rsidRPr="00ED272A" w:rsidRDefault="00BC3544" w:rsidP="00ED272A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ED272A">
        <w:rPr>
          <w:rFonts w:cs="Arial"/>
          <w:color w:val="000000" w:themeColor="text1"/>
          <w:lang w:val="es-ES"/>
        </w:rPr>
        <w:t>Registrar la relación muestra madre-derivado.</w:t>
      </w:r>
    </w:p>
    <w:p w14:paraId="726F54C2" w14:textId="77777777" w:rsidR="00BC3544" w:rsidRPr="00ED272A" w:rsidRDefault="00BC3544" w:rsidP="00ED272A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ED272A">
        <w:rPr>
          <w:rFonts w:cs="Arial"/>
          <w:color w:val="000000" w:themeColor="text1"/>
          <w:lang w:val="es-ES"/>
        </w:rPr>
        <w:t>No borrar movimientos históricos; usar estados y trazabilidad.</w:t>
      </w:r>
    </w:p>
    <w:p w14:paraId="34137EB4" w14:textId="77777777" w:rsidR="00BC3544" w:rsidRPr="00ED272A" w:rsidRDefault="00BC3544" w:rsidP="00ED272A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ED272A">
        <w:rPr>
          <w:rFonts w:ascii="Arial" w:hAnsi="Arial" w:cs="Arial"/>
          <w:color w:val="000000" w:themeColor="text1"/>
          <w:lang w:val="es-ES"/>
        </w:rPr>
        <w:t>Procedimiento</w:t>
      </w:r>
    </w:p>
    <w:p w14:paraId="6AF08C57" w14:textId="77777777" w:rsidR="00BC3544" w:rsidRPr="00ED272A" w:rsidRDefault="00BC3544" w:rsidP="00ED272A">
      <w:pPr>
        <w:ind w:left="312" w:hanging="255"/>
        <w:jc w:val="both"/>
        <w:rPr>
          <w:rFonts w:cs="Arial"/>
          <w:color w:val="000000" w:themeColor="text1"/>
          <w:lang w:val="es-ES"/>
        </w:rPr>
      </w:pPr>
      <w:r w:rsidRPr="00ED272A">
        <w:rPr>
          <w:rFonts w:cs="Arial"/>
          <w:color w:val="000000" w:themeColor="text1"/>
          <w:lang w:val="es-ES"/>
        </w:rPr>
        <w:t>1. Crear/validar colección.</w:t>
      </w:r>
    </w:p>
    <w:p w14:paraId="2944D45A" w14:textId="77777777" w:rsidR="00BC3544" w:rsidRPr="00ED272A" w:rsidRDefault="00BC3544" w:rsidP="00ED272A">
      <w:pPr>
        <w:ind w:left="312" w:hanging="255"/>
        <w:jc w:val="both"/>
        <w:rPr>
          <w:rFonts w:cs="Arial"/>
          <w:color w:val="000000" w:themeColor="text1"/>
          <w:lang w:val="es-ES"/>
        </w:rPr>
      </w:pPr>
      <w:r w:rsidRPr="00ED272A">
        <w:rPr>
          <w:rFonts w:cs="Arial"/>
          <w:color w:val="000000" w:themeColor="text1"/>
          <w:lang w:val="es-ES"/>
        </w:rPr>
        <w:t>2. Registrar caso codificado y donación/recepción.</w:t>
      </w:r>
    </w:p>
    <w:p w14:paraId="50934601" w14:textId="77777777" w:rsidR="00BC3544" w:rsidRPr="00ED272A" w:rsidRDefault="00BC3544" w:rsidP="00ED272A">
      <w:pPr>
        <w:ind w:left="312" w:hanging="255"/>
        <w:jc w:val="both"/>
        <w:rPr>
          <w:rFonts w:cs="Arial"/>
          <w:color w:val="000000" w:themeColor="text1"/>
          <w:lang w:val="es-ES"/>
        </w:rPr>
      </w:pPr>
      <w:r w:rsidRPr="00ED272A">
        <w:rPr>
          <w:rFonts w:cs="Arial"/>
          <w:color w:val="000000" w:themeColor="text1"/>
          <w:lang w:val="es-ES"/>
        </w:rPr>
        <w:t>3. Registrar muestra y derivados.</w:t>
      </w:r>
    </w:p>
    <w:p w14:paraId="3CF16EE1" w14:textId="77777777" w:rsidR="00BC3544" w:rsidRPr="00ED272A" w:rsidRDefault="00BC3544" w:rsidP="00ED272A">
      <w:pPr>
        <w:ind w:left="312" w:hanging="255"/>
        <w:jc w:val="both"/>
        <w:rPr>
          <w:rFonts w:cs="Arial"/>
          <w:color w:val="000000" w:themeColor="text1"/>
          <w:lang w:val="es-ES"/>
        </w:rPr>
      </w:pPr>
      <w:r w:rsidRPr="00ED272A">
        <w:rPr>
          <w:rFonts w:cs="Arial"/>
          <w:color w:val="000000" w:themeColor="text1"/>
          <w:lang w:val="es-ES"/>
        </w:rPr>
        <w:t>4. Asignar ubicación física.</w:t>
      </w:r>
    </w:p>
    <w:p w14:paraId="15377167" w14:textId="77777777" w:rsidR="00BC3544" w:rsidRPr="00ED272A" w:rsidRDefault="00BC3544" w:rsidP="00ED272A">
      <w:pPr>
        <w:ind w:left="312" w:hanging="255"/>
        <w:jc w:val="both"/>
        <w:rPr>
          <w:rFonts w:cs="Arial"/>
          <w:color w:val="000000" w:themeColor="text1"/>
          <w:lang w:val="es-ES"/>
        </w:rPr>
      </w:pPr>
      <w:r w:rsidRPr="00ED272A">
        <w:rPr>
          <w:rFonts w:cs="Arial"/>
          <w:color w:val="000000" w:themeColor="text1"/>
          <w:lang w:val="es-ES"/>
        </w:rPr>
        <w:t>5. Registrar cada movimiento, salida, destrucción, incidencia y documento.</w:t>
      </w:r>
    </w:p>
    <w:p w14:paraId="0B0630B9" w14:textId="77777777" w:rsidR="00BC3544" w:rsidRPr="00ED272A" w:rsidRDefault="00BC3544" w:rsidP="00ED272A">
      <w:pPr>
        <w:ind w:left="312" w:hanging="255"/>
        <w:jc w:val="both"/>
        <w:rPr>
          <w:rFonts w:cs="Arial"/>
          <w:color w:val="000000" w:themeColor="text1"/>
          <w:lang w:val="es-ES"/>
        </w:rPr>
      </w:pPr>
      <w:r w:rsidRPr="00ED272A">
        <w:rPr>
          <w:rFonts w:cs="Arial"/>
          <w:color w:val="000000" w:themeColor="text1"/>
          <w:lang w:val="es-ES"/>
        </w:rPr>
        <w:t>6. Realizar conciliaciones periódicas físico-sistema.</w:t>
      </w:r>
    </w:p>
    <w:p w14:paraId="0787D472" w14:textId="77777777" w:rsidR="00BC3544" w:rsidRPr="00ED272A" w:rsidRDefault="00BC3544" w:rsidP="00ED272A">
      <w:pPr>
        <w:ind w:left="312" w:hanging="255"/>
        <w:jc w:val="both"/>
        <w:rPr>
          <w:rFonts w:cs="Arial"/>
          <w:color w:val="000000" w:themeColor="text1"/>
          <w:lang w:val="es-ES"/>
        </w:rPr>
      </w:pPr>
      <w:r w:rsidRPr="00ED272A">
        <w:rPr>
          <w:rFonts w:cs="Arial"/>
          <w:color w:val="000000" w:themeColor="text1"/>
          <w:lang w:val="es-ES"/>
        </w:rPr>
        <w:lastRenderedPageBreak/>
        <w:t>7. Restringir exportaciones por rol.</w:t>
      </w:r>
    </w:p>
    <w:p w14:paraId="00EDC57A" w14:textId="77777777" w:rsidR="00BC3544" w:rsidRPr="00ED272A" w:rsidRDefault="00BC3544" w:rsidP="00ED272A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ED272A">
        <w:rPr>
          <w:rFonts w:ascii="Arial" w:hAnsi="Arial" w:cs="Arial"/>
          <w:color w:val="000000" w:themeColor="text1"/>
          <w:lang w:val="es-ES"/>
        </w:rPr>
        <w:t>Registros obligatorios</w:t>
      </w:r>
    </w:p>
    <w:p w14:paraId="3CBD854E" w14:textId="77777777" w:rsidR="00BC3544" w:rsidRPr="00ED272A" w:rsidRDefault="00BC3544" w:rsidP="00ED272A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ED272A">
        <w:rPr>
          <w:rFonts w:cs="Arial"/>
          <w:color w:val="000000" w:themeColor="text1"/>
          <w:lang w:val="es-ES"/>
        </w:rPr>
        <w:t>Bitácora NORAYBANKS.</w:t>
      </w:r>
    </w:p>
    <w:p w14:paraId="4DAFCCB7" w14:textId="77777777" w:rsidR="00BC3544" w:rsidRPr="00ED272A" w:rsidRDefault="00BC3544" w:rsidP="00ED272A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ED272A">
        <w:rPr>
          <w:rFonts w:cs="Arial"/>
          <w:color w:val="000000" w:themeColor="text1"/>
          <w:lang w:val="es-ES"/>
        </w:rPr>
        <w:t>Reporte de conciliación.</w:t>
      </w:r>
    </w:p>
    <w:p w14:paraId="6C4D6371" w14:textId="77777777" w:rsidR="00BC3544" w:rsidRPr="00ED272A" w:rsidRDefault="00BC3544" w:rsidP="00ED272A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ED272A">
        <w:rPr>
          <w:rFonts w:cs="Arial"/>
          <w:color w:val="000000" w:themeColor="text1"/>
          <w:lang w:val="es-ES"/>
        </w:rPr>
        <w:t>Matriz de permisos.</w:t>
      </w:r>
    </w:p>
    <w:p w14:paraId="6FECD385" w14:textId="77777777" w:rsidR="00BC3544" w:rsidRPr="00ED272A" w:rsidRDefault="00BC3544" w:rsidP="00ED272A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ED272A">
        <w:rPr>
          <w:rFonts w:ascii="Arial" w:hAnsi="Arial" w:cs="Arial"/>
          <w:color w:val="000000" w:themeColor="text1"/>
          <w:lang w:val="es-ES"/>
        </w:rPr>
        <w:t>Indicadores y control</w:t>
      </w:r>
    </w:p>
    <w:p w14:paraId="6B7B7DB0" w14:textId="77777777" w:rsidR="00BC3544" w:rsidRPr="00ED272A" w:rsidRDefault="00BC3544" w:rsidP="00ED272A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ED272A">
        <w:rPr>
          <w:rFonts w:cs="Arial"/>
          <w:color w:val="000000" w:themeColor="text1"/>
          <w:lang w:val="es-ES"/>
        </w:rPr>
        <w:t>Campos obligatorios completos.</w:t>
      </w:r>
    </w:p>
    <w:p w14:paraId="7B91CA2F" w14:textId="77777777" w:rsidR="00BC3544" w:rsidRPr="00ED272A" w:rsidRDefault="00BC3544" w:rsidP="00ED272A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ED272A">
        <w:rPr>
          <w:rFonts w:cs="Arial"/>
          <w:color w:val="000000" w:themeColor="text1"/>
          <w:lang w:val="es-ES"/>
        </w:rPr>
        <w:t>Discrepancias físico-sistema.</w:t>
      </w:r>
    </w:p>
    <w:p w14:paraId="23067A04" w14:textId="77777777" w:rsidR="00BC3544" w:rsidRPr="00ED272A" w:rsidRDefault="00BC3544" w:rsidP="00ED272A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ED272A">
        <w:rPr>
          <w:rFonts w:ascii="Arial" w:hAnsi="Arial" w:cs="Arial"/>
          <w:color w:val="000000" w:themeColor="text1"/>
          <w:lang w:val="es-ES"/>
        </w:rPr>
        <w:t>Referencias y documentos relacionados</w:t>
      </w:r>
    </w:p>
    <w:p w14:paraId="4A83B88E" w14:textId="1DF661E6" w:rsidR="00BC3544" w:rsidRPr="00ED272A" w:rsidRDefault="00BC3544" w:rsidP="00ED272A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ED272A">
        <w:rPr>
          <w:rFonts w:cs="Arial"/>
          <w:color w:val="000000" w:themeColor="text1"/>
          <w:lang w:val="es-ES"/>
        </w:rPr>
        <w:t xml:space="preserve">Resolución </w:t>
      </w:r>
      <w:r w:rsidR="00ED272A">
        <w:rPr>
          <w:rFonts w:cs="Arial"/>
          <w:color w:val="000000" w:themeColor="text1"/>
          <w:lang w:val="es-ES"/>
        </w:rPr>
        <w:t xml:space="preserve">del </w:t>
      </w:r>
      <w:r w:rsidRPr="00ED272A">
        <w:rPr>
          <w:rFonts w:cs="Arial"/>
          <w:color w:val="000000" w:themeColor="text1"/>
          <w:lang w:val="es-ES"/>
        </w:rPr>
        <w:t>Ministerio de Salud de la Nación 2940/2020 - Guía para Biobancos de Muestras Biológicas de Origen Humano con Fines de Investigación.</w:t>
      </w:r>
    </w:p>
    <w:p w14:paraId="3A4BF5E7" w14:textId="3532822C" w:rsidR="00BC3544" w:rsidRPr="00ED272A" w:rsidRDefault="00BC3544" w:rsidP="00ED272A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ED272A">
        <w:rPr>
          <w:rFonts w:cs="Arial"/>
          <w:color w:val="000000" w:themeColor="text1"/>
          <w:lang w:val="es-ES"/>
        </w:rPr>
        <w:t xml:space="preserve">Resolución </w:t>
      </w:r>
      <w:r w:rsidR="00ED272A">
        <w:rPr>
          <w:rFonts w:cs="Arial"/>
          <w:color w:val="000000" w:themeColor="text1"/>
          <w:lang w:val="es-ES"/>
        </w:rPr>
        <w:t xml:space="preserve">del </w:t>
      </w:r>
      <w:r w:rsidRPr="00ED272A">
        <w:rPr>
          <w:rFonts w:cs="Arial"/>
          <w:color w:val="000000" w:themeColor="text1"/>
          <w:lang w:val="es-ES"/>
        </w:rPr>
        <w:t>Ministerio de Salud de la Nación 1480/2011 - Guía para Investigaciones en Salud Humana.</w:t>
      </w:r>
    </w:p>
    <w:p w14:paraId="0F25825A" w14:textId="77777777" w:rsidR="00BC3544" w:rsidRPr="00ED272A" w:rsidRDefault="00BC3544" w:rsidP="00ED272A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ED272A">
        <w:rPr>
          <w:rFonts w:cs="Arial"/>
          <w:color w:val="000000" w:themeColor="text1"/>
          <w:lang w:val="es-ES"/>
        </w:rPr>
        <w:t>Ley 25.326 - Protección de los Datos Personales.</w:t>
      </w:r>
    </w:p>
    <w:p w14:paraId="2D066B99" w14:textId="5D108087" w:rsidR="00BC3544" w:rsidRPr="00ED272A" w:rsidRDefault="00BC3544" w:rsidP="00ED272A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ED272A">
        <w:rPr>
          <w:rFonts w:cs="Arial"/>
          <w:color w:val="000000" w:themeColor="text1"/>
          <w:lang w:val="es-ES"/>
        </w:rPr>
        <w:t xml:space="preserve">Ley 26.529 y </w:t>
      </w:r>
      <w:r w:rsidR="00ED272A">
        <w:rPr>
          <w:rFonts w:cs="Arial"/>
          <w:color w:val="000000" w:themeColor="text1"/>
          <w:lang w:val="es-ES"/>
        </w:rPr>
        <w:t xml:space="preserve">su </w:t>
      </w:r>
      <w:r w:rsidRPr="00ED272A">
        <w:rPr>
          <w:rFonts w:cs="Arial"/>
          <w:color w:val="000000" w:themeColor="text1"/>
          <w:lang w:val="es-ES"/>
        </w:rPr>
        <w:t>modificatoria</w:t>
      </w:r>
      <w:r w:rsidR="00ED272A">
        <w:rPr>
          <w:rFonts w:cs="Arial"/>
          <w:color w:val="000000" w:themeColor="text1"/>
          <w:lang w:val="es-ES"/>
        </w:rPr>
        <w:t>,</w:t>
      </w:r>
      <w:r w:rsidRPr="00ED272A">
        <w:rPr>
          <w:rFonts w:cs="Arial"/>
          <w:color w:val="000000" w:themeColor="text1"/>
          <w:lang w:val="es-ES"/>
        </w:rPr>
        <w:t xml:space="preserve"> Ley 26.742 - Derechos del Paciente.</w:t>
      </w:r>
    </w:p>
    <w:p w14:paraId="6A5A8932" w14:textId="77777777" w:rsidR="00BC3544" w:rsidRPr="00ED272A" w:rsidRDefault="00BC3544" w:rsidP="00ED272A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ED272A">
        <w:rPr>
          <w:rFonts w:cs="Arial"/>
          <w:color w:val="000000" w:themeColor="text1"/>
          <w:lang w:val="es-ES"/>
        </w:rPr>
        <w:t>Código Civil y Comercial de la Nación, arts. 58 y 59, cuando resulte aplicable.</w:t>
      </w:r>
    </w:p>
    <w:p w14:paraId="2E4E4158" w14:textId="5486996C" w:rsidR="00BC3544" w:rsidRPr="00ED272A" w:rsidRDefault="00BC3544" w:rsidP="00ED272A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ED272A">
        <w:rPr>
          <w:rFonts w:cs="Arial"/>
          <w:color w:val="000000" w:themeColor="text1"/>
          <w:lang w:val="es-ES"/>
        </w:rPr>
        <w:t xml:space="preserve">Ley </w:t>
      </w:r>
      <w:r w:rsidR="00ED272A">
        <w:rPr>
          <w:rFonts w:cs="Arial"/>
          <w:color w:val="000000" w:themeColor="text1"/>
          <w:lang w:val="es-ES"/>
        </w:rPr>
        <w:t xml:space="preserve">de la </w:t>
      </w:r>
      <w:r w:rsidRPr="00ED272A">
        <w:rPr>
          <w:rFonts w:cs="Arial"/>
          <w:color w:val="000000" w:themeColor="text1"/>
          <w:lang w:val="es-ES"/>
        </w:rPr>
        <w:t>Provincia de Buenos Aires 15.462 y Decreto 3389/2024 - Investigación en Salud.</w:t>
      </w:r>
    </w:p>
    <w:p w14:paraId="0B2DA251" w14:textId="1FFB047F" w:rsidR="00BC3544" w:rsidRPr="00ED272A" w:rsidRDefault="00BC3544" w:rsidP="00ED272A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ED272A">
        <w:rPr>
          <w:rFonts w:cs="Arial"/>
          <w:color w:val="000000" w:themeColor="text1"/>
          <w:lang w:val="es-ES"/>
        </w:rPr>
        <w:t xml:space="preserve">ISO 20387:2018 e ISBER Best </w:t>
      </w:r>
      <w:proofErr w:type="spellStart"/>
      <w:r w:rsidRPr="00ED272A">
        <w:rPr>
          <w:rFonts w:cs="Arial"/>
          <w:color w:val="000000" w:themeColor="text1"/>
          <w:lang w:val="es-ES"/>
        </w:rPr>
        <w:t>Practices</w:t>
      </w:r>
      <w:proofErr w:type="spellEnd"/>
      <w:r w:rsidRPr="00ED272A">
        <w:rPr>
          <w:rFonts w:cs="Arial"/>
          <w:color w:val="000000" w:themeColor="text1"/>
          <w:lang w:val="es-ES"/>
        </w:rPr>
        <w:t xml:space="preserve">, como referencias de buenas prácticas (no sustituyen </w:t>
      </w:r>
      <w:r w:rsidR="00ED272A">
        <w:rPr>
          <w:rFonts w:cs="Arial"/>
          <w:color w:val="000000" w:themeColor="text1"/>
          <w:lang w:val="es-ES"/>
        </w:rPr>
        <w:t xml:space="preserve">la </w:t>
      </w:r>
      <w:r w:rsidRPr="00ED272A">
        <w:rPr>
          <w:rFonts w:cs="Arial"/>
          <w:color w:val="000000" w:themeColor="text1"/>
          <w:lang w:val="es-ES"/>
        </w:rPr>
        <w:t>normativa aplicable).</w:t>
      </w:r>
    </w:p>
    <w:p w14:paraId="231D698E" w14:textId="77777777" w:rsidR="00BC3544" w:rsidRPr="00ED272A" w:rsidRDefault="00BC3544" w:rsidP="00ED272A">
      <w:pPr>
        <w:jc w:val="both"/>
        <w:rPr>
          <w:rFonts w:cs="Arial"/>
          <w:color w:val="000000" w:themeColor="text1"/>
          <w:lang w:val="es-ES"/>
        </w:rPr>
      </w:pPr>
      <w:r w:rsidRPr="00ED272A">
        <w:rPr>
          <w:rFonts w:cs="Arial"/>
          <w:color w:val="000000" w:themeColor="text1"/>
          <w:lang w:val="es-ES"/>
        </w:rPr>
        <w:br w:type="page"/>
      </w:r>
    </w:p>
    <w:p w14:paraId="5A1248E3" w14:textId="77777777" w:rsidR="00C740E2" w:rsidRPr="00ED272A" w:rsidRDefault="00C740E2" w:rsidP="00ED272A">
      <w:pPr>
        <w:jc w:val="both"/>
        <w:rPr>
          <w:lang w:val="es-ES"/>
        </w:rPr>
      </w:pPr>
    </w:p>
    <w:sectPr w:rsidR="00C740E2" w:rsidRPr="00ED272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9"/>
    <w:multiLevelType w:val="singleLevel"/>
    <w:tmpl w:val="2222B7D0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508840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544"/>
    <w:rsid w:val="0012748E"/>
    <w:rsid w:val="001517D0"/>
    <w:rsid w:val="002A0105"/>
    <w:rsid w:val="003040C5"/>
    <w:rsid w:val="00663CDF"/>
    <w:rsid w:val="00BC3544"/>
    <w:rsid w:val="00C740E2"/>
    <w:rsid w:val="00ED2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1BB07E7"/>
  <w15:chartTrackingRefBased/>
  <w15:docId w15:val="{A3ED23AE-3A2E-4C48-B524-56DEDD73A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3544"/>
    <w:pPr>
      <w:spacing w:after="100" w:line="276" w:lineRule="auto"/>
    </w:pPr>
    <w:rPr>
      <w:rFonts w:ascii="Arial" w:eastAsiaTheme="minorEastAsia" w:hAnsi="Arial"/>
      <w:kern w:val="0"/>
      <w:sz w:val="21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BC35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C35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C35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C35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C35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C354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C354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C354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C354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C35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C35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C35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C35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C354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C35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C354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C35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C35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C354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C35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C354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C35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C354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C354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C354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C354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C35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C354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C3544"/>
    <w:rPr>
      <w:b/>
      <w:bCs/>
      <w:smallCaps/>
      <w:color w:val="0F4761" w:themeColor="accent1" w:themeShade="BF"/>
      <w:spacing w:val="5"/>
    </w:rPr>
  </w:style>
  <w:style w:type="paragraph" w:styleId="Listaconvietas">
    <w:name w:val="List Bullet"/>
    <w:basedOn w:val="Normal"/>
    <w:uiPriority w:val="99"/>
    <w:unhideWhenUsed/>
    <w:rsid w:val="00BC3544"/>
    <w:pPr>
      <w:numPr>
        <w:numId w:val="1"/>
      </w:numPr>
      <w:tabs>
        <w:tab w:val="clear" w:pos="360"/>
      </w:tabs>
      <w:ind w:left="0" w:firstLine="0"/>
      <w:contextualSpacing/>
    </w:pPr>
  </w:style>
  <w:style w:type="table" w:styleId="Tablaconcuadrcula">
    <w:name w:val="Table Grid"/>
    <w:basedOn w:val="Tablanormal"/>
    <w:uiPriority w:val="59"/>
    <w:rsid w:val="00BC3544"/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mallnote">
    <w:name w:val="Small note"/>
    <w:rsid w:val="00BC3544"/>
    <w:pPr>
      <w:spacing w:after="200" w:line="276" w:lineRule="auto"/>
    </w:pPr>
    <w:rPr>
      <w:rFonts w:ascii="Arial" w:eastAsiaTheme="minorEastAsia" w:hAnsi="Arial"/>
      <w:i/>
      <w:color w:val="505050"/>
      <w:kern w:val="0"/>
      <w:sz w:val="17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336</Words>
  <Characters>1851</Characters>
  <Application>Microsoft Office Word</Application>
  <DocSecurity>0</DocSecurity>
  <Lines>15</Lines>
  <Paragraphs>4</Paragraphs>
  <ScaleCrop>false</ScaleCrop>
  <Company/>
  <LinksUpToDate>false</LinksUpToDate>
  <CharactersWithSpaces>2183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Manuel Ledesma</dc:creator>
  <cp:keywords/>
  <dc:description/>
  <cp:lastModifiedBy>Martin Manuel Ledesma</cp:lastModifiedBy>
  <cp:revision>3</cp:revision>
  <dcterms:created xsi:type="dcterms:W3CDTF">2026-09-04T15:18:00Z</dcterms:created>
  <dcterms:modified xsi:type="dcterms:W3CDTF">2026-09-04T19:58:00Z</dcterms:modified>
</cp:coreProperties>
</file>