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0CCB88" w14:textId="77777777" w:rsidR="00105C71" w:rsidRPr="005A7994" w:rsidRDefault="00105C71" w:rsidP="005A7994">
      <w:pPr>
        <w:pStyle w:val="Ttulo1"/>
        <w:jc w:val="center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 xml:space="preserve">BB-EQP-001 - Operación de </w:t>
      </w:r>
      <w:proofErr w:type="spellStart"/>
      <w:r w:rsidRPr="005A7994">
        <w:rPr>
          <w:rFonts w:ascii="Arial" w:hAnsi="Arial" w:cs="Arial"/>
          <w:color w:val="000000" w:themeColor="text1"/>
          <w:lang w:val="es-ES"/>
        </w:rPr>
        <w:t>ultrafreezers</w:t>
      </w:r>
      <w:proofErr w:type="spellEnd"/>
      <w:r w:rsidRPr="005A7994">
        <w:rPr>
          <w:rFonts w:ascii="Arial" w:hAnsi="Arial" w:cs="Arial"/>
          <w:color w:val="000000" w:themeColor="text1"/>
          <w:lang w:val="es-ES"/>
        </w:rPr>
        <w:t xml:space="preserve"> de -80 °C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2177"/>
        <w:gridCol w:w="2148"/>
        <w:gridCol w:w="2239"/>
      </w:tblGrid>
      <w:tr w:rsidR="00105C71" w:rsidRPr="005A7994" w14:paraId="45722181" w14:textId="77777777" w:rsidTr="002F2ED4">
        <w:trPr>
          <w:jc w:val="center"/>
        </w:trPr>
        <w:tc>
          <w:tcPr>
            <w:tcW w:w="2264" w:type="dxa"/>
            <w:shd w:val="clear" w:color="auto" w:fill="D9EAF7"/>
            <w:vAlign w:val="center"/>
          </w:tcPr>
          <w:p w14:paraId="31E8F407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Código</w:t>
            </w:r>
          </w:p>
        </w:tc>
        <w:tc>
          <w:tcPr>
            <w:tcW w:w="2177" w:type="dxa"/>
            <w:vAlign w:val="center"/>
          </w:tcPr>
          <w:p w14:paraId="50E67F4B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BB-EQP-001</w:t>
            </w:r>
          </w:p>
        </w:tc>
        <w:tc>
          <w:tcPr>
            <w:tcW w:w="2148" w:type="dxa"/>
            <w:shd w:val="clear" w:color="auto" w:fill="D9EAF7"/>
            <w:vAlign w:val="center"/>
          </w:tcPr>
          <w:p w14:paraId="35AE366A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Versión</w:t>
            </w:r>
          </w:p>
        </w:tc>
        <w:tc>
          <w:tcPr>
            <w:tcW w:w="2239" w:type="dxa"/>
            <w:vAlign w:val="center"/>
          </w:tcPr>
          <w:p w14:paraId="776A55FF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0.1</w:t>
            </w:r>
          </w:p>
        </w:tc>
      </w:tr>
      <w:tr w:rsidR="00105C71" w:rsidRPr="005A7994" w14:paraId="3827A1FB" w14:textId="77777777" w:rsidTr="002F2ED4">
        <w:trPr>
          <w:jc w:val="center"/>
        </w:trPr>
        <w:tc>
          <w:tcPr>
            <w:tcW w:w="2264" w:type="dxa"/>
            <w:shd w:val="clear" w:color="auto" w:fill="D9EAF7"/>
            <w:vAlign w:val="center"/>
          </w:tcPr>
          <w:p w14:paraId="467C3418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Título</w:t>
            </w:r>
          </w:p>
        </w:tc>
        <w:tc>
          <w:tcPr>
            <w:tcW w:w="2177" w:type="dxa"/>
            <w:vAlign w:val="center"/>
          </w:tcPr>
          <w:p w14:paraId="25E75B94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 xml:space="preserve">Operación de </w:t>
            </w:r>
            <w:proofErr w:type="spellStart"/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ultrafreezers</w:t>
            </w:r>
            <w:proofErr w:type="spellEnd"/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 xml:space="preserve"> de -80 °C</w:t>
            </w:r>
          </w:p>
        </w:tc>
        <w:tc>
          <w:tcPr>
            <w:tcW w:w="2148" w:type="dxa"/>
            <w:shd w:val="clear" w:color="auto" w:fill="D9EAF7"/>
            <w:vAlign w:val="center"/>
          </w:tcPr>
          <w:p w14:paraId="37B114F5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Vigencia</w:t>
            </w:r>
          </w:p>
        </w:tc>
        <w:tc>
          <w:tcPr>
            <w:tcW w:w="2239" w:type="dxa"/>
            <w:vAlign w:val="center"/>
          </w:tcPr>
          <w:p w14:paraId="1F7DCCD4" w14:textId="77777777" w:rsidR="00105C71" w:rsidRPr="005A7994" w:rsidRDefault="00105C71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A definir tras aprobación</w:t>
            </w:r>
          </w:p>
        </w:tc>
      </w:tr>
      <w:tr w:rsidR="002F2ED4" w:rsidRPr="005A7994" w14:paraId="3E9800E3" w14:textId="77777777" w:rsidTr="002F2ED4">
        <w:trPr>
          <w:jc w:val="center"/>
        </w:trPr>
        <w:tc>
          <w:tcPr>
            <w:tcW w:w="2264" w:type="dxa"/>
            <w:shd w:val="clear" w:color="auto" w:fill="D9EAF7"/>
            <w:vAlign w:val="center"/>
          </w:tcPr>
          <w:p w14:paraId="637DE02A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Aplicación</w:t>
            </w:r>
          </w:p>
        </w:tc>
        <w:tc>
          <w:tcPr>
            <w:tcW w:w="2177" w:type="dxa"/>
            <w:vAlign w:val="center"/>
          </w:tcPr>
          <w:p w14:paraId="6F0D9E1F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Ambas unidades</w:t>
            </w:r>
          </w:p>
        </w:tc>
        <w:tc>
          <w:tcPr>
            <w:tcW w:w="2148" w:type="dxa"/>
            <w:shd w:val="clear" w:color="auto" w:fill="D9EAF7"/>
            <w:vAlign w:val="center"/>
          </w:tcPr>
          <w:p w14:paraId="7877F68E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Elaborado por</w:t>
            </w:r>
          </w:p>
        </w:tc>
        <w:tc>
          <w:tcPr>
            <w:tcW w:w="2239" w:type="dxa"/>
            <w:vAlign w:val="center"/>
          </w:tcPr>
          <w:p w14:paraId="2D3AA9FC" w14:textId="250923C5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Dr. Martín Ledesma</w:t>
            </w:r>
          </w:p>
        </w:tc>
      </w:tr>
      <w:tr w:rsidR="002F2ED4" w:rsidRPr="005A7994" w14:paraId="0C23A488" w14:textId="77777777" w:rsidTr="002F2ED4">
        <w:trPr>
          <w:jc w:val="center"/>
        </w:trPr>
        <w:tc>
          <w:tcPr>
            <w:tcW w:w="2264" w:type="dxa"/>
            <w:shd w:val="clear" w:color="auto" w:fill="D9EAF7"/>
            <w:vAlign w:val="center"/>
          </w:tcPr>
          <w:p w14:paraId="6866E439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Aprobación</w:t>
            </w:r>
          </w:p>
        </w:tc>
        <w:tc>
          <w:tcPr>
            <w:tcW w:w="2177" w:type="dxa"/>
            <w:vAlign w:val="center"/>
          </w:tcPr>
          <w:p w14:paraId="4E4E3DCA" w14:textId="3CB5373C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Coordinadora CEMET Viviana Fanessi</w:t>
            </w:r>
          </w:p>
        </w:tc>
        <w:tc>
          <w:tcPr>
            <w:tcW w:w="2148" w:type="dxa"/>
            <w:shd w:val="clear" w:color="auto" w:fill="D9EAF7"/>
            <w:vAlign w:val="center"/>
          </w:tcPr>
          <w:p w14:paraId="2AA55B7B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Revisión</w:t>
            </w:r>
          </w:p>
        </w:tc>
        <w:tc>
          <w:tcPr>
            <w:tcW w:w="2239" w:type="dxa"/>
            <w:vAlign w:val="center"/>
          </w:tcPr>
          <w:p w14:paraId="24B34325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Anual o ante cambio regulatorio</w:t>
            </w:r>
          </w:p>
        </w:tc>
      </w:tr>
      <w:tr w:rsidR="002F2ED4" w:rsidRPr="005A7994" w14:paraId="73054A51" w14:textId="77777777" w:rsidTr="002F2ED4">
        <w:trPr>
          <w:jc w:val="center"/>
        </w:trPr>
        <w:tc>
          <w:tcPr>
            <w:tcW w:w="2264" w:type="dxa"/>
            <w:shd w:val="clear" w:color="auto" w:fill="D9EAF7"/>
            <w:vAlign w:val="center"/>
          </w:tcPr>
          <w:p w14:paraId="4E6BB0D3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Documentación</w:t>
            </w:r>
          </w:p>
        </w:tc>
        <w:tc>
          <w:tcPr>
            <w:tcW w:w="2177" w:type="dxa"/>
            <w:vAlign w:val="center"/>
          </w:tcPr>
          <w:p w14:paraId="146B6A11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Registro electrónico y/o formulario controlado</w:t>
            </w:r>
          </w:p>
        </w:tc>
        <w:tc>
          <w:tcPr>
            <w:tcW w:w="2148" w:type="dxa"/>
            <w:shd w:val="clear" w:color="auto" w:fill="D9EAF7"/>
            <w:vAlign w:val="center"/>
          </w:tcPr>
          <w:p w14:paraId="77D0D8BA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b/>
                <w:color w:val="000000" w:themeColor="text1"/>
                <w:sz w:val="17"/>
                <w:lang w:val="es-ES"/>
              </w:rPr>
              <w:t>Sistema</w:t>
            </w:r>
          </w:p>
        </w:tc>
        <w:tc>
          <w:tcPr>
            <w:tcW w:w="2239" w:type="dxa"/>
            <w:vAlign w:val="center"/>
          </w:tcPr>
          <w:p w14:paraId="22174D82" w14:textId="77777777" w:rsidR="002F2ED4" w:rsidRPr="005A7994" w:rsidRDefault="002F2ED4" w:rsidP="005A7994">
            <w:pPr>
              <w:jc w:val="both"/>
              <w:rPr>
                <w:rFonts w:cs="Arial"/>
                <w:color w:val="000000" w:themeColor="text1"/>
                <w:lang w:val="es-ES"/>
              </w:rPr>
            </w:pPr>
            <w:r w:rsidRPr="005A7994">
              <w:rPr>
                <w:rFonts w:cs="Arial"/>
                <w:color w:val="000000" w:themeColor="text1"/>
                <w:sz w:val="17"/>
                <w:lang w:val="es-ES"/>
              </w:rPr>
              <w:t>NORAYBANKS + registros institucionales</w:t>
            </w:r>
          </w:p>
        </w:tc>
      </w:tr>
    </w:tbl>
    <w:p w14:paraId="2D00FA51" w14:textId="77777777" w:rsidR="00105C71" w:rsidRPr="005A7994" w:rsidRDefault="00105C71" w:rsidP="005A7994">
      <w:pPr>
        <w:jc w:val="both"/>
        <w:rPr>
          <w:rFonts w:cs="Arial"/>
          <w:color w:val="000000" w:themeColor="text1"/>
          <w:lang w:val="es-ES"/>
        </w:rPr>
      </w:pPr>
    </w:p>
    <w:p w14:paraId="198FB6B1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Propósito</w:t>
      </w:r>
    </w:p>
    <w:p w14:paraId="39605FCB" w14:textId="3A22D084" w:rsidR="00105C71" w:rsidRPr="005A7994" w:rsidRDefault="00105C71" w:rsidP="005A7994">
      <w:pPr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Estandarizar el uso de </w:t>
      </w:r>
      <w:proofErr w:type="spellStart"/>
      <w:r w:rsidRPr="005A7994">
        <w:rPr>
          <w:rFonts w:cs="Arial"/>
          <w:color w:val="000000" w:themeColor="text1"/>
          <w:lang w:val="es-ES"/>
        </w:rPr>
        <w:t>ultrafreezers</w:t>
      </w:r>
      <w:proofErr w:type="spellEnd"/>
      <w:r w:rsidRPr="005A7994">
        <w:rPr>
          <w:rFonts w:cs="Arial"/>
          <w:color w:val="000000" w:themeColor="text1"/>
          <w:lang w:val="es-ES"/>
        </w:rPr>
        <w:t xml:space="preserve"> </w:t>
      </w:r>
      <w:r w:rsidR="005A7994">
        <w:rPr>
          <w:rFonts w:cs="Arial"/>
          <w:color w:val="000000" w:themeColor="text1"/>
          <w:lang w:val="es-ES"/>
        </w:rPr>
        <w:t xml:space="preserve">a </w:t>
      </w:r>
      <w:r w:rsidRPr="005A7994">
        <w:rPr>
          <w:rFonts w:cs="Arial"/>
          <w:color w:val="000000" w:themeColor="text1"/>
          <w:lang w:val="es-ES"/>
        </w:rPr>
        <w:t>-80 °C minimizando aperturas y excursiones térmicas.</w:t>
      </w:r>
    </w:p>
    <w:p w14:paraId="4147D121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Alcance</w:t>
      </w:r>
    </w:p>
    <w:p w14:paraId="7B2EA56B" w14:textId="48803D55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Todos los </w:t>
      </w:r>
      <w:proofErr w:type="spellStart"/>
      <w:r w:rsidRPr="005A7994">
        <w:rPr>
          <w:rFonts w:cs="Arial"/>
          <w:color w:val="000000" w:themeColor="text1"/>
          <w:lang w:val="es-ES"/>
        </w:rPr>
        <w:t>ultrafreezers</w:t>
      </w:r>
      <w:proofErr w:type="spellEnd"/>
      <w:r w:rsidRPr="005A7994">
        <w:rPr>
          <w:rFonts w:cs="Arial"/>
          <w:color w:val="000000" w:themeColor="text1"/>
          <w:lang w:val="es-ES"/>
        </w:rPr>
        <w:t xml:space="preserve"> verticales </w:t>
      </w:r>
      <w:r w:rsidR="005A7994">
        <w:rPr>
          <w:rFonts w:cs="Arial"/>
          <w:color w:val="000000" w:themeColor="text1"/>
          <w:lang w:val="es-ES"/>
        </w:rPr>
        <w:t xml:space="preserve">de </w:t>
      </w:r>
      <w:r w:rsidRPr="005A7994">
        <w:rPr>
          <w:rFonts w:cs="Arial"/>
          <w:color w:val="000000" w:themeColor="text1"/>
          <w:lang w:val="es-ES"/>
        </w:rPr>
        <w:t>-80 °C asignados a las salas.</w:t>
      </w:r>
    </w:p>
    <w:p w14:paraId="478CF02F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Responsabilidades</w:t>
      </w:r>
    </w:p>
    <w:p w14:paraId="04E70DB9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Técnico: apertura, ubicación y devolución de cajas.</w:t>
      </w:r>
    </w:p>
    <w:p w14:paraId="2F063319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Mantenimiento: intervenciones técnicas.</w:t>
      </w:r>
    </w:p>
    <w:p w14:paraId="1BE30519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Definiciones / criterios</w:t>
      </w:r>
    </w:p>
    <w:p w14:paraId="6F4760B4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Set </w:t>
      </w:r>
      <w:proofErr w:type="spellStart"/>
      <w:r w:rsidRPr="005A7994">
        <w:rPr>
          <w:rFonts w:cs="Arial"/>
          <w:color w:val="000000" w:themeColor="text1"/>
          <w:lang w:val="es-ES"/>
        </w:rPr>
        <w:t>point</w:t>
      </w:r>
      <w:proofErr w:type="spellEnd"/>
      <w:r w:rsidRPr="005A7994">
        <w:rPr>
          <w:rFonts w:cs="Arial"/>
          <w:color w:val="000000" w:themeColor="text1"/>
          <w:lang w:val="es-ES"/>
        </w:rPr>
        <w:t xml:space="preserve"> nominal: -80 °C salvo especificación validada diferente.</w:t>
      </w:r>
    </w:p>
    <w:p w14:paraId="2055C451" w14:textId="21A4A47D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Los límites de alarma se definen por </w:t>
      </w:r>
      <w:r w:rsidR="005A7994">
        <w:rPr>
          <w:rFonts w:cs="Arial"/>
          <w:color w:val="000000" w:themeColor="text1"/>
          <w:lang w:val="es-ES"/>
        </w:rPr>
        <w:t xml:space="preserve">el </w:t>
      </w:r>
      <w:r w:rsidRPr="005A7994">
        <w:rPr>
          <w:rFonts w:cs="Arial"/>
          <w:color w:val="000000" w:themeColor="text1"/>
          <w:lang w:val="es-ES"/>
        </w:rPr>
        <w:t xml:space="preserve">equipo en </w:t>
      </w:r>
      <w:r w:rsidR="005A7994">
        <w:rPr>
          <w:rFonts w:cs="Arial"/>
          <w:color w:val="000000" w:themeColor="text1"/>
          <w:lang w:val="es-ES"/>
        </w:rPr>
        <w:t xml:space="preserve">una </w:t>
      </w:r>
      <w:r w:rsidRPr="005A7994">
        <w:rPr>
          <w:rFonts w:cs="Arial"/>
          <w:color w:val="000000" w:themeColor="text1"/>
          <w:lang w:val="es-ES"/>
        </w:rPr>
        <w:t>matriz técnica controlada, no por un único valor genérico.</w:t>
      </w:r>
    </w:p>
    <w:p w14:paraId="155912B2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Procedimiento</w:t>
      </w:r>
    </w:p>
    <w:p w14:paraId="152F0425" w14:textId="7A0B6F05" w:rsidR="00105C71" w:rsidRPr="005A7994" w:rsidRDefault="00105C71" w:rsidP="005A7994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1. Verificar </w:t>
      </w:r>
      <w:r w:rsidR="005A7994">
        <w:rPr>
          <w:rFonts w:cs="Arial"/>
          <w:color w:val="000000" w:themeColor="text1"/>
          <w:lang w:val="es-ES"/>
        </w:rPr>
        <w:t xml:space="preserve">la </w:t>
      </w:r>
      <w:r w:rsidRPr="005A7994">
        <w:rPr>
          <w:rFonts w:cs="Arial"/>
          <w:color w:val="000000" w:themeColor="text1"/>
          <w:lang w:val="es-ES"/>
        </w:rPr>
        <w:t>condición y</w:t>
      </w:r>
      <w:r w:rsidR="005A7994">
        <w:rPr>
          <w:rFonts w:cs="Arial"/>
          <w:color w:val="000000" w:themeColor="text1"/>
          <w:lang w:val="es-ES"/>
        </w:rPr>
        <w:t xml:space="preserve"> la</w:t>
      </w:r>
      <w:r w:rsidRPr="005A7994">
        <w:rPr>
          <w:rFonts w:cs="Arial"/>
          <w:color w:val="000000" w:themeColor="text1"/>
          <w:lang w:val="es-ES"/>
        </w:rPr>
        <w:t xml:space="preserve"> temperatura antes de abrir.</w:t>
      </w:r>
    </w:p>
    <w:p w14:paraId="47BEABE0" w14:textId="1A3CEF21" w:rsidR="00105C71" w:rsidRPr="005A7994" w:rsidRDefault="00105C71" w:rsidP="005A7994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2. Preparar previamente </w:t>
      </w:r>
      <w:r w:rsidR="005A7994">
        <w:rPr>
          <w:rFonts w:cs="Arial"/>
          <w:color w:val="000000" w:themeColor="text1"/>
          <w:lang w:val="es-ES"/>
        </w:rPr>
        <w:t xml:space="preserve">la </w:t>
      </w:r>
      <w:r w:rsidRPr="005A7994">
        <w:rPr>
          <w:rFonts w:cs="Arial"/>
          <w:color w:val="000000" w:themeColor="text1"/>
          <w:lang w:val="es-ES"/>
        </w:rPr>
        <w:t>lista de posiciones y material necesario.</w:t>
      </w:r>
    </w:p>
    <w:p w14:paraId="78D47F32" w14:textId="77777777" w:rsidR="00105C71" w:rsidRPr="005A7994" w:rsidRDefault="00105C71" w:rsidP="005A7994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3. Abrir sólo el tiempo indispensable.</w:t>
      </w:r>
    </w:p>
    <w:p w14:paraId="0B20A4AB" w14:textId="77777777" w:rsidR="00105C71" w:rsidRPr="005A7994" w:rsidRDefault="00105C71" w:rsidP="005A7994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4. Retirar una caja/rack por vez cuando sea posible.</w:t>
      </w:r>
    </w:p>
    <w:p w14:paraId="7E59DF34" w14:textId="53BAB358" w:rsidR="00105C71" w:rsidRPr="005A7994" w:rsidRDefault="00105C71" w:rsidP="005A7994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5. Cerrar correctamente </w:t>
      </w:r>
      <w:r w:rsidR="005A7994">
        <w:rPr>
          <w:rFonts w:cs="Arial"/>
          <w:color w:val="000000" w:themeColor="text1"/>
          <w:lang w:val="es-ES"/>
        </w:rPr>
        <w:t xml:space="preserve">las </w:t>
      </w:r>
      <w:r w:rsidRPr="005A7994">
        <w:rPr>
          <w:rFonts w:cs="Arial"/>
          <w:color w:val="000000" w:themeColor="text1"/>
          <w:lang w:val="es-ES"/>
        </w:rPr>
        <w:t>puertas interiores y exteriores.</w:t>
      </w:r>
    </w:p>
    <w:p w14:paraId="58D4B8BD" w14:textId="77777777" w:rsidR="00105C71" w:rsidRPr="005A7994" w:rsidRDefault="00105C71" w:rsidP="005A7994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6. Confirmar recuperación térmica.</w:t>
      </w:r>
    </w:p>
    <w:p w14:paraId="73C0053F" w14:textId="77777777" w:rsidR="00105C71" w:rsidRPr="005A7994" w:rsidRDefault="00105C71" w:rsidP="005A7994">
      <w:pPr>
        <w:ind w:left="312" w:hanging="255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7. Registrar movimiento en NORAYBANKS.</w:t>
      </w:r>
    </w:p>
    <w:p w14:paraId="289632E1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Registros obligatorios</w:t>
      </w:r>
    </w:p>
    <w:p w14:paraId="252AB848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Registro electrónico de movimiento.</w:t>
      </w:r>
    </w:p>
    <w:p w14:paraId="72EC7420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lastRenderedPageBreak/>
        <w:t>Registro de temperatura y alarmas.</w:t>
      </w:r>
    </w:p>
    <w:p w14:paraId="742FE4E3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Mantenimiento.</w:t>
      </w:r>
    </w:p>
    <w:p w14:paraId="6C6CBCA4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Indicadores y control</w:t>
      </w:r>
    </w:p>
    <w:p w14:paraId="228DDA3D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Duración de aperturas críticas.</w:t>
      </w:r>
    </w:p>
    <w:p w14:paraId="36FA16F9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Excursiones asociadas a manipulación.</w:t>
      </w:r>
    </w:p>
    <w:p w14:paraId="33502CDE" w14:textId="77777777" w:rsidR="00105C71" w:rsidRPr="005A7994" w:rsidRDefault="00105C71" w:rsidP="005A7994">
      <w:pPr>
        <w:pStyle w:val="Ttulo2"/>
        <w:jc w:val="both"/>
        <w:rPr>
          <w:rFonts w:ascii="Arial" w:hAnsi="Arial" w:cs="Arial"/>
          <w:color w:val="000000" w:themeColor="text1"/>
          <w:lang w:val="es-ES"/>
        </w:rPr>
      </w:pPr>
      <w:r w:rsidRPr="005A7994">
        <w:rPr>
          <w:rFonts w:ascii="Arial" w:hAnsi="Arial" w:cs="Arial"/>
          <w:color w:val="000000" w:themeColor="text1"/>
          <w:lang w:val="es-ES"/>
        </w:rPr>
        <w:t>Referencias y documentos relacionados</w:t>
      </w:r>
    </w:p>
    <w:p w14:paraId="25D61565" w14:textId="1D7EA33E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Resolución </w:t>
      </w:r>
      <w:r w:rsidR="005A7994">
        <w:rPr>
          <w:rFonts w:cs="Arial"/>
          <w:color w:val="000000" w:themeColor="text1"/>
          <w:lang w:val="es-ES"/>
        </w:rPr>
        <w:t xml:space="preserve">del </w:t>
      </w:r>
      <w:r w:rsidRPr="005A7994">
        <w:rPr>
          <w:rFonts w:cs="Arial"/>
          <w:color w:val="000000" w:themeColor="text1"/>
          <w:lang w:val="es-ES"/>
        </w:rPr>
        <w:t>Ministerio de Salud de la Nación 2940/2020 - Guía para Biobancos de Muestras Biológicas de Origen Humano con Fines de Investigación.</w:t>
      </w:r>
    </w:p>
    <w:p w14:paraId="20FF87E1" w14:textId="1F36A9DB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Resolución </w:t>
      </w:r>
      <w:r w:rsidR="005A7994">
        <w:rPr>
          <w:rFonts w:cs="Arial"/>
          <w:color w:val="000000" w:themeColor="text1"/>
          <w:lang w:val="es-ES"/>
        </w:rPr>
        <w:t xml:space="preserve">del </w:t>
      </w:r>
      <w:r w:rsidRPr="005A7994">
        <w:rPr>
          <w:rFonts w:cs="Arial"/>
          <w:color w:val="000000" w:themeColor="text1"/>
          <w:lang w:val="es-ES"/>
        </w:rPr>
        <w:t>Ministerio de Salud de la Nación 1480/2011 - Guía para Investigaciones en Salud Humana.</w:t>
      </w:r>
    </w:p>
    <w:p w14:paraId="060C8175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Ley 25.326 - Protección de los Datos Personales.</w:t>
      </w:r>
    </w:p>
    <w:p w14:paraId="28CF1A41" w14:textId="630DB97B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Ley 26.529 y </w:t>
      </w:r>
      <w:r w:rsidR="005A7994">
        <w:rPr>
          <w:rFonts w:cs="Arial"/>
          <w:color w:val="000000" w:themeColor="text1"/>
          <w:lang w:val="es-ES"/>
        </w:rPr>
        <w:t xml:space="preserve">su </w:t>
      </w:r>
      <w:r w:rsidRPr="005A7994">
        <w:rPr>
          <w:rFonts w:cs="Arial"/>
          <w:color w:val="000000" w:themeColor="text1"/>
          <w:lang w:val="es-ES"/>
        </w:rPr>
        <w:t>modificatoria</w:t>
      </w:r>
      <w:r w:rsidR="005A7994">
        <w:rPr>
          <w:rFonts w:cs="Arial"/>
          <w:color w:val="000000" w:themeColor="text1"/>
          <w:lang w:val="es-ES"/>
        </w:rPr>
        <w:t>,</w:t>
      </w:r>
      <w:r w:rsidRPr="005A7994">
        <w:rPr>
          <w:rFonts w:cs="Arial"/>
          <w:color w:val="000000" w:themeColor="text1"/>
          <w:lang w:val="es-ES"/>
        </w:rPr>
        <w:t xml:space="preserve"> Ley 26.742 - Derechos del Paciente.</w:t>
      </w:r>
    </w:p>
    <w:p w14:paraId="2C2F04A9" w14:textId="77777777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>Código Civil y Comercial de la Nación, arts. 58 y 59, cuando resulte aplicable.</w:t>
      </w:r>
    </w:p>
    <w:p w14:paraId="22D28117" w14:textId="393FA04D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Ley </w:t>
      </w:r>
      <w:r w:rsidR="005A7994">
        <w:rPr>
          <w:rFonts w:cs="Arial"/>
          <w:color w:val="000000" w:themeColor="text1"/>
          <w:lang w:val="es-ES"/>
        </w:rPr>
        <w:t xml:space="preserve">de la </w:t>
      </w:r>
      <w:r w:rsidRPr="005A7994">
        <w:rPr>
          <w:rFonts w:cs="Arial"/>
          <w:color w:val="000000" w:themeColor="text1"/>
          <w:lang w:val="es-ES"/>
        </w:rPr>
        <w:t>Provincia de Buenos Aires 15.462 y Decreto 3389/2024 - Investigación en Salud.</w:t>
      </w:r>
    </w:p>
    <w:p w14:paraId="172036DA" w14:textId="7AC50072" w:rsidR="00105C71" w:rsidRPr="005A7994" w:rsidRDefault="00105C71" w:rsidP="005A7994">
      <w:pPr>
        <w:pStyle w:val="Listaconvietas"/>
        <w:tabs>
          <w:tab w:val="num" w:pos="360"/>
        </w:tabs>
        <w:ind w:left="360" w:hanging="360"/>
        <w:jc w:val="both"/>
        <w:rPr>
          <w:rFonts w:cs="Arial"/>
          <w:color w:val="000000" w:themeColor="text1"/>
          <w:lang w:val="es-ES"/>
        </w:rPr>
      </w:pPr>
      <w:r w:rsidRPr="005A7994">
        <w:rPr>
          <w:rFonts w:cs="Arial"/>
          <w:color w:val="000000" w:themeColor="text1"/>
          <w:lang w:val="es-ES"/>
        </w:rPr>
        <w:t xml:space="preserve">ISO 20387:2018 e ISBER Best </w:t>
      </w:r>
      <w:proofErr w:type="spellStart"/>
      <w:r w:rsidRPr="005A7994">
        <w:rPr>
          <w:rFonts w:cs="Arial"/>
          <w:color w:val="000000" w:themeColor="text1"/>
          <w:lang w:val="es-ES"/>
        </w:rPr>
        <w:t>Practices</w:t>
      </w:r>
      <w:proofErr w:type="spellEnd"/>
      <w:r w:rsidRPr="005A7994">
        <w:rPr>
          <w:rFonts w:cs="Arial"/>
          <w:color w:val="000000" w:themeColor="text1"/>
          <w:lang w:val="es-ES"/>
        </w:rPr>
        <w:t xml:space="preserve">, como referencias de buenas prácticas (no sustituyen </w:t>
      </w:r>
      <w:r w:rsidR="005A7994">
        <w:rPr>
          <w:rFonts w:cs="Arial"/>
          <w:color w:val="000000" w:themeColor="text1"/>
          <w:lang w:val="es-ES"/>
        </w:rPr>
        <w:t xml:space="preserve">la </w:t>
      </w:r>
      <w:r w:rsidRPr="005A7994">
        <w:rPr>
          <w:rFonts w:cs="Arial"/>
          <w:color w:val="000000" w:themeColor="text1"/>
          <w:lang w:val="es-ES"/>
        </w:rPr>
        <w:t>normativa aplicable).</w:t>
      </w:r>
    </w:p>
    <w:p w14:paraId="2FC78512" w14:textId="77777777" w:rsidR="00C740E2" w:rsidRPr="005A7994" w:rsidRDefault="00C740E2" w:rsidP="005A7994">
      <w:pPr>
        <w:jc w:val="both"/>
        <w:rPr>
          <w:lang w:val="es-ES"/>
        </w:rPr>
      </w:pPr>
    </w:p>
    <w:sectPr w:rsidR="00C740E2" w:rsidRPr="005A7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3C9E01B8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884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71"/>
    <w:rsid w:val="00105C71"/>
    <w:rsid w:val="0012748E"/>
    <w:rsid w:val="001517D0"/>
    <w:rsid w:val="002A0105"/>
    <w:rsid w:val="002F2ED4"/>
    <w:rsid w:val="003040C5"/>
    <w:rsid w:val="005A7994"/>
    <w:rsid w:val="009072D7"/>
    <w:rsid w:val="00C74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CD0BE0"/>
  <w15:chartTrackingRefBased/>
  <w15:docId w15:val="{A6B845AF-64A6-0A4C-948E-8CBD41A9E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5C71"/>
    <w:pPr>
      <w:spacing w:after="100" w:line="276" w:lineRule="auto"/>
    </w:pPr>
    <w:rPr>
      <w:rFonts w:ascii="Arial" w:eastAsiaTheme="minorEastAsia" w:hAnsi="Arial"/>
      <w:kern w:val="0"/>
      <w:sz w:val="21"/>
      <w:szCs w:val="22"/>
      <w:lang w:val="en-U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0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0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5C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5C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5C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5C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0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5C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5C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5C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5C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5C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5C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5C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5C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5C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5C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5C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5C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5C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5C71"/>
    <w:rPr>
      <w:b/>
      <w:bCs/>
      <w:smallCaps/>
      <w:color w:val="0F4761" w:themeColor="accent1" w:themeShade="BF"/>
      <w:spacing w:val="5"/>
    </w:rPr>
  </w:style>
  <w:style w:type="paragraph" w:styleId="Listaconvietas">
    <w:name w:val="List Bullet"/>
    <w:basedOn w:val="Normal"/>
    <w:uiPriority w:val="99"/>
    <w:unhideWhenUsed/>
    <w:rsid w:val="00105C71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aconcuadrcula">
    <w:name w:val="Table Grid"/>
    <w:basedOn w:val="Tablanormal"/>
    <w:uiPriority w:val="59"/>
    <w:rsid w:val="00105C71"/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note">
    <w:name w:val="Small note"/>
    <w:rsid w:val="00105C71"/>
    <w:pPr>
      <w:spacing w:after="200" w:line="276" w:lineRule="auto"/>
    </w:pPr>
    <w:rPr>
      <w:rFonts w:ascii="Arial" w:eastAsiaTheme="minorEastAsia" w:hAnsi="Arial"/>
      <w:i/>
      <w:color w:val="505050"/>
      <w:kern w:val="0"/>
      <w:sz w:val="17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334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Manuel Ledesma</dc:creator>
  <cp:keywords/>
  <dc:description/>
  <cp:lastModifiedBy>Martin Manuel Ledesma</cp:lastModifiedBy>
  <cp:revision>4</cp:revision>
  <dcterms:created xsi:type="dcterms:W3CDTF">2026-09-04T15:09:00Z</dcterms:created>
  <dcterms:modified xsi:type="dcterms:W3CDTF">2026-09-04T20:01:00Z</dcterms:modified>
</cp:coreProperties>
</file>