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CA3AF" w14:textId="77777777" w:rsidR="00FA3B96" w:rsidRPr="000346CB" w:rsidRDefault="00FA3B96" w:rsidP="000346CB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 xml:space="preserve">BB-EQP-002 - Operación segura de </w:t>
      </w:r>
      <w:proofErr w:type="spellStart"/>
      <w:r w:rsidRPr="000346CB">
        <w:rPr>
          <w:rFonts w:ascii="Arial" w:hAnsi="Arial" w:cs="Arial"/>
          <w:color w:val="000000" w:themeColor="text1"/>
          <w:lang w:val="es-ES"/>
        </w:rPr>
        <w:t>ultrafreezers</w:t>
      </w:r>
      <w:proofErr w:type="spellEnd"/>
      <w:r w:rsidRPr="000346CB">
        <w:rPr>
          <w:rFonts w:ascii="Arial" w:hAnsi="Arial" w:cs="Arial"/>
          <w:color w:val="000000" w:themeColor="text1"/>
          <w:lang w:val="es-ES"/>
        </w:rPr>
        <w:t xml:space="preserve"> de -150 °C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FA3B96" w:rsidRPr="000346CB" w14:paraId="228B4B7A" w14:textId="77777777" w:rsidTr="00842BE9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46305CB2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94" w:type="dxa"/>
            <w:vAlign w:val="center"/>
          </w:tcPr>
          <w:p w14:paraId="4860F6B3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BB-EQP-002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4AE5094B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4" w:type="dxa"/>
            <w:vAlign w:val="center"/>
          </w:tcPr>
          <w:p w14:paraId="4FA25B09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FA3B96" w:rsidRPr="000346CB" w14:paraId="01CE441B" w14:textId="77777777" w:rsidTr="00842BE9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54DB4DAD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94" w:type="dxa"/>
            <w:vAlign w:val="center"/>
          </w:tcPr>
          <w:p w14:paraId="7C3FD530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 xml:space="preserve">Operación segura de </w:t>
            </w:r>
            <w:proofErr w:type="spellStart"/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ultrafreezers</w:t>
            </w:r>
            <w:proofErr w:type="spellEnd"/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 xml:space="preserve"> de -150 °C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37E28F7E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4" w:type="dxa"/>
            <w:vAlign w:val="center"/>
          </w:tcPr>
          <w:p w14:paraId="09A7B4C3" w14:textId="77777777" w:rsidR="00FA3B96" w:rsidRPr="000346CB" w:rsidRDefault="00FA3B96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842BE9" w:rsidRPr="000346CB" w14:paraId="59BA2EC0" w14:textId="77777777" w:rsidTr="00842BE9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61177A2D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94" w:type="dxa"/>
            <w:vAlign w:val="center"/>
          </w:tcPr>
          <w:p w14:paraId="5CB6FD4B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73201B22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4" w:type="dxa"/>
            <w:vAlign w:val="center"/>
          </w:tcPr>
          <w:p w14:paraId="31BDCEFB" w14:textId="45EDE0EC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842BE9" w:rsidRPr="000346CB" w14:paraId="5E18155B" w14:textId="77777777" w:rsidTr="00842BE9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56A06519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94" w:type="dxa"/>
            <w:vAlign w:val="center"/>
          </w:tcPr>
          <w:p w14:paraId="625358C1" w14:textId="0883A74A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3280DACD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4" w:type="dxa"/>
            <w:vAlign w:val="center"/>
          </w:tcPr>
          <w:p w14:paraId="1456B986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842BE9" w:rsidRPr="000346CB" w14:paraId="29B11DD1" w14:textId="77777777" w:rsidTr="00842BE9">
        <w:trPr>
          <w:jc w:val="center"/>
        </w:trPr>
        <w:tc>
          <w:tcPr>
            <w:tcW w:w="2259" w:type="dxa"/>
            <w:shd w:val="clear" w:color="auto" w:fill="D9EAF7"/>
            <w:vAlign w:val="center"/>
          </w:tcPr>
          <w:p w14:paraId="5CF82F6E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94" w:type="dxa"/>
            <w:vAlign w:val="center"/>
          </w:tcPr>
          <w:p w14:paraId="384073F7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1BAD9EE1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4" w:type="dxa"/>
            <w:vAlign w:val="center"/>
          </w:tcPr>
          <w:p w14:paraId="6EB4D08A" w14:textId="77777777" w:rsidR="00842BE9" w:rsidRPr="000346CB" w:rsidRDefault="00842BE9" w:rsidP="000346C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346CB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AD1B31F" w14:textId="77777777" w:rsidR="00FA3B96" w:rsidRPr="000346CB" w:rsidRDefault="00FA3B96" w:rsidP="000346CB">
      <w:pPr>
        <w:jc w:val="both"/>
        <w:rPr>
          <w:rFonts w:cs="Arial"/>
          <w:color w:val="000000" w:themeColor="text1"/>
          <w:lang w:val="es-ES"/>
        </w:rPr>
      </w:pPr>
    </w:p>
    <w:p w14:paraId="29D157B9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Propósito</w:t>
      </w:r>
    </w:p>
    <w:p w14:paraId="5F1F152B" w14:textId="28E44149" w:rsidR="00FA3B96" w:rsidRPr="000346CB" w:rsidRDefault="00FA3B96" w:rsidP="000346CB">
      <w:pPr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Estandarizar el uso seguro de unidades </w:t>
      </w:r>
      <w:r w:rsidR="000346CB">
        <w:rPr>
          <w:rFonts w:cs="Arial"/>
          <w:color w:val="000000" w:themeColor="text1"/>
          <w:lang w:val="es-ES"/>
        </w:rPr>
        <w:t xml:space="preserve">de </w:t>
      </w:r>
      <w:r w:rsidRPr="000346CB">
        <w:rPr>
          <w:rFonts w:cs="Arial"/>
          <w:color w:val="000000" w:themeColor="text1"/>
          <w:lang w:val="es-ES"/>
        </w:rPr>
        <w:t>-150 °C y minimizar la exposición de muestras y personal.</w:t>
      </w:r>
    </w:p>
    <w:p w14:paraId="467BFEF8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Alcance</w:t>
      </w:r>
    </w:p>
    <w:p w14:paraId="1DF13C99" w14:textId="30CE8A0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Todos los </w:t>
      </w:r>
      <w:proofErr w:type="spellStart"/>
      <w:r w:rsidRPr="000346CB">
        <w:rPr>
          <w:rFonts w:cs="Arial"/>
          <w:color w:val="000000" w:themeColor="text1"/>
          <w:lang w:val="es-ES"/>
        </w:rPr>
        <w:t>ultrafreezers</w:t>
      </w:r>
      <w:proofErr w:type="spellEnd"/>
      <w:r w:rsidRPr="000346CB">
        <w:rPr>
          <w:rFonts w:cs="Arial"/>
          <w:color w:val="000000" w:themeColor="text1"/>
          <w:lang w:val="es-ES"/>
        </w:rPr>
        <w:t xml:space="preserve"> </w:t>
      </w:r>
      <w:r w:rsidR="000346CB">
        <w:rPr>
          <w:rFonts w:cs="Arial"/>
          <w:color w:val="000000" w:themeColor="text1"/>
          <w:lang w:val="es-ES"/>
        </w:rPr>
        <w:t xml:space="preserve">de </w:t>
      </w:r>
      <w:r w:rsidRPr="000346CB">
        <w:rPr>
          <w:rFonts w:cs="Arial"/>
          <w:color w:val="000000" w:themeColor="text1"/>
          <w:lang w:val="es-ES"/>
        </w:rPr>
        <w:t>-150 °C asignados al Biobanco.</w:t>
      </w:r>
    </w:p>
    <w:p w14:paraId="4AAE7E84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Responsabilidades</w:t>
      </w:r>
    </w:p>
    <w:p w14:paraId="23386BFD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Técnico: operación habitual.</w:t>
      </w:r>
    </w:p>
    <w:p w14:paraId="4693A12D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Sólo personal específicamente entrenado y habilitado puede abrir/manipular racks.</w:t>
      </w:r>
    </w:p>
    <w:p w14:paraId="289B1424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606065EB" w14:textId="460E6B56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EPP compatible con el riesgo: guantes térmicos/criogénicos y protección facial</w:t>
      </w:r>
      <w:r w:rsidR="000346CB">
        <w:rPr>
          <w:rFonts w:cs="Arial"/>
          <w:color w:val="000000" w:themeColor="text1"/>
          <w:lang w:val="es-ES"/>
        </w:rPr>
        <w:t>,</w:t>
      </w:r>
      <w:r w:rsidRPr="000346CB">
        <w:rPr>
          <w:rFonts w:cs="Arial"/>
          <w:color w:val="000000" w:themeColor="text1"/>
          <w:lang w:val="es-ES"/>
        </w:rPr>
        <w:t xml:space="preserve"> según </w:t>
      </w:r>
      <w:r w:rsidR="000346CB">
        <w:rPr>
          <w:rFonts w:cs="Arial"/>
          <w:color w:val="000000" w:themeColor="text1"/>
          <w:lang w:val="es-ES"/>
        </w:rPr>
        <w:t xml:space="preserve">la </w:t>
      </w:r>
      <w:r w:rsidRPr="000346CB">
        <w:rPr>
          <w:rFonts w:cs="Arial"/>
          <w:color w:val="000000" w:themeColor="text1"/>
          <w:lang w:val="es-ES"/>
        </w:rPr>
        <w:t>evaluación institucional.</w:t>
      </w:r>
    </w:p>
    <w:p w14:paraId="6D32D517" w14:textId="6B5EA6C8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Evitar </w:t>
      </w:r>
      <w:r w:rsidR="000346CB">
        <w:rPr>
          <w:rFonts w:cs="Arial"/>
          <w:color w:val="000000" w:themeColor="text1"/>
          <w:lang w:val="es-ES"/>
        </w:rPr>
        <w:t xml:space="preserve">el </w:t>
      </w:r>
      <w:r w:rsidRPr="000346CB">
        <w:rPr>
          <w:rFonts w:cs="Arial"/>
          <w:color w:val="000000" w:themeColor="text1"/>
          <w:lang w:val="es-ES"/>
        </w:rPr>
        <w:t xml:space="preserve">contacto de </w:t>
      </w:r>
      <w:r w:rsidR="000346CB">
        <w:rPr>
          <w:rFonts w:cs="Arial"/>
          <w:color w:val="000000" w:themeColor="text1"/>
          <w:lang w:val="es-ES"/>
        </w:rPr>
        <w:t xml:space="preserve">la </w:t>
      </w:r>
      <w:r w:rsidRPr="000346CB">
        <w:rPr>
          <w:rFonts w:cs="Arial"/>
          <w:color w:val="000000" w:themeColor="text1"/>
          <w:lang w:val="es-ES"/>
        </w:rPr>
        <w:t>piel con superficies extremadamente frías.</w:t>
      </w:r>
    </w:p>
    <w:p w14:paraId="5225C2B3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Procedimiento</w:t>
      </w:r>
    </w:p>
    <w:p w14:paraId="0DAB23B9" w14:textId="77777777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1. Preparar ubicación antes de abrir.</w:t>
      </w:r>
    </w:p>
    <w:p w14:paraId="798629C0" w14:textId="77777777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2. Verificar ausencia de alarmas activas.</w:t>
      </w:r>
    </w:p>
    <w:p w14:paraId="2AFC97C6" w14:textId="77777777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3. Abrir y retirar el rack estrictamente necesario.</w:t>
      </w:r>
    </w:p>
    <w:p w14:paraId="3757457F" w14:textId="2BF5E47C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4. Mantener </w:t>
      </w:r>
      <w:r w:rsidR="000346CB">
        <w:rPr>
          <w:rFonts w:cs="Arial"/>
          <w:color w:val="000000" w:themeColor="text1"/>
          <w:lang w:val="es-ES"/>
        </w:rPr>
        <w:t xml:space="preserve">el </w:t>
      </w:r>
      <w:r w:rsidRPr="000346CB">
        <w:rPr>
          <w:rFonts w:cs="Arial"/>
          <w:color w:val="000000" w:themeColor="text1"/>
          <w:lang w:val="es-ES"/>
        </w:rPr>
        <w:t xml:space="preserve">orden de </w:t>
      </w:r>
      <w:r w:rsidR="000346CB">
        <w:rPr>
          <w:rFonts w:cs="Arial"/>
          <w:color w:val="000000" w:themeColor="text1"/>
          <w:lang w:val="es-ES"/>
        </w:rPr>
        <w:t xml:space="preserve">los </w:t>
      </w:r>
      <w:r w:rsidRPr="000346CB">
        <w:rPr>
          <w:rFonts w:cs="Arial"/>
          <w:color w:val="000000" w:themeColor="text1"/>
          <w:lang w:val="es-ES"/>
        </w:rPr>
        <w:t>racks y</w:t>
      </w:r>
      <w:r w:rsidR="000346CB">
        <w:rPr>
          <w:rFonts w:cs="Arial"/>
          <w:color w:val="000000" w:themeColor="text1"/>
          <w:lang w:val="es-ES"/>
        </w:rPr>
        <w:t xml:space="preserve"> las</w:t>
      </w:r>
      <w:r w:rsidRPr="000346CB">
        <w:rPr>
          <w:rFonts w:cs="Arial"/>
          <w:color w:val="000000" w:themeColor="text1"/>
          <w:lang w:val="es-ES"/>
        </w:rPr>
        <w:t xml:space="preserve"> cajas.</w:t>
      </w:r>
    </w:p>
    <w:p w14:paraId="2A11E651" w14:textId="450B452F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5. Cerrar y verificar </w:t>
      </w:r>
      <w:r w:rsidR="000346CB">
        <w:rPr>
          <w:rFonts w:cs="Arial"/>
          <w:color w:val="000000" w:themeColor="text1"/>
          <w:lang w:val="es-ES"/>
        </w:rPr>
        <w:t xml:space="preserve">la </w:t>
      </w:r>
      <w:r w:rsidRPr="000346CB">
        <w:rPr>
          <w:rFonts w:cs="Arial"/>
          <w:color w:val="000000" w:themeColor="text1"/>
          <w:lang w:val="es-ES"/>
        </w:rPr>
        <w:t>recuperación térmica.</w:t>
      </w:r>
    </w:p>
    <w:p w14:paraId="0BBD685A" w14:textId="7B19C75C" w:rsidR="00FA3B96" w:rsidRPr="000346CB" w:rsidRDefault="00FA3B96" w:rsidP="000346C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6. Registrar cualquier exposición prolongada o dificultad como </w:t>
      </w:r>
      <w:r w:rsidR="000346CB">
        <w:rPr>
          <w:rFonts w:cs="Arial"/>
          <w:color w:val="000000" w:themeColor="text1"/>
          <w:lang w:val="es-ES"/>
        </w:rPr>
        <w:t xml:space="preserve">una </w:t>
      </w:r>
      <w:r w:rsidRPr="000346CB">
        <w:rPr>
          <w:rFonts w:cs="Arial"/>
          <w:color w:val="000000" w:themeColor="text1"/>
          <w:lang w:val="es-ES"/>
        </w:rPr>
        <w:t>incidencia.</w:t>
      </w:r>
    </w:p>
    <w:p w14:paraId="7C58FDA3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7D075836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Registro de acceso/movimiento.</w:t>
      </w:r>
    </w:p>
    <w:p w14:paraId="1DD01584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lastRenderedPageBreak/>
        <w:t>Registro de temperatura.</w:t>
      </w:r>
    </w:p>
    <w:p w14:paraId="52D63335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Registro de capacitación específica.</w:t>
      </w:r>
    </w:p>
    <w:p w14:paraId="7E775250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429DD401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Personal habilitado.</w:t>
      </w:r>
    </w:p>
    <w:p w14:paraId="3BDAF777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Excursiones por operación.</w:t>
      </w:r>
    </w:p>
    <w:p w14:paraId="5A54668C" w14:textId="77777777" w:rsidR="00FA3B96" w:rsidRPr="000346CB" w:rsidRDefault="00FA3B96" w:rsidP="000346C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346CB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2EEEC49" w14:textId="0514421D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Resolución </w:t>
      </w:r>
      <w:r w:rsidR="000346CB">
        <w:rPr>
          <w:rFonts w:cs="Arial"/>
          <w:color w:val="000000" w:themeColor="text1"/>
          <w:lang w:val="es-ES"/>
        </w:rPr>
        <w:t xml:space="preserve">del </w:t>
      </w:r>
      <w:r w:rsidRPr="000346CB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52EBAE25" w14:textId="310E7868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Resolución </w:t>
      </w:r>
      <w:r w:rsidR="000346CB">
        <w:rPr>
          <w:rFonts w:cs="Arial"/>
          <w:color w:val="000000" w:themeColor="text1"/>
          <w:lang w:val="es-ES"/>
        </w:rPr>
        <w:t xml:space="preserve">del </w:t>
      </w:r>
      <w:r w:rsidRPr="000346CB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684A46C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Ley 25.326 - Protección de los Datos Personales.</w:t>
      </w:r>
    </w:p>
    <w:p w14:paraId="19A49B0E" w14:textId="239D7605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Ley 26.529 y </w:t>
      </w:r>
      <w:r w:rsidR="000346CB">
        <w:rPr>
          <w:rFonts w:cs="Arial"/>
          <w:color w:val="000000" w:themeColor="text1"/>
          <w:lang w:val="es-ES"/>
        </w:rPr>
        <w:t xml:space="preserve">su </w:t>
      </w:r>
      <w:r w:rsidRPr="000346CB">
        <w:rPr>
          <w:rFonts w:cs="Arial"/>
          <w:color w:val="000000" w:themeColor="text1"/>
          <w:lang w:val="es-ES"/>
        </w:rPr>
        <w:t>modificatoria</w:t>
      </w:r>
      <w:r w:rsidR="000346CB">
        <w:rPr>
          <w:rFonts w:cs="Arial"/>
          <w:color w:val="000000" w:themeColor="text1"/>
          <w:lang w:val="es-ES"/>
        </w:rPr>
        <w:t>,</w:t>
      </w:r>
      <w:r w:rsidRPr="000346CB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5ADD1711" w14:textId="77777777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6ECABCBE" w14:textId="2B16E1A4" w:rsidR="00FA3B96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Ley </w:t>
      </w:r>
      <w:r w:rsidR="000346CB">
        <w:rPr>
          <w:rFonts w:cs="Arial"/>
          <w:color w:val="000000" w:themeColor="text1"/>
          <w:lang w:val="es-ES"/>
        </w:rPr>
        <w:t xml:space="preserve">de la </w:t>
      </w:r>
      <w:r w:rsidRPr="000346CB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7BB9B716" w14:textId="5B67D2EA" w:rsidR="00C740E2" w:rsidRPr="000346CB" w:rsidRDefault="00FA3B96" w:rsidP="000346CB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0346CB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0346CB">
        <w:rPr>
          <w:rFonts w:cs="Arial"/>
          <w:color w:val="000000" w:themeColor="text1"/>
          <w:lang w:val="es-ES"/>
        </w:rPr>
        <w:t>Practices</w:t>
      </w:r>
      <w:proofErr w:type="spellEnd"/>
      <w:r w:rsidRPr="000346CB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0346CB">
        <w:rPr>
          <w:rFonts w:cs="Arial"/>
          <w:color w:val="000000" w:themeColor="text1"/>
          <w:lang w:val="es-ES"/>
        </w:rPr>
        <w:t xml:space="preserve">la </w:t>
      </w:r>
      <w:r w:rsidRPr="000346CB">
        <w:rPr>
          <w:rFonts w:cs="Arial"/>
          <w:color w:val="000000" w:themeColor="text1"/>
          <w:lang w:val="es-ES"/>
        </w:rPr>
        <w:t>normativa aplicable).</w:t>
      </w:r>
    </w:p>
    <w:sectPr w:rsidR="00C740E2" w:rsidRPr="00034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A7A881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96"/>
    <w:rsid w:val="000346CB"/>
    <w:rsid w:val="0012748E"/>
    <w:rsid w:val="001517D0"/>
    <w:rsid w:val="002A0105"/>
    <w:rsid w:val="003040C5"/>
    <w:rsid w:val="00842BE9"/>
    <w:rsid w:val="00C740E2"/>
    <w:rsid w:val="00FA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438171"/>
  <w15:chartTrackingRefBased/>
  <w15:docId w15:val="{939833F7-22B9-CC41-8074-202ED36B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B96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B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B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B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B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B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B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B9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A3B9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A3B96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FA3B96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2026-09-04T15:10:00Z</dcterms:created>
  <dcterms:modified xsi:type="dcterms:W3CDTF">2026-09-04T20:03:00Z</dcterms:modified>
</cp:coreProperties>
</file>