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A62869" w14:textId="77777777" w:rsidR="00FF535C" w:rsidRPr="000734B9" w:rsidRDefault="00FF535C" w:rsidP="000734B9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BB-EQP-006 - Contingencia, capacidad de respaldo y traslado de muestras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2196"/>
        <w:gridCol w:w="2141"/>
        <w:gridCol w:w="2233"/>
      </w:tblGrid>
      <w:tr w:rsidR="00FF535C" w:rsidRPr="000734B9" w14:paraId="679A3120" w14:textId="77777777" w:rsidTr="0013400A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7E69125E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96" w:type="dxa"/>
            <w:vAlign w:val="center"/>
          </w:tcPr>
          <w:p w14:paraId="1FF29244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BB-EQP-006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37E206C2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3" w:type="dxa"/>
            <w:vAlign w:val="center"/>
          </w:tcPr>
          <w:p w14:paraId="752A01F6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FF535C" w:rsidRPr="000734B9" w14:paraId="4FAF4F53" w14:textId="77777777" w:rsidTr="0013400A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215B9515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96" w:type="dxa"/>
            <w:vAlign w:val="center"/>
          </w:tcPr>
          <w:p w14:paraId="51731527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Contingencia, capacidad de respaldo y traslado de muestras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46FF60CB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3" w:type="dxa"/>
            <w:vAlign w:val="center"/>
          </w:tcPr>
          <w:p w14:paraId="4E312D9A" w14:textId="77777777" w:rsidR="00FF535C" w:rsidRPr="000734B9" w:rsidRDefault="00FF535C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13400A" w:rsidRPr="000734B9" w14:paraId="3DC3E46C" w14:textId="77777777" w:rsidTr="0013400A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13830FF4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96" w:type="dxa"/>
            <w:vAlign w:val="center"/>
          </w:tcPr>
          <w:p w14:paraId="2607AD3A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0F8D5CA5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3" w:type="dxa"/>
            <w:vAlign w:val="center"/>
          </w:tcPr>
          <w:p w14:paraId="3D27DFDD" w14:textId="0C9B1206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13400A" w:rsidRPr="000734B9" w14:paraId="16F0A0DA" w14:textId="77777777" w:rsidTr="0013400A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1F1ED37C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96" w:type="dxa"/>
            <w:vAlign w:val="center"/>
          </w:tcPr>
          <w:p w14:paraId="7CA40420" w14:textId="3D21B03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3B3F35CA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3" w:type="dxa"/>
            <w:vAlign w:val="center"/>
          </w:tcPr>
          <w:p w14:paraId="02FF4B19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13400A" w:rsidRPr="000734B9" w14:paraId="3E374081" w14:textId="77777777" w:rsidTr="0013400A">
        <w:trPr>
          <w:jc w:val="center"/>
        </w:trPr>
        <w:tc>
          <w:tcPr>
            <w:tcW w:w="2258" w:type="dxa"/>
            <w:shd w:val="clear" w:color="auto" w:fill="D9EAF7"/>
            <w:vAlign w:val="center"/>
          </w:tcPr>
          <w:p w14:paraId="28578977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96" w:type="dxa"/>
            <w:vAlign w:val="center"/>
          </w:tcPr>
          <w:p w14:paraId="41416289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1" w:type="dxa"/>
            <w:shd w:val="clear" w:color="auto" w:fill="D9EAF7"/>
            <w:vAlign w:val="center"/>
          </w:tcPr>
          <w:p w14:paraId="046E067A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3" w:type="dxa"/>
            <w:vAlign w:val="center"/>
          </w:tcPr>
          <w:p w14:paraId="0BFB2E98" w14:textId="77777777" w:rsidR="0013400A" w:rsidRPr="000734B9" w:rsidRDefault="0013400A" w:rsidP="000734B9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0734B9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68B2730C" w14:textId="77777777" w:rsidR="00FF535C" w:rsidRPr="000734B9" w:rsidRDefault="00FF535C" w:rsidP="000734B9">
      <w:pPr>
        <w:jc w:val="both"/>
        <w:rPr>
          <w:rFonts w:cs="Arial"/>
          <w:color w:val="000000" w:themeColor="text1"/>
          <w:lang w:val="es-ES"/>
        </w:rPr>
      </w:pPr>
    </w:p>
    <w:p w14:paraId="20F47990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Propósito</w:t>
      </w:r>
    </w:p>
    <w:p w14:paraId="5DE859DC" w14:textId="3874EC3A" w:rsidR="00FF535C" w:rsidRPr="000734B9" w:rsidRDefault="00FF535C" w:rsidP="000734B9">
      <w:pPr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Proteger las colecciones </w:t>
      </w:r>
      <w:r w:rsidR="000734B9">
        <w:rPr>
          <w:rFonts w:cs="Arial"/>
          <w:color w:val="000000" w:themeColor="text1"/>
          <w:lang w:val="es-ES"/>
        </w:rPr>
        <w:t>fre</w:t>
      </w:r>
      <w:r w:rsidRPr="000734B9">
        <w:rPr>
          <w:rFonts w:cs="Arial"/>
          <w:color w:val="000000" w:themeColor="text1"/>
          <w:lang w:val="es-ES"/>
        </w:rPr>
        <w:t>nte a</w:t>
      </w:r>
      <w:r w:rsidR="000734B9">
        <w:rPr>
          <w:rFonts w:cs="Arial"/>
          <w:color w:val="000000" w:themeColor="text1"/>
          <w:lang w:val="es-ES"/>
        </w:rPr>
        <w:t xml:space="preserve"> averías</w:t>
      </w:r>
      <w:r w:rsidRPr="000734B9">
        <w:rPr>
          <w:rFonts w:cs="Arial"/>
          <w:color w:val="000000" w:themeColor="text1"/>
          <w:lang w:val="es-ES"/>
        </w:rPr>
        <w:t>, mantenimiento, acumulación de hielo, pérdida de energía o excursión sostenida.</w:t>
      </w:r>
    </w:p>
    <w:p w14:paraId="35CC30E1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Alcance</w:t>
      </w:r>
    </w:p>
    <w:p w14:paraId="757BE70D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Todas las colecciones y unidades de frío.</w:t>
      </w:r>
    </w:p>
    <w:p w14:paraId="2D5BCA38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Responsabilidades</w:t>
      </w:r>
    </w:p>
    <w:p w14:paraId="3569A0C8" w14:textId="7E7302F0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Técnico: ejecuta </w:t>
      </w:r>
      <w:r w:rsidR="000734B9">
        <w:rPr>
          <w:rFonts w:cs="Arial"/>
          <w:color w:val="000000" w:themeColor="text1"/>
          <w:lang w:val="es-ES"/>
        </w:rPr>
        <w:t xml:space="preserve">el </w:t>
      </w:r>
      <w:r w:rsidRPr="000734B9">
        <w:rPr>
          <w:rFonts w:cs="Arial"/>
          <w:color w:val="000000" w:themeColor="text1"/>
          <w:lang w:val="es-ES"/>
        </w:rPr>
        <w:t xml:space="preserve">traslado manteniendo </w:t>
      </w:r>
      <w:r w:rsidR="000734B9">
        <w:rPr>
          <w:rFonts w:cs="Arial"/>
          <w:color w:val="000000" w:themeColor="text1"/>
          <w:lang w:val="es-ES"/>
        </w:rPr>
        <w:t xml:space="preserve">el </w:t>
      </w:r>
      <w:r w:rsidRPr="000734B9">
        <w:rPr>
          <w:rFonts w:cs="Arial"/>
          <w:color w:val="000000" w:themeColor="text1"/>
          <w:lang w:val="es-ES"/>
        </w:rPr>
        <w:t>orden y</w:t>
      </w:r>
      <w:r w:rsidR="000734B9">
        <w:rPr>
          <w:rFonts w:cs="Arial"/>
          <w:color w:val="000000" w:themeColor="text1"/>
          <w:lang w:val="es-ES"/>
        </w:rPr>
        <w:t xml:space="preserve"> la</w:t>
      </w:r>
      <w:r w:rsidRPr="000734B9">
        <w:rPr>
          <w:rFonts w:cs="Arial"/>
          <w:color w:val="000000" w:themeColor="text1"/>
          <w:lang w:val="es-ES"/>
        </w:rPr>
        <w:t xml:space="preserve"> trazabilidad.</w:t>
      </w:r>
    </w:p>
    <w:p w14:paraId="3049FBB6" w14:textId="3759C9B6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Director: decide </w:t>
      </w:r>
      <w:r w:rsidR="000734B9">
        <w:rPr>
          <w:rFonts w:cs="Arial"/>
          <w:color w:val="000000" w:themeColor="text1"/>
          <w:lang w:val="es-ES"/>
        </w:rPr>
        <w:t xml:space="preserve">las </w:t>
      </w:r>
      <w:r w:rsidRPr="000734B9">
        <w:rPr>
          <w:rFonts w:cs="Arial"/>
          <w:color w:val="000000" w:themeColor="text1"/>
          <w:lang w:val="es-ES"/>
        </w:rPr>
        <w:t>prioridades cuando la capacidad de respaldo sea limitada.</w:t>
      </w:r>
    </w:p>
    <w:p w14:paraId="214A53E7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Mantenimiento: gestiona la reparación.</w:t>
      </w:r>
    </w:p>
    <w:p w14:paraId="3B819624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7569B905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La nueva distribución 2x-80 + 1x-150 por sala requiere capacidad de contingencia </w:t>
      </w:r>
      <w:proofErr w:type="gramStart"/>
      <w:r w:rsidRPr="000734B9">
        <w:rPr>
          <w:rFonts w:cs="Arial"/>
          <w:color w:val="000000" w:themeColor="text1"/>
          <w:lang w:val="es-ES"/>
        </w:rPr>
        <w:t>documentada</w:t>
      </w:r>
      <w:proofErr w:type="gramEnd"/>
      <w:r w:rsidRPr="000734B9">
        <w:rPr>
          <w:rFonts w:cs="Arial"/>
          <w:color w:val="000000" w:themeColor="text1"/>
          <w:lang w:val="es-ES"/>
        </w:rPr>
        <w:t xml:space="preserve"> aunque no exista un freezer vacío dedicado.</w:t>
      </w:r>
    </w:p>
    <w:p w14:paraId="73EBDBC4" w14:textId="755DF81D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Se recomienda no comprometer toda la capacidad útil y mantener </w:t>
      </w:r>
      <w:r w:rsidR="000734B9">
        <w:rPr>
          <w:rFonts w:cs="Arial"/>
          <w:color w:val="000000" w:themeColor="text1"/>
          <w:lang w:val="es-ES"/>
        </w:rPr>
        <w:t xml:space="preserve">un </w:t>
      </w:r>
      <w:r w:rsidRPr="000734B9">
        <w:rPr>
          <w:rFonts w:cs="Arial"/>
          <w:color w:val="000000" w:themeColor="text1"/>
          <w:lang w:val="es-ES"/>
        </w:rPr>
        <w:t>mapa de contingencia cruzada entre salas.</w:t>
      </w:r>
    </w:p>
    <w:p w14:paraId="3A5ADE12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Las muestras de Unidad Industria permanecerán segregadas física y documentalmente aun si se trasladan temporalmente a Sala A.</w:t>
      </w:r>
    </w:p>
    <w:p w14:paraId="4B0639B9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Procedimiento</w:t>
      </w:r>
    </w:p>
    <w:p w14:paraId="48E1383C" w14:textId="7730F6DA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1. Evaluar </w:t>
      </w:r>
      <w:r w:rsidR="000734B9">
        <w:rPr>
          <w:rFonts w:cs="Arial"/>
          <w:color w:val="000000" w:themeColor="text1"/>
          <w:lang w:val="es-ES"/>
        </w:rPr>
        <w:t xml:space="preserve">la </w:t>
      </w:r>
      <w:r w:rsidRPr="000734B9">
        <w:rPr>
          <w:rFonts w:cs="Arial"/>
          <w:color w:val="000000" w:themeColor="text1"/>
          <w:lang w:val="es-ES"/>
        </w:rPr>
        <w:t xml:space="preserve">criticidad, </w:t>
      </w:r>
      <w:r w:rsidR="000734B9">
        <w:rPr>
          <w:rFonts w:cs="Arial"/>
          <w:color w:val="000000" w:themeColor="text1"/>
          <w:lang w:val="es-ES"/>
        </w:rPr>
        <w:t xml:space="preserve">la </w:t>
      </w:r>
      <w:r w:rsidRPr="000734B9">
        <w:rPr>
          <w:rFonts w:cs="Arial"/>
          <w:color w:val="000000" w:themeColor="text1"/>
          <w:lang w:val="es-ES"/>
        </w:rPr>
        <w:t>temperatura y</w:t>
      </w:r>
      <w:r w:rsidR="000734B9">
        <w:rPr>
          <w:rFonts w:cs="Arial"/>
          <w:color w:val="000000" w:themeColor="text1"/>
          <w:lang w:val="es-ES"/>
        </w:rPr>
        <w:t xml:space="preserve"> la</w:t>
      </w:r>
      <w:r w:rsidRPr="000734B9">
        <w:rPr>
          <w:rFonts w:cs="Arial"/>
          <w:color w:val="000000" w:themeColor="text1"/>
          <w:lang w:val="es-ES"/>
        </w:rPr>
        <w:t xml:space="preserve"> capacidad de respaldo.</w:t>
      </w:r>
    </w:p>
    <w:p w14:paraId="03374153" w14:textId="018B1580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2. Preparar </w:t>
      </w:r>
      <w:r w:rsidR="000734B9">
        <w:rPr>
          <w:rFonts w:cs="Arial"/>
          <w:color w:val="000000" w:themeColor="text1"/>
          <w:lang w:val="es-ES"/>
        </w:rPr>
        <w:t xml:space="preserve">el </w:t>
      </w:r>
      <w:r w:rsidRPr="000734B9">
        <w:rPr>
          <w:rFonts w:cs="Arial"/>
          <w:color w:val="000000" w:themeColor="text1"/>
          <w:lang w:val="es-ES"/>
        </w:rPr>
        <w:t>destino y</w:t>
      </w:r>
      <w:r w:rsidR="000734B9">
        <w:rPr>
          <w:rFonts w:cs="Arial"/>
          <w:color w:val="000000" w:themeColor="text1"/>
          <w:lang w:val="es-ES"/>
        </w:rPr>
        <w:t xml:space="preserve"> las</w:t>
      </w:r>
      <w:r w:rsidRPr="000734B9">
        <w:rPr>
          <w:rFonts w:cs="Arial"/>
          <w:color w:val="000000" w:themeColor="text1"/>
          <w:lang w:val="es-ES"/>
        </w:rPr>
        <w:t xml:space="preserve"> posiciones antes del traslado.</w:t>
      </w:r>
    </w:p>
    <w:p w14:paraId="79D1B35D" w14:textId="77777777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3. Trasladar cajas/racks respetando el orden original en la medida de lo posible.</w:t>
      </w:r>
    </w:p>
    <w:p w14:paraId="7CDAE90D" w14:textId="2C392137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4. Registrar </w:t>
      </w:r>
      <w:r w:rsidR="000734B9">
        <w:rPr>
          <w:rFonts w:cs="Arial"/>
          <w:color w:val="000000" w:themeColor="text1"/>
          <w:lang w:val="es-ES"/>
        </w:rPr>
        <w:t>el origen, el destino, la fecha/hora, el responsable y el motivo en NORAYBANKS y en el</w:t>
      </w:r>
      <w:r w:rsidRPr="000734B9">
        <w:rPr>
          <w:rFonts w:cs="Arial"/>
          <w:color w:val="000000" w:themeColor="text1"/>
          <w:lang w:val="es-ES"/>
        </w:rPr>
        <w:t xml:space="preserve"> formulario de contingencia.</w:t>
      </w:r>
    </w:p>
    <w:p w14:paraId="752B88A3" w14:textId="77777777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lastRenderedPageBreak/>
        <w:t>5. Reparar/acondicionar equipo.</w:t>
      </w:r>
    </w:p>
    <w:p w14:paraId="2225CB3B" w14:textId="77777777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6. Verificar estabilidad antes de retorno.</w:t>
      </w:r>
    </w:p>
    <w:p w14:paraId="1EF24D35" w14:textId="6FC772AC" w:rsidR="00FF535C" w:rsidRPr="000734B9" w:rsidRDefault="00FF535C" w:rsidP="000734B9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7. Cerrar </w:t>
      </w:r>
      <w:r w:rsidR="000734B9">
        <w:rPr>
          <w:rFonts w:cs="Arial"/>
          <w:color w:val="000000" w:themeColor="text1"/>
          <w:lang w:val="es-ES"/>
        </w:rPr>
        <w:t xml:space="preserve">el </w:t>
      </w:r>
      <w:r w:rsidRPr="000734B9">
        <w:rPr>
          <w:rFonts w:cs="Arial"/>
          <w:color w:val="000000" w:themeColor="text1"/>
          <w:lang w:val="es-ES"/>
        </w:rPr>
        <w:t>incidente con revisión de impacto.</w:t>
      </w:r>
    </w:p>
    <w:p w14:paraId="5088BBA0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2892CD02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Formulario de contingencia.</w:t>
      </w:r>
    </w:p>
    <w:p w14:paraId="22CF7E13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Registro de movimiento.</w:t>
      </w:r>
    </w:p>
    <w:p w14:paraId="0D246929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Informe de mantenimiento.</w:t>
      </w:r>
    </w:p>
    <w:p w14:paraId="48E2FD98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CAPA si aplica.</w:t>
      </w:r>
    </w:p>
    <w:p w14:paraId="472796CC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54D0DD22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Capacidad de contingencia disponible.</w:t>
      </w:r>
    </w:p>
    <w:p w14:paraId="6BC05710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Tiempo de traslado.</w:t>
      </w:r>
    </w:p>
    <w:p w14:paraId="4CD8E85D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Muestras comprometidas = 0.</w:t>
      </w:r>
    </w:p>
    <w:p w14:paraId="385712AD" w14:textId="77777777" w:rsidR="00FF535C" w:rsidRPr="000734B9" w:rsidRDefault="00FF535C" w:rsidP="000734B9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0734B9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7F7436FC" w14:textId="2D5B276B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Resolución </w:t>
      </w:r>
      <w:r w:rsidR="000734B9">
        <w:rPr>
          <w:rFonts w:cs="Arial"/>
          <w:color w:val="000000" w:themeColor="text1"/>
          <w:lang w:val="es-ES"/>
        </w:rPr>
        <w:t xml:space="preserve">del </w:t>
      </w:r>
      <w:r w:rsidRPr="000734B9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286E4DF8" w14:textId="6684B0E9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Resolución </w:t>
      </w:r>
      <w:r w:rsidR="000734B9">
        <w:rPr>
          <w:rFonts w:cs="Arial"/>
          <w:color w:val="000000" w:themeColor="text1"/>
          <w:lang w:val="es-ES"/>
        </w:rPr>
        <w:t xml:space="preserve">del </w:t>
      </w:r>
      <w:r w:rsidRPr="000734B9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2AB1F6A4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Ley 25.326 - Protección de los Datos Personales.</w:t>
      </w:r>
    </w:p>
    <w:p w14:paraId="084FB95D" w14:textId="2B3C1441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Ley 26.529 y </w:t>
      </w:r>
      <w:r w:rsidR="000734B9">
        <w:rPr>
          <w:rFonts w:cs="Arial"/>
          <w:color w:val="000000" w:themeColor="text1"/>
          <w:lang w:val="es-ES"/>
        </w:rPr>
        <w:t xml:space="preserve">su </w:t>
      </w:r>
      <w:r w:rsidRPr="000734B9">
        <w:rPr>
          <w:rFonts w:cs="Arial"/>
          <w:color w:val="000000" w:themeColor="text1"/>
          <w:lang w:val="es-ES"/>
        </w:rPr>
        <w:t>modificatoria</w:t>
      </w:r>
      <w:r w:rsidR="000734B9">
        <w:rPr>
          <w:rFonts w:cs="Arial"/>
          <w:color w:val="000000" w:themeColor="text1"/>
          <w:lang w:val="es-ES"/>
        </w:rPr>
        <w:t>,</w:t>
      </w:r>
      <w:r w:rsidRPr="000734B9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7586D8B5" w14:textId="77777777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5134933C" w14:textId="0DC3215D" w:rsidR="00FF535C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Ley </w:t>
      </w:r>
      <w:r w:rsidR="000734B9">
        <w:rPr>
          <w:rFonts w:cs="Arial"/>
          <w:color w:val="000000" w:themeColor="text1"/>
          <w:lang w:val="es-ES"/>
        </w:rPr>
        <w:t xml:space="preserve">de la </w:t>
      </w:r>
      <w:r w:rsidRPr="000734B9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73AB1A86" w14:textId="18E74F32" w:rsidR="00C740E2" w:rsidRPr="000734B9" w:rsidRDefault="00FF535C" w:rsidP="000734B9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0734B9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0734B9">
        <w:rPr>
          <w:rFonts w:cs="Arial"/>
          <w:color w:val="000000" w:themeColor="text1"/>
          <w:lang w:val="es-ES"/>
        </w:rPr>
        <w:t>Practices</w:t>
      </w:r>
      <w:proofErr w:type="spellEnd"/>
      <w:r w:rsidRPr="000734B9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0734B9">
        <w:rPr>
          <w:rFonts w:cs="Arial"/>
          <w:color w:val="000000" w:themeColor="text1"/>
          <w:lang w:val="es-ES"/>
        </w:rPr>
        <w:t xml:space="preserve">la </w:t>
      </w:r>
      <w:r w:rsidRPr="000734B9">
        <w:rPr>
          <w:rFonts w:cs="Arial"/>
          <w:color w:val="000000" w:themeColor="text1"/>
          <w:lang w:val="es-ES"/>
        </w:rPr>
        <w:t>normativa aplicable).</w:t>
      </w:r>
    </w:p>
    <w:sectPr w:rsidR="00C740E2" w:rsidRPr="00073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4FC6DCB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5C"/>
    <w:rsid w:val="000734B9"/>
    <w:rsid w:val="0012748E"/>
    <w:rsid w:val="0013400A"/>
    <w:rsid w:val="001517D0"/>
    <w:rsid w:val="002A0105"/>
    <w:rsid w:val="002F038B"/>
    <w:rsid w:val="003040C5"/>
    <w:rsid w:val="00C740E2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FE1D4"/>
  <w15:chartTrackingRefBased/>
  <w15:docId w15:val="{5D24B319-AC5F-B84E-A855-57FDA3B1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35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F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3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3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3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3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3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35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F535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FF535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FF535C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4</cp:revision>
  <dcterms:created xsi:type="dcterms:W3CDTF">2026-09-04T15:13:00Z</dcterms:created>
  <dcterms:modified xsi:type="dcterms:W3CDTF">2026-09-04T20:10:00Z</dcterms:modified>
</cp:coreProperties>
</file>