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A5A72D" w14:textId="7D0B3F96" w:rsidR="00997A17" w:rsidRPr="001512A9" w:rsidRDefault="00997A17" w:rsidP="001512A9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1512A9">
        <w:rPr>
          <w:rFonts w:ascii="Arial" w:hAnsi="Arial" w:cs="Arial"/>
          <w:color w:val="000000" w:themeColor="text1"/>
          <w:lang w:val="es-ES"/>
        </w:rPr>
        <w:t>BB-GEN-001 - Organización, gobierno y funcionamiento general del Biobanco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2"/>
        <w:gridCol w:w="2219"/>
        <w:gridCol w:w="2131"/>
        <w:gridCol w:w="2226"/>
      </w:tblGrid>
      <w:tr w:rsidR="00997A17" w:rsidRPr="001512A9" w14:paraId="3FAE9E04" w14:textId="77777777" w:rsidTr="00FF1BA5">
        <w:trPr>
          <w:jc w:val="center"/>
        </w:trPr>
        <w:tc>
          <w:tcPr>
            <w:tcW w:w="2252" w:type="dxa"/>
            <w:shd w:val="clear" w:color="auto" w:fill="D9EAF7"/>
            <w:vAlign w:val="center"/>
          </w:tcPr>
          <w:p w14:paraId="112B4781" w14:textId="77777777" w:rsidR="00997A17" w:rsidRPr="001512A9" w:rsidRDefault="00997A17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219" w:type="dxa"/>
            <w:vAlign w:val="center"/>
          </w:tcPr>
          <w:p w14:paraId="4462D104" w14:textId="77777777" w:rsidR="00997A17" w:rsidRPr="001512A9" w:rsidRDefault="00997A17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color w:val="000000" w:themeColor="text1"/>
                <w:sz w:val="17"/>
                <w:lang w:val="es-ES"/>
              </w:rPr>
              <w:t>BB-GEN-001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1DF9664A" w14:textId="77777777" w:rsidR="00997A17" w:rsidRPr="001512A9" w:rsidRDefault="00997A17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26" w:type="dxa"/>
            <w:vAlign w:val="center"/>
          </w:tcPr>
          <w:p w14:paraId="03D5E493" w14:textId="77777777" w:rsidR="00997A17" w:rsidRPr="001512A9" w:rsidRDefault="00997A17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997A17" w:rsidRPr="001512A9" w14:paraId="61824268" w14:textId="77777777" w:rsidTr="00FF1BA5">
        <w:trPr>
          <w:jc w:val="center"/>
        </w:trPr>
        <w:tc>
          <w:tcPr>
            <w:tcW w:w="2252" w:type="dxa"/>
            <w:shd w:val="clear" w:color="auto" w:fill="D9EAF7"/>
            <w:vAlign w:val="center"/>
          </w:tcPr>
          <w:p w14:paraId="28F0C54A" w14:textId="77777777" w:rsidR="00997A17" w:rsidRPr="001512A9" w:rsidRDefault="00997A17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219" w:type="dxa"/>
            <w:vAlign w:val="center"/>
          </w:tcPr>
          <w:p w14:paraId="37CD6673" w14:textId="77777777" w:rsidR="00997A17" w:rsidRPr="001512A9" w:rsidRDefault="00997A17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color w:val="000000" w:themeColor="text1"/>
                <w:sz w:val="17"/>
                <w:lang w:val="es-ES"/>
              </w:rPr>
              <w:t>Organización, gobierno y funcionamiento general del Biobanco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5DE016F4" w14:textId="77777777" w:rsidR="00997A17" w:rsidRPr="001512A9" w:rsidRDefault="00997A17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26" w:type="dxa"/>
            <w:vAlign w:val="center"/>
          </w:tcPr>
          <w:p w14:paraId="78DD6BEC" w14:textId="77777777" w:rsidR="00997A17" w:rsidRPr="001512A9" w:rsidRDefault="00997A17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FF1BA5" w:rsidRPr="001512A9" w14:paraId="47F7B35D" w14:textId="77777777" w:rsidTr="00FF1BA5">
        <w:trPr>
          <w:jc w:val="center"/>
        </w:trPr>
        <w:tc>
          <w:tcPr>
            <w:tcW w:w="2252" w:type="dxa"/>
            <w:shd w:val="clear" w:color="auto" w:fill="D9EAF7"/>
            <w:vAlign w:val="center"/>
          </w:tcPr>
          <w:p w14:paraId="5D3A6B6B" w14:textId="77777777" w:rsidR="00FF1BA5" w:rsidRPr="001512A9" w:rsidRDefault="00FF1BA5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219" w:type="dxa"/>
            <w:vAlign w:val="center"/>
          </w:tcPr>
          <w:p w14:paraId="2537C755" w14:textId="77777777" w:rsidR="00FF1BA5" w:rsidRPr="001512A9" w:rsidRDefault="00FF1BA5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67E6CB16" w14:textId="77777777" w:rsidR="00FF1BA5" w:rsidRPr="001512A9" w:rsidRDefault="00FF1BA5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26" w:type="dxa"/>
            <w:vAlign w:val="center"/>
          </w:tcPr>
          <w:p w14:paraId="1C0A0893" w14:textId="3CD8D561" w:rsidR="00FF1BA5" w:rsidRPr="001512A9" w:rsidRDefault="00FF1BA5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FF1BA5" w:rsidRPr="001512A9" w14:paraId="670A7AB8" w14:textId="77777777" w:rsidTr="00FF1BA5">
        <w:trPr>
          <w:jc w:val="center"/>
        </w:trPr>
        <w:tc>
          <w:tcPr>
            <w:tcW w:w="2252" w:type="dxa"/>
            <w:shd w:val="clear" w:color="auto" w:fill="D9EAF7"/>
            <w:vAlign w:val="center"/>
          </w:tcPr>
          <w:p w14:paraId="04A8C6F6" w14:textId="77777777" w:rsidR="00FF1BA5" w:rsidRPr="001512A9" w:rsidRDefault="00FF1BA5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219" w:type="dxa"/>
            <w:vAlign w:val="center"/>
          </w:tcPr>
          <w:p w14:paraId="59E58C7B" w14:textId="09E81E76" w:rsidR="00FF1BA5" w:rsidRPr="001512A9" w:rsidRDefault="00FF1BA5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564B1E9A" w14:textId="77777777" w:rsidR="00FF1BA5" w:rsidRPr="001512A9" w:rsidRDefault="00FF1BA5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26" w:type="dxa"/>
            <w:vAlign w:val="center"/>
          </w:tcPr>
          <w:p w14:paraId="1AE1E492" w14:textId="77777777" w:rsidR="00FF1BA5" w:rsidRPr="001512A9" w:rsidRDefault="00FF1BA5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997A17" w:rsidRPr="001512A9" w14:paraId="2D892979" w14:textId="77777777" w:rsidTr="00FF1BA5">
        <w:trPr>
          <w:jc w:val="center"/>
        </w:trPr>
        <w:tc>
          <w:tcPr>
            <w:tcW w:w="2252" w:type="dxa"/>
            <w:shd w:val="clear" w:color="auto" w:fill="D9EAF7"/>
            <w:vAlign w:val="center"/>
          </w:tcPr>
          <w:p w14:paraId="1812E234" w14:textId="77777777" w:rsidR="00997A17" w:rsidRPr="001512A9" w:rsidRDefault="00997A17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219" w:type="dxa"/>
            <w:vAlign w:val="center"/>
          </w:tcPr>
          <w:p w14:paraId="277C93F3" w14:textId="77777777" w:rsidR="00997A17" w:rsidRPr="001512A9" w:rsidRDefault="00997A17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71448773" w14:textId="77777777" w:rsidR="00997A17" w:rsidRPr="001512A9" w:rsidRDefault="00997A17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26" w:type="dxa"/>
            <w:vAlign w:val="center"/>
          </w:tcPr>
          <w:p w14:paraId="6D0D2D21" w14:textId="77777777" w:rsidR="00997A17" w:rsidRPr="001512A9" w:rsidRDefault="00997A17" w:rsidP="001512A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512A9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0208E2C0" w14:textId="77777777" w:rsidR="00997A17" w:rsidRPr="001512A9" w:rsidRDefault="00997A17" w:rsidP="001512A9">
      <w:pPr>
        <w:jc w:val="both"/>
        <w:rPr>
          <w:rFonts w:cs="Arial"/>
          <w:color w:val="000000" w:themeColor="text1"/>
          <w:lang w:val="es-ES"/>
        </w:rPr>
      </w:pPr>
    </w:p>
    <w:p w14:paraId="29EF806C" w14:textId="77777777" w:rsidR="00997A17" w:rsidRPr="001512A9" w:rsidRDefault="00997A17" w:rsidP="001512A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512A9">
        <w:rPr>
          <w:rFonts w:ascii="Arial" w:hAnsi="Arial" w:cs="Arial"/>
          <w:color w:val="000000" w:themeColor="text1"/>
          <w:lang w:val="es-ES"/>
        </w:rPr>
        <w:t>Propósito</w:t>
      </w:r>
    </w:p>
    <w:p w14:paraId="641E6A34" w14:textId="77777777" w:rsidR="00997A17" w:rsidRPr="001512A9" w:rsidRDefault="00997A17" w:rsidP="001512A9">
      <w:pPr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Establecer la estructura de gobierno, las responsabilidades y la separación funcional entre la Unidad Institucional y la Unidad de Servicios/Industria.</w:t>
      </w:r>
    </w:p>
    <w:p w14:paraId="7DDD3BDB" w14:textId="77777777" w:rsidR="00997A17" w:rsidRPr="001512A9" w:rsidRDefault="00997A17" w:rsidP="001512A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512A9">
        <w:rPr>
          <w:rFonts w:ascii="Arial" w:hAnsi="Arial" w:cs="Arial"/>
          <w:color w:val="000000" w:themeColor="text1"/>
          <w:lang w:val="es-ES"/>
        </w:rPr>
        <w:t>Alcance</w:t>
      </w:r>
    </w:p>
    <w:p w14:paraId="2B4E4123" w14:textId="550D0474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Aplica a todas las actividades, </w:t>
      </w:r>
      <w:r w:rsidR="001512A9">
        <w:rPr>
          <w:rFonts w:cs="Arial"/>
          <w:color w:val="000000" w:themeColor="text1"/>
          <w:lang w:val="es-ES"/>
        </w:rPr>
        <w:t xml:space="preserve">al </w:t>
      </w:r>
      <w:r w:rsidRPr="001512A9">
        <w:rPr>
          <w:rFonts w:cs="Arial"/>
          <w:color w:val="000000" w:themeColor="text1"/>
          <w:lang w:val="es-ES"/>
        </w:rPr>
        <w:t xml:space="preserve">personal, </w:t>
      </w:r>
      <w:r w:rsidR="001512A9">
        <w:rPr>
          <w:rFonts w:cs="Arial"/>
          <w:color w:val="000000" w:themeColor="text1"/>
          <w:lang w:val="es-ES"/>
        </w:rPr>
        <w:t xml:space="preserve">a los </w:t>
      </w:r>
      <w:r w:rsidRPr="001512A9">
        <w:rPr>
          <w:rFonts w:cs="Arial"/>
          <w:color w:val="000000" w:themeColor="text1"/>
          <w:lang w:val="es-ES"/>
        </w:rPr>
        <w:t xml:space="preserve">equipos, </w:t>
      </w:r>
      <w:r w:rsidR="001512A9">
        <w:rPr>
          <w:rFonts w:cs="Arial"/>
          <w:color w:val="000000" w:themeColor="text1"/>
          <w:lang w:val="es-ES"/>
        </w:rPr>
        <w:t xml:space="preserve">a las </w:t>
      </w:r>
      <w:r w:rsidRPr="001512A9">
        <w:rPr>
          <w:rFonts w:cs="Arial"/>
          <w:color w:val="000000" w:themeColor="text1"/>
          <w:lang w:val="es-ES"/>
        </w:rPr>
        <w:t>colecciones y</w:t>
      </w:r>
      <w:r w:rsidR="001512A9">
        <w:rPr>
          <w:rFonts w:cs="Arial"/>
          <w:color w:val="000000" w:themeColor="text1"/>
          <w:lang w:val="es-ES"/>
        </w:rPr>
        <w:t xml:space="preserve"> a los</w:t>
      </w:r>
      <w:r w:rsidRPr="001512A9">
        <w:rPr>
          <w:rFonts w:cs="Arial"/>
          <w:color w:val="000000" w:themeColor="text1"/>
          <w:lang w:val="es-ES"/>
        </w:rPr>
        <w:t xml:space="preserve"> usuarios del Biobanco.</w:t>
      </w:r>
    </w:p>
    <w:p w14:paraId="7425A9DD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Unidad A: investigación y colecciones HEC-CEMET. Unidad B: servicios externos, protocolos clínicos, CRO e industria.</w:t>
      </w:r>
    </w:p>
    <w:p w14:paraId="63F26E6E" w14:textId="77777777" w:rsidR="00997A17" w:rsidRPr="001512A9" w:rsidRDefault="00997A17" w:rsidP="001512A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512A9">
        <w:rPr>
          <w:rFonts w:ascii="Arial" w:hAnsi="Arial" w:cs="Arial"/>
          <w:color w:val="000000" w:themeColor="text1"/>
          <w:lang w:val="es-ES"/>
        </w:rPr>
        <w:t>Responsabilidades</w:t>
      </w:r>
    </w:p>
    <w:p w14:paraId="6683686C" w14:textId="0C39F865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Director del Biobanco: responsable </w:t>
      </w:r>
      <w:r w:rsidR="001512A9">
        <w:rPr>
          <w:rFonts w:cs="Arial"/>
          <w:color w:val="000000" w:themeColor="text1"/>
          <w:lang w:val="es-ES"/>
        </w:rPr>
        <w:t xml:space="preserve">del gobierno, de la </w:t>
      </w:r>
      <w:r w:rsidR="001512A9">
        <w:rPr>
          <w:rFonts w:cs="Arial"/>
          <w:color w:val="000000" w:themeColor="text1"/>
          <w:lang w:val="es-ES"/>
        </w:rPr>
        <w:t>elaboración</w:t>
      </w:r>
      <w:r w:rsidR="001512A9">
        <w:rPr>
          <w:rFonts w:cs="Arial"/>
          <w:color w:val="000000" w:themeColor="text1"/>
          <w:lang w:val="es-ES"/>
        </w:rPr>
        <w:t xml:space="preserve"> de procedimientos, de la aceptación de colecciones, de la relación con CEI, de la autorización de cesiones y de la revisión</w:t>
      </w:r>
      <w:r w:rsidRPr="001512A9">
        <w:rPr>
          <w:rFonts w:cs="Arial"/>
          <w:color w:val="000000" w:themeColor="text1"/>
          <w:lang w:val="es-ES"/>
        </w:rPr>
        <w:t xml:space="preserve"> de eventos críticos.</w:t>
      </w:r>
    </w:p>
    <w:p w14:paraId="5A49D7BE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Responsable científico-técnico: será designado formalmente; puede coincidir con el </w:t>
      </w:r>
      <w:proofErr w:type="gramStart"/>
      <w:r w:rsidRPr="001512A9">
        <w:rPr>
          <w:rFonts w:cs="Arial"/>
          <w:color w:val="000000" w:themeColor="text1"/>
          <w:lang w:val="es-ES"/>
        </w:rPr>
        <w:t>Director</w:t>
      </w:r>
      <w:proofErr w:type="gramEnd"/>
      <w:r w:rsidRPr="001512A9">
        <w:rPr>
          <w:rFonts w:cs="Arial"/>
          <w:color w:val="000000" w:themeColor="text1"/>
          <w:lang w:val="es-ES"/>
        </w:rPr>
        <w:t xml:space="preserve"> si la institución así lo dispone.</w:t>
      </w:r>
    </w:p>
    <w:p w14:paraId="5DE66C10" w14:textId="1EADD006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Técnico operativo: Ezequiel Romero, responsable de recepción, registro, almacenamiento, movimientos, control operativo de equipos y </w:t>
      </w:r>
      <w:r w:rsidR="001512A9">
        <w:rPr>
          <w:rFonts w:cs="Arial"/>
          <w:color w:val="000000" w:themeColor="text1"/>
          <w:lang w:val="es-ES"/>
        </w:rPr>
        <w:t xml:space="preserve">de </w:t>
      </w:r>
      <w:r w:rsidRPr="001512A9">
        <w:rPr>
          <w:rFonts w:cs="Arial"/>
          <w:color w:val="000000" w:themeColor="text1"/>
          <w:lang w:val="es-ES"/>
        </w:rPr>
        <w:t>registros.</w:t>
      </w:r>
    </w:p>
    <w:p w14:paraId="6BCC8C0F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Personal suplente: debe existir al menos una persona entrenada para contingencias y alarmas fuera de horario.</w:t>
      </w:r>
    </w:p>
    <w:p w14:paraId="21260B05" w14:textId="77777777" w:rsidR="00997A17" w:rsidRPr="001512A9" w:rsidRDefault="00997A17" w:rsidP="001512A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512A9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4B818420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No se considerarán las dos salas como biobancos jurídicamente independientes salvo decisión institucional expresa.</w:t>
      </w:r>
    </w:p>
    <w:p w14:paraId="42B69A23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Cada sala tendrá inventario, permisos y registros separados, pero compartirá el Sistema de Gestión de Calidad.</w:t>
      </w:r>
    </w:p>
    <w:p w14:paraId="72441ABC" w14:textId="719289BD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Ninguna muestra podrá ingresar sin trazabilidad mínima y </w:t>
      </w:r>
      <w:r w:rsidR="001512A9">
        <w:rPr>
          <w:rFonts w:cs="Arial"/>
          <w:color w:val="000000" w:themeColor="text1"/>
          <w:lang w:val="es-ES"/>
        </w:rPr>
        <w:t xml:space="preserve">la </w:t>
      </w:r>
      <w:r w:rsidRPr="001512A9">
        <w:rPr>
          <w:rFonts w:cs="Arial"/>
          <w:color w:val="000000" w:themeColor="text1"/>
          <w:lang w:val="es-ES"/>
        </w:rPr>
        <w:t>documentación aplicable.</w:t>
      </w:r>
    </w:p>
    <w:p w14:paraId="39C29F53" w14:textId="77777777" w:rsidR="00997A17" w:rsidRPr="001512A9" w:rsidRDefault="00997A17" w:rsidP="001512A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512A9">
        <w:rPr>
          <w:rFonts w:ascii="Arial" w:hAnsi="Arial" w:cs="Arial"/>
          <w:color w:val="000000" w:themeColor="text1"/>
          <w:lang w:val="es-ES"/>
        </w:rPr>
        <w:lastRenderedPageBreak/>
        <w:t>Procedimiento</w:t>
      </w:r>
    </w:p>
    <w:p w14:paraId="7A6704BF" w14:textId="07888B0A" w:rsidR="00997A17" w:rsidRPr="001512A9" w:rsidRDefault="00997A17" w:rsidP="001512A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1. Mantener </w:t>
      </w:r>
      <w:r w:rsidR="001512A9">
        <w:rPr>
          <w:rFonts w:cs="Arial"/>
          <w:color w:val="000000" w:themeColor="text1"/>
          <w:lang w:val="es-ES"/>
        </w:rPr>
        <w:t xml:space="preserve">el </w:t>
      </w:r>
      <w:r w:rsidRPr="001512A9">
        <w:rPr>
          <w:rFonts w:cs="Arial"/>
          <w:color w:val="000000" w:themeColor="text1"/>
          <w:lang w:val="es-ES"/>
        </w:rPr>
        <w:t>organigrama y</w:t>
      </w:r>
      <w:r w:rsidR="001512A9">
        <w:rPr>
          <w:rFonts w:cs="Arial"/>
          <w:color w:val="000000" w:themeColor="text1"/>
          <w:lang w:val="es-ES"/>
        </w:rPr>
        <w:t xml:space="preserve"> el</w:t>
      </w:r>
      <w:r w:rsidRPr="001512A9">
        <w:rPr>
          <w:rFonts w:cs="Arial"/>
          <w:color w:val="000000" w:themeColor="text1"/>
          <w:lang w:val="es-ES"/>
        </w:rPr>
        <w:t xml:space="preserve"> listado de personal autorizado.</w:t>
      </w:r>
    </w:p>
    <w:p w14:paraId="5D2E0C2B" w14:textId="2F748F80" w:rsidR="00997A17" w:rsidRPr="001512A9" w:rsidRDefault="00997A17" w:rsidP="001512A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2. Definir</w:t>
      </w:r>
      <w:r w:rsidR="001512A9">
        <w:rPr>
          <w:rFonts w:cs="Arial"/>
          <w:color w:val="000000" w:themeColor="text1"/>
          <w:lang w:val="es-ES"/>
        </w:rPr>
        <w:t>,</w:t>
      </w:r>
      <w:r w:rsidRPr="001512A9">
        <w:rPr>
          <w:rFonts w:cs="Arial"/>
          <w:color w:val="000000" w:themeColor="text1"/>
          <w:lang w:val="es-ES"/>
        </w:rPr>
        <w:t xml:space="preserve"> </w:t>
      </w:r>
      <w:r w:rsidR="001512A9">
        <w:rPr>
          <w:rFonts w:cs="Arial"/>
          <w:color w:val="000000" w:themeColor="text1"/>
          <w:lang w:val="es-ES"/>
        </w:rPr>
        <w:t>mediante</w:t>
      </w:r>
      <w:r w:rsidRPr="001512A9">
        <w:rPr>
          <w:rFonts w:cs="Arial"/>
          <w:color w:val="000000" w:themeColor="text1"/>
          <w:lang w:val="es-ES"/>
        </w:rPr>
        <w:t xml:space="preserve"> resolución interna</w:t>
      </w:r>
      <w:r w:rsidR="001512A9">
        <w:rPr>
          <w:rFonts w:cs="Arial"/>
          <w:color w:val="000000" w:themeColor="text1"/>
          <w:lang w:val="es-ES"/>
        </w:rPr>
        <w:t>,</w:t>
      </w:r>
      <w:r w:rsidRPr="001512A9">
        <w:rPr>
          <w:rFonts w:cs="Arial"/>
          <w:color w:val="000000" w:themeColor="text1"/>
          <w:lang w:val="es-ES"/>
        </w:rPr>
        <w:t xml:space="preserve"> la asignación de las unidades de frío a </w:t>
      </w:r>
      <w:r w:rsidR="001512A9">
        <w:rPr>
          <w:rFonts w:cs="Arial"/>
          <w:color w:val="000000" w:themeColor="text1"/>
          <w:lang w:val="es-ES"/>
        </w:rPr>
        <w:t>las Salas</w:t>
      </w:r>
      <w:r w:rsidRPr="001512A9">
        <w:rPr>
          <w:rFonts w:cs="Arial"/>
          <w:color w:val="000000" w:themeColor="text1"/>
          <w:lang w:val="es-ES"/>
        </w:rPr>
        <w:t xml:space="preserve"> A y B.</w:t>
      </w:r>
    </w:p>
    <w:p w14:paraId="4A95C655" w14:textId="25B1EF6D" w:rsidR="00997A17" w:rsidRPr="001512A9" w:rsidRDefault="00997A17" w:rsidP="001512A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3. Mantener un registro de colecciones y servicios.</w:t>
      </w:r>
    </w:p>
    <w:p w14:paraId="6EE67641" w14:textId="1327FC18" w:rsidR="00997A17" w:rsidRPr="001512A9" w:rsidRDefault="00997A17" w:rsidP="001512A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4. Realizar </w:t>
      </w:r>
      <w:r w:rsidR="001512A9">
        <w:rPr>
          <w:rFonts w:cs="Arial"/>
          <w:color w:val="000000" w:themeColor="text1"/>
          <w:lang w:val="es-ES"/>
        </w:rPr>
        <w:t xml:space="preserve">una </w:t>
      </w:r>
      <w:r w:rsidRPr="001512A9">
        <w:rPr>
          <w:rFonts w:cs="Arial"/>
          <w:color w:val="000000" w:themeColor="text1"/>
          <w:lang w:val="es-ES"/>
        </w:rPr>
        <w:t xml:space="preserve">revisión de gestión al menos </w:t>
      </w:r>
      <w:r w:rsidR="001512A9">
        <w:rPr>
          <w:rFonts w:cs="Arial"/>
          <w:color w:val="000000" w:themeColor="text1"/>
          <w:lang w:val="es-ES"/>
        </w:rPr>
        <w:t>una vez al año</w:t>
      </w:r>
      <w:r w:rsidRPr="001512A9">
        <w:rPr>
          <w:rFonts w:cs="Arial"/>
          <w:color w:val="000000" w:themeColor="text1"/>
          <w:lang w:val="es-ES"/>
        </w:rPr>
        <w:t>.</w:t>
      </w:r>
    </w:p>
    <w:p w14:paraId="1A53917A" w14:textId="7FFED4BF" w:rsidR="00997A17" w:rsidRPr="001512A9" w:rsidRDefault="00997A17" w:rsidP="001512A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5. Asegurar que toda cesión, uso o destrucción respete </w:t>
      </w:r>
      <w:r w:rsidR="001512A9">
        <w:rPr>
          <w:rFonts w:cs="Arial"/>
          <w:color w:val="000000" w:themeColor="text1"/>
          <w:lang w:val="es-ES"/>
        </w:rPr>
        <w:t xml:space="preserve">el </w:t>
      </w:r>
      <w:r w:rsidRPr="001512A9">
        <w:rPr>
          <w:rFonts w:cs="Arial"/>
          <w:color w:val="000000" w:themeColor="text1"/>
          <w:lang w:val="es-ES"/>
        </w:rPr>
        <w:t xml:space="preserve">consentimiento, </w:t>
      </w:r>
      <w:r w:rsidR="001512A9">
        <w:rPr>
          <w:rFonts w:cs="Arial"/>
          <w:color w:val="000000" w:themeColor="text1"/>
          <w:lang w:val="es-ES"/>
        </w:rPr>
        <w:t xml:space="preserve">la </w:t>
      </w:r>
      <w:r w:rsidRPr="001512A9">
        <w:rPr>
          <w:rFonts w:cs="Arial"/>
          <w:color w:val="000000" w:themeColor="text1"/>
          <w:lang w:val="es-ES"/>
        </w:rPr>
        <w:t>aprobación ética y</w:t>
      </w:r>
      <w:r w:rsidR="001512A9">
        <w:rPr>
          <w:rFonts w:cs="Arial"/>
          <w:color w:val="000000" w:themeColor="text1"/>
          <w:lang w:val="es-ES"/>
        </w:rPr>
        <w:t xml:space="preserve"> la</w:t>
      </w:r>
      <w:r w:rsidRPr="001512A9">
        <w:rPr>
          <w:rFonts w:cs="Arial"/>
          <w:color w:val="000000" w:themeColor="text1"/>
          <w:lang w:val="es-ES"/>
        </w:rPr>
        <w:t xml:space="preserve"> normativa</w:t>
      </w:r>
      <w:r w:rsidR="001512A9">
        <w:rPr>
          <w:rFonts w:cs="Arial"/>
          <w:color w:val="000000" w:themeColor="text1"/>
          <w:lang w:val="es-ES"/>
        </w:rPr>
        <w:t xml:space="preserve"> aplicable</w:t>
      </w:r>
      <w:r w:rsidRPr="001512A9">
        <w:rPr>
          <w:rFonts w:cs="Arial"/>
          <w:color w:val="000000" w:themeColor="text1"/>
          <w:lang w:val="es-ES"/>
        </w:rPr>
        <w:t>.</w:t>
      </w:r>
    </w:p>
    <w:p w14:paraId="1300C486" w14:textId="77777777" w:rsidR="00997A17" w:rsidRPr="001512A9" w:rsidRDefault="00997A17" w:rsidP="001512A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512A9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1F7FFBEF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Organigrama vigente.</w:t>
      </w:r>
    </w:p>
    <w:p w14:paraId="0BF0BC98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Matriz de autorización de personal.</w:t>
      </w:r>
    </w:p>
    <w:p w14:paraId="2D7FD29C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Matriz de equipos por sala.</w:t>
      </w:r>
    </w:p>
    <w:p w14:paraId="1BBF77C7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Registro maestro de colecciones/servicios.</w:t>
      </w:r>
    </w:p>
    <w:p w14:paraId="1B62BD40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Acta de revisión anual.</w:t>
      </w:r>
    </w:p>
    <w:p w14:paraId="3602FD51" w14:textId="77777777" w:rsidR="00997A17" w:rsidRPr="001512A9" w:rsidRDefault="00997A17" w:rsidP="001512A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512A9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2BBCE7B1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Porcentaje de POE vigentes.</w:t>
      </w:r>
    </w:p>
    <w:p w14:paraId="09112DEC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Porcentaje de personal con capacitación vigente.</w:t>
      </w:r>
    </w:p>
    <w:p w14:paraId="731B682F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Número de incidentes críticos por año.</w:t>
      </w:r>
    </w:p>
    <w:p w14:paraId="7D78CEC7" w14:textId="77777777" w:rsidR="00997A17" w:rsidRPr="001512A9" w:rsidRDefault="00997A17" w:rsidP="001512A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512A9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1EA1A44D" w14:textId="46BB1A7D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Resolución </w:t>
      </w:r>
      <w:r w:rsidR="001512A9">
        <w:rPr>
          <w:rFonts w:cs="Arial"/>
          <w:color w:val="000000" w:themeColor="text1"/>
          <w:lang w:val="es-ES"/>
        </w:rPr>
        <w:t xml:space="preserve">del </w:t>
      </w:r>
      <w:r w:rsidRPr="001512A9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3A28E920" w14:textId="1972BB73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Resolución </w:t>
      </w:r>
      <w:r w:rsidR="001512A9">
        <w:rPr>
          <w:rFonts w:cs="Arial"/>
          <w:color w:val="000000" w:themeColor="text1"/>
          <w:lang w:val="es-ES"/>
        </w:rPr>
        <w:t xml:space="preserve">del </w:t>
      </w:r>
      <w:r w:rsidRPr="001512A9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4E845195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Ley 25.326 - Protección de los Datos Personales.</w:t>
      </w:r>
    </w:p>
    <w:p w14:paraId="453A9C9E" w14:textId="205BC020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Ley 26.529 y </w:t>
      </w:r>
      <w:r w:rsidR="001512A9">
        <w:rPr>
          <w:rFonts w:cs="Arial"/>
          <w:color w:val="000000" w:themeColor="text1"/>
          <w:lang w:val="es-ES"/>
        </w:rPr>
        <w:t xml:space="preserve">su </w:t>
      </w:r>
      <w:r w:rsidRPr="001512A9">
        <w:rPr>
          <w:rFonts w:cs="Arial"/>
          <w:color w:val="000000" w:themeColor="text1"/>
          <w:lang w:val="es-ES"/>
        </w:rPr>
        <w:t>modificatoria</w:t>
      </w:r>
      <w:r w:rsidR="001512A9">
        <w:rPr>
          <w:rFonts w:cs="Arial"/>
          <w:color w:val="000000" w:themeColor="text1"/>
          <w:lang w:val="es-ES"/>
        </w:rPr>
        <w:t>,</w:t>
      </w:r>
      <w:r w:rsidRPr="001512A9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74972AEB" w14:textId="77777777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66566B2F" w14:textId="0D10CA05" w:rsidR="00997A17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Ley </w:t>
      </w:r>
      <w:r w:rsidR="001512A9">
        <w:rPr>
          <w:rFonts w:cs="Arial"/>
          <w:color w:val="000000" w:themeColor="text1"/>
          <w:lang w:val="es-ES"/>
        </w:rPr>
        <w:t xml:space="preserve">de la </w:t>
      </w:r>
      <w:r w:rsidRPr="001512A9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567C84A9" w14:textId="396C72ED" w:rsidR="00C740E2" w:rsidRPr="001512A9" w:rsidRDefault="00997A17" w:rsidP="001512A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512A9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1512A9">
        <w:rPr>
          <w:rFonts w:cs="Arial"/>
          <w:color w:val="000000" w:themeColor="text1"/>
          <w:lang w:val="es-ES"/>
        </w:rPr>
        <w:t>Practices</w:t>
      </w:r>
      <w:proofErr w:type="spellEnd"/>
      <w:r w:rsidRPr="001512A9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1512A9">
        <w:rPr>
          <w:rFonts w:cs="Arial"/>
          <w:color w:val="000000" w:themeColor="text1"/>
          <w:lang w:val="es-ES"/>
        </w:rPr>
        <w:t xml:space="preserve">la </w:t>
      </w:r>
      <w:r w:rsidRPr="001512A9">
        <w:rPr>
          <w:rFonts w:cs="Arial"/>
          <w:color w:val="000000" w:themeColor="text1"/>
          <w:lang w:val="es-ES"/>
        </w:rPr>
        <w:t>normativa aplicable).</w:t>
      </w:r>
    </w:p>
    <w:sectPr w:rsidR="00C740E2" w:rsidRPr="001512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9714668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17"/>
    <w:rsid w:val="0012748E"/>
    <w:rsid w:val="001512A9"/>
    <w:rsid w:val="001517D0"/>
    <w:rsid w:val="002A0105"/>
    <w:rsid w:val="003040C5"/>
    <w:rsid w:val="005D7E43"/>
    <w:rsid w:val="00997A17"/>
    <w:rsid w:val="00C740E2"/>
    <w:rsid w:val="00FF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902E1"/>
  <w15:chartTrackingRefBased/>
  <w15:docId w15:val="{5BF177F1-60F0-3941-A370-B404AA2C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A17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97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A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A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A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A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7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A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A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A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A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A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A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A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A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A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A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A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A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A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A17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997A17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997A17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4</cp:revision>
  <dcterms:created xsi:type="dcterms:W3CDTF">2026-09-04T15:02:00Z</dcterms:created>
  <dcterms:modified xsi:type="dcterms:W3CDTF">2026-09-04T20:13:00Z</dcterms:modified>
</cp:coreProperties>
</file>