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B2B22" w14:textId="77777777" w:rsidR="00FF6397" w:rsidRPr="00232759" w:rsidRDefault="00FF6397" w:rsidP="00232759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232759">
        <w:rPr>
          <w:rFonts w:ascii="Arial" w:hAnsi="Arial" w:cs="Arial"/>
          <w:color w:val="000000" w:themeColor="text1"/>
          <w:lang w:val="es-ES"/>
        </w:rPr>
        <w:t>BB-MUE-003 - Asignación de ubicación, almacenamiento y recuperación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2238"/>
        <w:gridCol w:w="2123"/>
        <w:gridCol w:w="2220"/>
      </w:tblGrid>
      <w:tr w:rsidR="00FF6397" w:rsidRPr="00232759" w14:paraId="3FE9BB1B" w14:textId="77777777" w:rsidTr="00DE65CE">
        <w:trPr>
          <w:jc w:val="center"/>
        </w:trPr>
        <w:tc>
          <w:tcPr>
            <w:tcW w:w="2247" w:type="dxa"/>
            <w:shd w:val="clear" w:color="auto" w:fill="D9EAF7"/>
            <w:vAlign w:val="center"/>
          </w:tcPr>
          <w:p w14:paraId="2A82844E" w14:textId="77777777" w:rsidR="00FF6397" w:rsidRPr="00232759" w:rsidRDefault="00FF6397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238" w:type="dxa"/>
            <w:vAlign w:val="center"/>
          </w:tcPr>
          <w:p w14:paraId="6C1A6CB7" w14:textId="77777777" w:rsidR="00FF6397" w:rsidRPr="00232759" w:rsidRDefault="00FF6397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BB-MUE-003</w:t>
            </w:r>
          </w:p>
        </w:tc>
        <w:tc>
          <w:tcPr>
            <w:tcW w:w="2123" w:type="dxa"/>
            <w:shd w:val="clear" w:color="auto" w:fill="D9EAF7"/>
            <w:vAlign w:val="center"/>
          </w:tcPr>
          <w:p w14:paraId="4CC99427" w14:textId="77777777" w:rsidR="00FF6397" w:rsidRPr="00232759" w:rsidRDefault="00FF6397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20" w:type="dxa"/>
            <w:vAlign w:val="center"/>
          </w:tcPr>
          <w:p w14:paraId="6C4576C1" w14:textId="77777777" w:rsidR="00FF6397" w:rsidRPr="00232759" w:rsidRDefault="00FF6397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FF6397" w:rsidRPr="00232759" w14:paraId="6456AFFC" w14:textId="77777777" w:rsidTr="00DE65CE">
        <w:trPr>
          <w:jc w:val="center"/>
        </w:trPr>
        <w:tc>
          <w:tcPr>
            <w:tcW w:w="2247" w:type="dxa"/>
            <w:shd w:val="clear" w:color="auto" w:fill="D9EAF7"/>
            <w:vAlign w:val="center"/>
          </w:tcPr>
          <w:p w14:paraId="04BBD15B" w14:textId="77777777" w:rsidR="00FF6397" w:rsidRPr="00232759" w:rsidRDefault="00FF6397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238" w:type="dxa"/>
            <w:vAlign w:val="center"/>
          </w:tcPr>
          <w:p w14:paraId="345B3BAB" w14:textId="77777777" w:rsidR="00FF6397" w:rsidRPr="00232759" w:rsidRDefault="00FF6397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Asignación de ubicación, almacenamiento y recuperación</w:t>
            </w:r>
          </w:p>
        </w:tc>
        <w:tc>
          <w:tcPr>
            <w:tcW w:w="2123" w:type="dxa"/>
            <w:shd w:val="clear" w:color="auto" w:fill="D9EAF7"/>
            <w:vAlign w:val="center"/>
          </w:tcPr>
          <w:p w14:paraId="2B0CDE06" w14:textId="77777777" w:rsidR="00FF6397" w:rsidRPr="00232759" w:rsidRDefault="00FF6397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20" w:type="dxa"/>
            <w:vAlign w:val="center"/>
          </w:tcPr>
          <w:p w14:paraId="27AE49EC" w14:textId="77777777" w:rsidR="00FF6397" w:rsidRPr="00232759" w:rsidRDefault="00FF6397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DE65CE" w:rsidRPr="00232759" w14:paraId="5E38FEB4" w14:textId="77777777" w:rsidTr="00DE65CE">
        <w:trPr>
          <w:jc w:val="center"/>
        </w:trPr>
        <w:tc>
          <w:tcPr>
            <w:tcW w:w="2247" w:type="dxa"/>
            <w:shd w:val="clear" w:color="auto" w:fill="D9EAF7"/>
            <w:vAlign w:val="center"/>
          </w:tcPr>
          <w:p w14:paraId="6CAA3ACC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238" w:type="dxa"/>
            <w:vAlign w:val="center"/>
          </w:tcPr>
          <w:p w14:paraId="599EA5A9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23" w:type="dxa"/>
            <w:shd w:val="clear" w:color="auto" w:fill="D9EAF7"/>
            <w:vAlign w:val="center"/>
          </w:tcPr>
          <w:p w14:paraId="3646207B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20" w:type="dxa"/>
            <w:vAlign w:val="center"/>
          </w:tcPr>
          <w:p w14:paraId="3B58F197" w14:textId="38E99274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DE65CE" w:rsidRPr="00232759" w14:paraId="76DB7005" w14:textId="77777777" w:rsidTr="00DE65CE">
        <w:trPr>
          <w:jc w:val="center"/>
        </w:trPr>
        <w:tc>
          <w:tcPr>
            <w:tcW w:w="2247" w:type="dxa"/>
            <w:shd w:val="clear" w:color="auto" w:fill="D9EAF7"/>
            <w:vAlign w:val="center"/>
          </w:tcPr>
          <w:p w14:paraId="4B9018DB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238" w:type="dxa"/>
            <w:vAlign w:val="center"/>
          </w:tcPr>
          <w:p w14:paraId="72165EC0" w14:textId="741A39FE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23" w:type="dxa"/>
            <w:shd w:val="clear" w:color="auto" w:fill="D9EAF7"/>
            <w:vAlign w:val="center"/>
          </w:tcPr>
          <w:p w14:paraId="5F3DD9BE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20" w:type="dxa"/>
            <w:vAlign w:val="center"/>
          </w:tcPr>
          <w:p w14:paraId="62D740BD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DE65CE" w:rsidRPr="00232759" w14:paraId="17400050" w14:textId="77777777" w:rsidTr="00DE65CE">
        <w:trPr>
          <w:jc w:val="center"/>
        </w:trPr>
        <w:tc>
          <w:tcPr>
            <w:tcW w:w="2247" w:type="dxa"/>
            <w:shd w:val="clear" w:color="auto" w:fill="D9EAF7"/>
            <w:vAlign w:val="center"/>
          </w:tcPr>
          <w:p w14:paraId="5B655618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238" w:type="dxa"/>
            <w:vAlign w:val="center"/>
          </w:tcPr>
          <w:p w14:paraId="59A4AE4F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23" w:type="dxa"/>
            <w:shd w:val="clear" w:color="auto" w:fill="D9EAF7"/>
            <w:vAlign w:val="center"/>
          </w:tcPr>
          <w:p w14:paraId="1DBFF381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20" w:type="dxa"/>
            <w:vAlign w:val="center"/>
          </w:tcPr>
          <w:p w14:paraId="67ED576E" w14:textId="77777777" w:rsidR="00DE65CE" w:rsidRPr="00232759" w:rsidRDefault="00DE65CE" w:rsidP="0023275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232759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D58BF61" w14:textId="77777777" w:rsidR="00FF6397" w:rsidRPr="00232759" w:rsidRDefault="00FF6397" w:rsidP="00232759">
      <w:pPr>
        <w:jc w:val="both"/>
        <w:rPr>
          <w:rFonts w:cs="Arial"/>
          <w:color w:val="000000" w:themeColor="text1"/>
          <w:lang w:val="es-ES"/>
        </w:rPr>
      </w:pPr>
    </w:p>
    <w:p w14:paraId="20B29633" w14:textId="77777777" w:rsidR="00FF6397" w:rsidRPr="00232759" w:rsidRDefault="00FF6397" w:rsidP="0023275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232759">
        <w:rPr>
          <w:rFonts w:ascii="Arial" w:hAnsi="Arial" w:cs="Arial"/>
          <w:color w:val="000000" w:themeColor="text1"/>
          <w:lang w:val="es-ES"/>
        </w:rPr>
        <w:t>Propósito</w:t>
      </w:r>
    </w:p>
    <w:p w14:paraId="7E38F193" w14:textId="77777777" w:rsidR="00FF6397" w:rsidRPr="00232759" w:rsidRDefault="00FF6397" w:rsidP="00232759">
      <w:pPr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Mantener ubicación inequívoca y reducir tiempos de búsqueda/apertura.</w:t>
      </w:r>
    </w:p>
    <w:p w14:paraId="69988671" w14:textId="77777777" w:rsidR="00FF6397" w:rsidRPr="00232759" w:rsidRDefault="00FF6397" w:rsidP="0023275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232759">
        <w:rPr>
          <w:rFonts w:ascii="Arial" w:hAnsi="Arial" w:cs="Arial"/>
          <w:color w:val="000000" w:themeColor="text1"/>
          <w:lang w:val="es-ES"/>
        </w:rPr>
        <w:t>Alcance</w:t>
      </w:r>
    </w:p>
    <w:p w14:paraId="1B6A886D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Freezer, estante, rack, caja y posición.</w:t>
      </w:r>
    </w:p>
    <w:p w14:paraId="61007C3C" w14:textId="77777777" w:rsidR="00FF6397" w:rsidRPr="00232759" w:rsidRDefault="00FF6397" w:rsidP="0023275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232759">
        <w:rPr>
          <w:rFonts w:ascii="Arial" w:hAnsi="Arial" w:cs="Arial"/>
          <w:color w:val="000000" w:themeColor="text1"/>
          <w:lang w:val="es-ES"/>
        </w:rPr>
        <w:t>Responsabilidades</w:t>
      </w:r>
    </w:p>
    <w:p w14:paraId="6AAB044D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Técnico: asigna y recupera ubicaciones.</w:t>
      </w:r>
    </w:p>
    <w:p w14:paraId="3DD0FD80" w14:textId="77777777" w:rsidR="00FF6397" w:rsidRPr="00232759" w:rsidRDefault="00FF6397" w:rsidP="0023275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232759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1599F730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La posición física y el registro electrónico deben coincidir en todo momento.</w:t>
      </w:r>
    </w:p>
    <w:p w14:paraId="4EAC9E30" w14:textId="132147FE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Se respetará </w:t>
      </w:r>
      <w:r w:rsidR="00232759">
        <w:rPr>
          <w:rFonts w:cs="Arial"/>
          <w:color w:val="000000" w:themeColor="text1"/>
          <w:lang w:val="es-ES"/>
        </w:rPr>
        <w:t xml:space="preserve">la </w:t>
      </w:r>
      <w:r w:rsidRPr="00232759">
        <w:rPr>
          <w:rFonts w:cs="Arial"/>
          <w:color w:val="000000" w:themeColor="text1"/>
          <w:lang w:val="es-ES"/>
        </w:rPr>
        <w:t xml:space="preserve">segregación entre </w:t>
      </w:r>
      <w:r w:rsidR="00232759">
        <w:rPr>
          <w:rFonts w:cs="Arial"/>
          <w:color w:val="000000" w:themeColor="text1"/>
          <w:lang w:val="es-ES"/>
        </w:rPr>
        <w:t>las Unidades</w:t>
      </w:r>
      <w:r w:rsidRPr="00232759">
        <w:rPr>
          <w:rFonts w:cs="Arial"/>
          <w:color w:val="000000" w:themeColor="text1"/>
          <w:lang w:val="es-ES"/>
        </w:rPr>
        <w:t xml:space="preserve"> A y B.</w:t>
      </w:r>
    </w:p>
    <w:p w14:paraId="4F3D88A7" w14:textId="77777777" w:rsidR="00FF6397" w:rsidRPr="00232759" w:rsidRDefault="00FF6397" w:rsidP="0023275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232759">
        <w:rPr>
          <w:rFonts w:ascii="Arial" w:hAnsi="Arial" w:cs="Arial"/>
          <w:color w:val="000000" w:themeColor="text1"/>
          <w:lang w:val="es-ES"/>
        </w:rPr>
        <w:t>Procedimiento</w:t>
      </w:r>
    </w:p>
    <w:p w14:paraId="06B05A1E" w14:textId="1CE3A266" w:rsidR="00FF6397" w:rsidRPr="00232759" w:rsidRDefault="00FF6397" w:rsidP="0023275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1. Asignar espacio según </w:t>
      </w:r>
      <w:r w:rsidR="00232759">
        <w:rPr>
          <w:rFonts w:cs="Arial"/>
          <w:color w:val="000000" w:themeColor="text1"/>
          <w:lang w:val="es-ES"/>
        </w:rPr>
        <w:t xml:space="preserve">la </w:t>
      </w:r>
      <w:r w:rsidRPr="00232759">
        <w:rPr>
          <w:rFonts w:cs="Arial"/>
          <w:color w:val="000000" w:themeColor="text1"/>
          <w:lang w:val="es-ES"/>
        </w:rPr>
        <w:t xml:space="preserve">temperatura, </w:t>
      </w:r>
      <w:r w:rsidR="00232759">
        <w:rPr>
          <w:rFonts w:cs="Arial"/>
          <w:color w:val="000000" w:themeColor="text1"/>
          <w:lang w:val="es-ES"/>
        </w:rPr>
        <w:t xml:space="preserve">la </w:t>
      </w:r>
      <w:r w:rsidRPr="00232759">
        <w:rPr>
          <w:rFonts w:cs="Arial"/>
          <w:color w:val="000000" w:themeColor="text1"/>
          <w:lang w:val="es-ES"/>
        </w:rPr>
        <w:t>colección y</w:t>
      </w:r>
      <w:r w:rsidR="00232759">
        <w:rPr>
          <w:rFonts w:cs="Arial"/>
          <w:color w:val="000000" w:themeColor="text1"/>
          <w:lang w:val="es-ES"/>
        </w:rPr>
        <w:t xml:space="preserve"> la</w:t>
      </w:r>
      <w:r w:rsidRPr="00232759">
        <w:rPr>
          <w:rFonts w:cs="Arial"/>
          <w:color w:val="000000" w:themeColor="text1"/>
          <w:lang w:val="es-ES"/>
        </w:rPr>
        <w:t xml:space="preserve"> capacidad.</w:t>
      </w:r>
    </w:p>
    <w:p w14:paraId="367DF682" w14:textId="34825B1F" w:rsidR="00FF6397" w:rsidRPr="00232759" w:rsidRDefault="00FF6397" w:rsidP="0023275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2. Registrar </w:t>
      </w:r>
      <w:r w:rsidR="00232759">
        <w:rPr>
          <w:rFonts w:cs="Arial"/>
          <w:color w:val="000000" w:themeColor="text1"/>
          <w:lang w:val="es-ES"/>
        </w:rPr>
        <w:t xml:space="preserve">la </w:t>
      </w:r>
      <w:r w:rsidRPr="00232759">
        <w:rPr>
          <w:rFonts w:cs="Arial"/>
          <w:color w:val="000000" w:themeColor="text1"/>
          <w:lang w:val="es-ES"/>
        </w:rPr>
        <w:t>jerarquía completa de ubicación en NORAYBANKS.</w:t>
      </w:r>
    </w:p>
    <w:p w14:paraId="1966A941" w14:textId="7045A77D" w:rsidR="00FF6397" w:rsidRPr="00232759" w:rsidRDefault="00FF6397" w:rsidP="0023275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3. Antes de abrir, consultar </w:t>
      </w:r>
      <w:r w:rsidR="00232759">
        <w:rPr>
          <w:rFonts w:cs="Arial"/>
          <w:color w:val="000000" w:themeColor="text1"/>
          <w:lang w:val="es-ES"/>
        </w:rPr>
        <w:t xml:space="preserve">la </w:t>
      </w:r>
      <w:r w:rsidRPr="00232759">
        <w:rPr>
          <w:rFonts w:cs="Arial"/>
          <w:color w:val="000000" w:themeColor="text1"/>
          <w:lang w:val="es-ES"/>
        </w:rPr>
        <w:t>ubicación exacta.</w:t>
      </w:r>
    </w:p>
    <w:p w14:paraId="1277D5CB" w14:textId="77777777" w:rsidR="00FF6397" w:rsidRPr="00232759" w:rsidRDefault="00FF6397" w:rsidP="0023275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4. Retirar sólo la unidad necesaria.</w:t>
      </w:r>
    </w:p>
    <w:p w14:paraId="1A51828C" w14:textId="03F274B0" w:rsidR="00FF6397" w:rsidRPr="00232759" w:rsidRDefault="00FF6397" w:rsidP="0023275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5. Confirmar </w:t>
      </w:r>
      <w:r w:rsidR="00232759">
        <w:rPr>
          <w:rFonts w:cs="Arial"/>
          <w:color w:val="000000" w:themeColor="text1"/>
          <w:lang w:val="es-ES"/>
        </w:rPr>
        <w:t xml:space="preserve">la </w:t>
      </w:r>
      <w:r w:rsidRPr="00232759">
        <w:rPr>
          <w:rFonts w:cs="Arial"/>
          <w:color w:val="000000" w:themeColor="text1"/>
          <w:lang w:val="es-ES"/>
        </w:rPr>
        <w:t>devolución a la misma posición o registrar</w:t>
      </w:r>
      <w:r w:rsidR="00232759">
        <w:rPr>
          <w:rFonts w:cs="Arial"/>
          <w:color w:val="000000" w:themeColor="text1"/>
          <w:lang w:val="es-ES"/>
        </w:rPr>
        <w:t xml:space="preserve"> la</w:t>
      </w:r>
      <w:r w:rsidRPr="00232759">
        <w:rPr>
          <w:rFonts w:cs="Arial"/>
          <w:color w:val="000000" w:themeColor="text1"/>
          <w:lang w:val="es-ES"/>
        </w:rPr>
        <w:t xml:space="preserve"> reubicación inmediatamente.</w:t>
      </w:r>
    </w:p>
    <w:p w14:paraId="4409F85F" w14:textId="77777777" w:rsidR="00FF6397" w:rsidRPr="00232759" w:rsidRDefault="00FF6397" w:rsidP="0023275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6. Realizar inventarios cíclicos.</w:t>
      </w:r>
    </w:p>
    <w:p w14:paraId="4D8A213D" w14:textId="77777777" w:rsidR="00FF6397" w:rsidRPr="00232759" w:rsidRDefault="00FF6397" w:rsidP="0023275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232759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4729FB00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Mapa de almacenamiento.</w:t>
      </w:r>
    </w:p>
    <w:p w14:paraId="308F00AC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Registro de movimientos.</w:t>
      </w:r>
    </w:p>
    <w:p w14:paraId="79199FDF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Inventario cíclico.</w:t>
      </w:r>
    </w:p>
    <w:p w14:paraId="67172299" w14:textId="77777777" w:rsidR="00FF6397" w:rsidRPr="00232759" w:rsidRDefault="00FF6397" w:rsidP="0023275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232759">
        <w:rPr>
          <w:rFonts w:ascii="Arial" w:hAnsi="Arial" w:cs="Arial"/>
          <w:color w:val="000000" w:themeColor="text1"/>
          <w:lang w:val="es-ES"/>
        </w:rPr>
        <w:lastRenderedPageBreak/>
        <w:t>Indicadores y control</w:t>
      </w:r>
    </w:p>
    <w:p w14:paraId="7D9739B2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Discrepancias físico-sistema.</w:t>
      </w:r>
    </w:p>
    <w:p w14:paraId="2D8D5402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Tiempo medio de recuperación.</w:t>
      </w:r>
    </w:p>
    <w:p w14:paraId="21DC8B3F" w14:textId="77777777" w:rsidR="00FF6397" w:rsidRPr="00232759" w:rsidRDefault="00FF6397" w:rsidP="0023275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232759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24D6C468" w14:textId="6A395CBA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Resolución </w:t>
      </w:r>
      <w:r w:rsidR="00232759">
        <w:rPr>
          <w:rFonts w:cs="Arial"/>
          <w:color w:val="000000" w:themeColor="text1"/>
          <w:lang w:val="es-ES"/>
        </w:rPr>
        <w:t xml:space="preserve">del </w:t>
      </w:r>
      <w:r w:rsidRPr="00232759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5E399F6C" w14:textId="30917DDC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Resolución </w:t>
      </w:r>
      <w:r w:rsidR="00232759">
        <w:rPr>
          <w:rFonts w:cs="Arial"/>
          <w:color w:val="000000" w:themeColor="text1"/>
          <w:lang w:val="es-ES"/>
        </w:rPr>
        <w:t xml:space="preserve">del </w:t>
      </w:r>
      <w:r w:rsidRPr="00232759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63A5E3AD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Ley 25.326 - Protección de los Datos Personales.</w:t>
      </w:r>
    </w:p>
    <w:p w14:paraId="6E1C3DD6" w14:textId="58494F40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Ley 26.529 y </w:t>
      </w:r>
      <w:r w:rsidR="00232759">
        <w:rPr>
          <w:rFonts w:cs="Arial"/>
          <w:color w:val="000000" w:themeColor="text1"/>
          <w:lang w:val="es-ES"/>
        </w:rPr>
        <w:t xml:space="preserve">su </w:t>
      </w:r>
      <w:r w:rsidRPr="00232759">
        <w:rPr>
          <w:rFonts w:cs="Arial"/>
          <w:color w:val="000000" w:themeColor="text1"/>
          <w:lang w:val="es-ES"/>
        </w:rPr>
        <w:t>modificatoria</w:t>
      </w:r>
      <w:r w:rsidR="00232759">
        <w:rPr>
          <w:rFonts w:cs="Arial"/>
          <w:color w:val="000000" w:themeColor="text1"/>
          <w:lang w:val="es-ES"/>
        </w:rPr>
        <w:t>,</w:t>
      </w:r>
      <w:r w:rsidRPr="00232759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4C7D1A5A" w14:textId="77777777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7668BFD7" w14:textId="143BC491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Ley </w:t>
      </w:r>
      <w:r w:rsidR="00232759">
        <w:rPr>
          <w:rFonts w:cs="Arial"/>
          <w:color w:val="000000" w:themeColor="text1"/>
          <w:lang w:val="es-ES"/>
        </w:rPr>
        <w:t xml:space="preserve">de la </w:t>
      </w:r>
      <w:r w:rsidRPr="00232759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214D8EBF" w14:textId="6873FFC2" w:rsidR="00FF6397" w:rsidRPr="00232759" w:rsidRDefault="00FF6397" w:rsidP="0023275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232759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232759">
        <w:rPr>
          <w:rFonts w:cs="Arial"/>
          <w:color w:val="000000" w:themeColor="text1"/>
          <w:lang w:val="es-ES"/>
        </w:rPr>
        <w:t>Practices</w:t>
      </w:r>
      <w:proofErr w:type="spellEnd"/>
      <w:r w:rsidRPr="00232759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232759">
        <w:rPr>
          <w:rFonts w:cs="Arial"/>
          <w:color w:val="000000" w:themeColor="text1"/>
          <w:lang w:val="es-ES"/>
        </w:rPr>
        <w:t xml:space="preserve">la </w:t>
      </w:r>
      <w:r w:rsidRPr="00232759">
        <w:rPr>
          <w:rFonts w:cs="Arial"/>
          <w:color w:val="000000" w:themeColor="text1"/>
          <w:lang w:val="es-ES"/>
        </w:rPr>
        <w:t>normativa aplicable).</w:t>
      </w:r>
      <w:r w:rsidRPr="00232759">
        <w:rPr>
          <w:rFonts w:cs="Arial"/>
          <w:color w:val="000000" w:themeColor="text1"/>
          <w:lang w:val="es-ES"/>
        </w:rPr>
        <w:br w:type="page"/>
      </w:r>
    </w:p>
    <w:p w14:paraId="532F15AE" w14:textId="77777777" w:rsidR="00C740E2" w:rsidRPr="00232759" w:rsidRDefault="00C740E2" w:rsidP="00232759">
      <w:pPr>
        <w:jc w:val="both"/>
        <w:rPr>
          <w:lang w:val="es-ES"/>
        </w:rPr>
      </w:pPr>
    </w:p>
    <w:sectPr w:rsidR="00C740E2" w:rsidRPr="002327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31A027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97"/>
    <w:rsid w:val="0012748E"/>
    <w:rsid w:val="001517D0"/>
    <w:rsid w:val="00232759"/>
    <w:rsid w:val="002A0105"/>
    <w:rsid w:val="003040C5"/>
    <w:rsid w:val="00C740E2"/>
    <w:rsid w:val="00DE65CE"/>
    <w:rsid w:val="00FF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087A0F"/>
  <w15:chartTrackingRefBased/>
  <w15:docId w15:val="{A8E5C50C-92F8-3345-9C1F-32A3D8A6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397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F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3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3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3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3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3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3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3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39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FF6397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FF6397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FF6397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2026-09-04T15:15:00Z</dcterms:created>
  <dcterms:modified xsi:type="dcterms:W3CDTF">2026-09-04T20:26:00Z</dcterms:modified>
</cp:coreProperties>
</file>